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C948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98633D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EA2081F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86030A0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省发展改革委关于调整工商业峰谷分时</w:t>
      </w:r>
    </w:p>
    <w:p w14:paraId="0A7DF3E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电价政策有关事项的通知</w:t>
      </w:r>
    </w:p>
    <w:p w14:paraId="724170EA">
      <w:pPr>
        <w:spacing w:line="579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（征求意见稿）</w:t>
      </w:r>
    </w:p>
    <w:p w14:paraId="60CE972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B0683EC">
      <w:pPr>
        <w:jc w:val="both"/>
        <w:rPr>
          <w:rFonts w:hint="default"/>
          <w:lang w:val="en-US" w:eastAsia="zh-CN"/>
        </w:rPr>
      </w:pPr>
    </w:p>
    <w:p w14:paraId="61B6E30B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各市、县（市、区）发展改革委（局），国网浙江省电力有限公司：</w:t>
      </w:r>
    </w:p>
    <w:p w14:paraId="35EBECCC">
      <w:pPr>
        <w:spacing w:line="579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为更好发挥峰谷分时电价政策作用，引导用户削峰填谷和提高电力系统运行效率，保障电力安全稳定供应，促进能源绿色低碳发展，根据《国家发展改革委关于进一步完善分时电价机制的通知》（发改价格〔2021〕1093号）要求，结合我省电力供需形势变化，现就调整我省工商业峰谷分时电价政策有关事项通知如下： </w:t>
      </w:r>
    </w:p>
    <w:p w14:paraId="5394B687">
      <w:pPr>
        <w:numPr>
          <w:ilvl w:val="0"/>
          <w:numId w:val="0"/>
        </w:numPr>
        <w:spacing w:line="579" w:lineRule="exact"/>
        <w:ind w:firstLine="640" w:firstLineChar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一、实施范围</w:t>
      </w:r>
    </w:p>
    <w:p w14:paraId="2B92E9A3">
      <w:pPr>
        <w:spacing w:line="579" w:lineRule="exact"/>
        <w:ind w:firstLine="640"/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大工业电价用户需全年执行峰谷分时电价（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不包括国家有专门规定的电气化铁路牵引用电等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）。一般工商业电价用户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可选择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</w:rPr>
        <w:t>执行峰谷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eastAsia="zh-CN"/>
        </w:rPr>
        <w:t>分时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</w:rPr>
        <w:t>电价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选定后12个月内保持不变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07F4D903">
      <w:pPr>
        <w:spacing w:line="579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二、峰谷时段及电价浮动比例</w:t>
      </w:r>
    </w:p>
    <w:p w14:paraId="1135853D"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（一）统一大工业电价用户和一般工商业电价用户峰谷时段。具体时段划分见表1。</w:t>
      </w:r>
    </w:p>
    <w:p w14:paraId="47CAF156">
      <w:pPr>
        <w:spacing w:line="540" w:lineRule="exact"/>
        <w:jc w:val="center"/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</w:pPr>
    </w:p>
    <w:p w14:paraId="4BAC8148">
      <w:pPr>
        <w:spacing w:line="540" w:lineRule="exact"/>
        <w:jc w:val="center"/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</w:pPr>
    </w:p>
    <w:p w14:paraId="015639CA">
      <w:pPr>
        <w:spacing w:line="540" w:lineRule="exact"/>
        <w:jc w:val="center"/>
        <w:rPr>
          <w:rFonts w:hint="default" w:ascii="Times New Roman" w:hAnsi="Times New Roman" w:eastAsiaTheme="minorEastAsia"/>
          <w:b/>
          <w:bCs/>
          <w:spacing w:val="3"/>
          <w:sz w:val="24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  <w:t>表</w:t>
      </w:r>
      <w:r>
        <w:rPr>
          <w:rFonts w:hint="eastAsia" w:ascii="Times New Roman" w:hAnsi="Times New Roman"/>
          <w:b/>
          <w:bCs/>
          <w:spacing w:val="3"/>
          <w:sz w:val="24"/>
          <w:highlight w:val="none"/>
          <w:shd w:val="clear" w:color="auto" w:fill="FFFFFF"/>
        </w:rPr>
        <w:t>1</w:t>
      </w:r>
      <w:r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  <w:t xml:space="preserve">  峰谷</w:t>
      </w:r>
      <w:r>
        <w:rPr>
          <w:rFonts w:hint="eastAsia" w:ascii="Times New Roman" w:hAnsi="Times New Roman"/>
          <w:b/>
          <w:bCs/>
          <w:spacing w:val="3"/>
          <w:sz w:val="24"/>
          <w:highlight w:val="none"/>
          <w:shd w:val="clear" w:color="auto" w:fill="FFFFFF"/>
          <w:lang w:val="en-US" w:eastAsia="zh-CN"/>
        </w:rPr>
        <w:t>时段划分</w:t>
      </w:r>
    </w:p>
    <w:tbl>
      <w:tblPr>
        <w:tblStyle w:val="5"/>
        <w:tblW w:w="83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1500"/>
        <w:gridCol w:w="3964"/>
      </w:tblGrid>
      <w:tr w14:paraId="6C270D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 w14:paraId="4F3F609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季节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39BC8C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时段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416BA61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具体时间</w:t>
            </w:r>
          </w:p>
        </w:tc>
      </w:tr>
      <w:tr w14:paraId="327E3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29" w:type="dxa"/>
            <w:vMerge w:val="restart"/>
            <w:tcBorders>
              <w:tl2br w:val="nil"/>
              <w:tr2bl w:val="nil"/>
            </w:tcBorders>
            <w:vAlign w:val="center"/>
          </w:tcPr>
          <w:p w14:paraId="7473B8AA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春秋季</w:t>
            </w:r>
          </w:p>
          <w:p w14:paraId="6752FB43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2-6月，9-11月</w:t>
            </w: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D86E6D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高峰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576D5E72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  <w:t>8:00-11:00</w:t>
            </w:r>
            <w:r>
              <w:rPr>
                <w:rFonts w:hint="eastAsia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  <w:t>、</w:t>
            </w: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  <w:t>13:00-17:00</w:t>
            </w:r>
          </w:p>
        </w:tc>
      </w:tr>
      <w:tr w14:paraId="40AB1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29" w:type="dxa"/>
            <w:vMerge w:val="continue"/>
            <w:tcBorders>
              <w:tl2br w:val="nil"/>
              <w:tr2bl w:val="nil"/>
            </w:tcBorders>
            <w:vAlign w:val="center"/>
          </w:tcPr>
          <w:p w14:paraId="7791137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9557B6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平段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28CE4426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  <w:t>17:00-24:00</w:t>
            </w:r>
          </w:p>
        </w:tc>
      </w:tr>
      <w:tr w14:paraId="525AA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929" w:type="dxa"/>
            <w:vMerge w:val="continue"/>
            <w:tcBorders>
              <w:tl2br w:val="nil"/>
              <w:tr2bl w:val="nil"/>
            </w:tcBorders>
            <w:vAlign w:val="center"/>
          </w:tcPr>
          <w:p w14:paraId="20F4C4BC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92FC71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低谷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61A76687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0:00-8:00</w:t>
            </w:r>
            <w:r>
              <w:rPr>
                <w:rFonts w:hint="eastAsia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11:00-13:00</w:t>
            </w:r>
          </w:p>
        </w:tc>
      </w:tr>
      <w:tr w14:paraId="288AA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29" w:type="dxa"/>
            <w:vMerge w:val="restart"/>
            <w:tcBorders>
              <w:tl2br w:val="nil"/>
              <w:tr2bl w:val="nil"/>
            </w:tcBorders>
            <w:vAlign w:val="center"/>
          </w:tcPr>
          <w:p w14:paraId="468211E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夏冬季</w:t>
            </w:r>
          </w:p>
          <w:p w14:paraId="185234C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1月、7月、8月、12月</w:t>
            </w:r>
            <w:r>
              <w:rPr>
                <w:rFonts w:hint="eastAsia" w:cs="Times New Roman" w:asciiTheme="minorEastAsia" w:hAnsi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A6558AE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尖峰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071D304B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9:00-11:00、15:00-17:00</w:t>
            </w:r>
          </w:p>
        </w:tc>
      </w:tr>
      <w:tr w14:paraId="1FD45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29" w:type="dxa"/>
            <w:vMerge w:val="continue"/>
            <w:tcBorders>
              <w:tl2br w:val="nil"/>
              <w:tr2bl w:val="nil"/>
            </w:tcBorders>
            <w:vAlign w:val="center"/>
          </w:tcPr>
          <w:p w14:paraId="6F4A5673">
            <w:pPr>
              <w:adjustRightInd w:val="0"/>
              <w:snapToGrid w:val="0"/>
              <w:spacing w:line="579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051FD8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高峰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1115697C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8:00-9:00、17:00-23:00</w:t>
            </w:r>
          </w:p>
        </w:tc>
      </w:tr>
      <w:tr w14:paraId="2E2AA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29" w:type="dxa"/>
            <w:vMerge w:val="continue"/>
            <w:tcBorders>
              <w:tl2br w:val="nil"/>
              <w:tr2bl w:val="nil"/>
            </w:tcBorders>
            <w:vAlign w:val="center"/>
          </w:tcPr>
          <w:p w14:paraId="5C90FA7E">
            <w:pPr>
              <w:adjustRightInd w:val="0"/>
              <w:snapToGrid w:val="0"/>
              <w:spacing w:line="579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E0BBAE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平段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5699E828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13:00-15:00、23:00-24:00</w:t>
            </w:r>
          </w:p>
        </w:tc>
      </w:tr>
      <w:tr w14:paraId="099A2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29" w:type="dxa"/>
            <w:vMerge w:val="continue"/>
            <w:tcBorders>
              <w:tl2br w:val="nil"/>
              <w:tr2bl w:val="nil"/>
            </w:tcBorders>
            <w:vAlign w:val="center"/>
          </w:tcPr>
          <w:p w14:paraId="04DA2E82">
            <w:pPr>
              <w:adjustRightInd w:val="0"/>
              <w:snapToGrid w:val="0"/>
              <w:spacing w:line="579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5963DB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低谷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vAlign w:val="center"/>
          </w:tcPr>
          <w:p w14:paraId="39548E6F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0:00-8:00</w:t>
            </w:r>
            <w:r>
              <w:rPr>
                <w:rFonts w:hint="eastAsia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spacing w:val="-2"/>
                <w:sz w:val="24"/>
                <w:szCs w:val="28"/>
                <w:highlight w:val="none"/>
                <w:lang w:val="en" w:eastAsia="zh-CN"/>
              </w:rPr>
              <w:t>11:00-13:00</w:t>
            </w:r>
          </w:p>
        </w:tc>
      </w:tr>
    </w:tbl>
    <w:p w14:paraId="3C31D2E3">
      <w:pPr>
        <w:numPr>
          <w:ilvl w:val="0"/>
          <w:numId w:val="0"/>
        </w:num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（二）试行重大节假日深谷电价。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春节、劳动节、国庆节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10:00-14:00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设置为深谷时段，三个节假日具体时间以国家公布为准。</w:t>
      </w:r>
    </w:p>
    <w:p w14:paraId="028F9D4E">
      <w:pPr>
        <w:autoSpaceDE w:val="0"/>
        <w:adjustRightInd w:val="0"/>
        <w:snapToGrid w:val="0"/>
        <w:spacing w:line="579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（三）调整峰谷电价浮动比例，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具体见表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2。</w:t>
      </w:r>
      <w:r>
        <w:rPr>
          <w:rFonts w:ascii="Times New Roman" w:hAnsi="Times New Roman" w:eastAsia="仿宋_GB2312" w:cs="Times New Roman"/>
          <w:sz w:val="32"/>
          <w:szCs w:val="32"/>
        </w:rPr>
        <w:t>浮动比例以平段电价为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基础，平段电价包含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上网电价、上网环节线损费用、系统运行费用、输配电价、政府性基金及附加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</w:t>
      </w:r>
    </w:p>
    <w:p w14:paraId="3D376052">
      <w:pPr>
        <w:spacing w:line="540" w:lineRule="exact"/>
        <w:jc w:val="center"/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</w:pPr>
      <w:r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  <w:t>表</w:t>
      </w:r>
      <w:r>
        <w:rPr>
          <w:rFonts w:hint="eastAsia" w:ascii="Times New Roman" w:hAnsi="Times New Roman"/>
          <w:b/>
          <w:bCs/>
          <w:spacing w:val="3"/>
          <w:sz w:val="24"/>
          <w:highlight w:val="none"/>
          <w:shd w:val="clear" w:color="auto" w:fill="FFFFFF"/>
          <w:lang w:val="en-US" w:eastAsia="zh-CN"/>
        </w:rPr>
        <w:t>2</w:t>
      </w:r>
      <w:r>
        <w:rPr>
          <w:rFonts w:ascii="Times New Roman" w:hAnsi="Times New Roman"/>
          <w:b/>
          <w:bCs/>
          <w:spacing w:val="3"/>
          <w:sz w:val="24"/>
          <w:highlight w:val="none"/>
          <w:shd w:val="clear" w:color="auto" w:fill="FFFFFF"/>
        </w:rPr>
        <w:t xml:space="preserve">  峰谷电价浮动比例</w:t>
      </w:r>
    </w:p>
    <w:tbl>
      <w:tblPr>
        <w:tblStyle w:val="4"/>
        <w:tblW w:w="940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223"/>
        <w:gridCol w:w="1540"/>
        <w:gridCol w:w="1393"/>
        <w:gridCol w:w="1407"/>
        <w:gridCol w:w="1467"/>
      </w:tblGrid>
      <w:tr w14:paraId="59AF35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37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10C4FE3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用电类别</w:t>
            </w:r>
          </w:p>
        </w:tc>
        <w:tc>
          <w:tcPr>
            <w:tcW w:w="122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7CD10B7">
            <w:pPr>
              <w:spacing w:line="288" w:lineRule="auto"/>
              <w:ind w:left="210" w:leftChars="100"/>
              <w:jc w:val="center"/>
              <w:rPr>
                <w:rFonts w:hint="eastAsia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  <w:lang w:val="en-US" w:eastAsia="zh-CN"/>
              </w:rPr>
              <w:t>季节</w:t>
            </w:r>
          </w:p>
        </w:tc>
        <w:tc>
          <w:tcPr>
            <w:tcW w:w="5807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C14DC90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电价浮动比例</w:t>
            </w:r>
          </w:p>
          <w:p w14:paraId="52ACBAD0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（以平段电价为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  <w:lang w:eastAsia="zh-CN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上下浮动）</w:t>
            </w:r>
          </w:p>
        </w:tc>
      </w:tr>
      <w:tr w14:paraId="7EC878A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372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4735253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E112C29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15BA1FE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尖峰上浮</w:t>
            </w:r>
          </w:p>
        </w:tc>
        <w:tc>
          <w:tcPr>
            <w:tcW w:w="1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2EF03F7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高峰上浮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70F4E3A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低谷下浮</w:t>
            </w:r>
          </w:p>
        </w:tc>
        <w:tc>
          <w:tcPr>
            <w:tcW w:w="14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6C7E327D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4"/>
                <w:szCs w:val="28"/>
                <w:highlight w:val="none"/>
              </w:rPr>
              <w:t>深谷下浮</w:t>
            </w:r>
          </w:p>
        </w:tc>
      </w:tr>
      <w:tr w14:paraId="2944527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37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6FD2C4E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大工业电价</w:t>
            </w:r>
          </w:p>
        </w:tc>
        <w:tc>
          <w:tcPr>
            <w:tcW w:w="12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F2FEFEC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春秋季</w:t>
            </w:r>
          </w:p>
        </w:tc>
        <w:tc>
          <w:tcPr>
            <w:tcW w:w="1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A593039">
            <w:pPr>
              <w:spacing w:line="288" w:lineRule="auto"/>
              <w:ind w:left="210" w:leftChars="10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-</w:t>
            </w:r>
          </w:p>
        </w:tc>
        <w:tc>
          <w:tcPr>
            <w:tcW w:w="1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C7D3C2F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B055B12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34F0B3A8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</w:tr>
      <w:tr w14:paraId="0D29546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2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3A96813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B608DC1">
            <w:pPr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夏冬季</w:t>
            </w:r>
          </w:p>
        </w:tc>
        <w:tc>
          <w:tcPr>
            <w:tcW w:w="1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5F42912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13388496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44E27C6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66019074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80%</w:t>
            </w:r>
          </w:p>
        </w:tc>
      </w:tr>
      <w:tr w14:paraId="18E7C5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7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0A012D5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一般工商业电价</w:t>
            </w:r>
          </w:p>
        </w:tc>
        <w:tc>
          <w:tcPr>
            <w:tcW w:w="12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AE91AC3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春秋季</w:t>
            </w:r>
          </w:p>
        </w:tc>
        <w:tc>
          <w:tcPr>
            <w:tcW w:w="1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8C78D2F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-</w:t>
            </w:r>
          </w:p>
        </w:tc>
        <w:tc>
          <w:tcPr>
            <w:tcW w:w="1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3A17D74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5D25A3EB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6C9F897C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</w:tr>
      <w:tr w14:paraId="0C1224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2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28569259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758A96A2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夏冬季</w:t>
            </w:r>
          </w:p>
        </w:tc>
        <w:tc>
          <w:tcPr>
            <w:tcW w:w="1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7650F8EB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30805050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14:paraId="097F177D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%</w:t>
            </w:r>
          </w:p>
        </w:tc>
        <w:tc>
          <w:tcPr>
            <w:tcW w:w="14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09744A49">
            <w:pPr>
              <w:spacing w:line="288" w:lineRule="auto"/>
              <w:ind w:left="210" w:leftChars="1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4"/>
                <w:szCs w:val="28"/>
                <w:highlight w:val="none"/>
              </w:rPr>
              <w:t>80%</w:t>
            </w:r>
          </w:p>
        </w:tc>
      </w:tr>
    </w:tbl>
    <w:p w14:paraId="2D02C848">
      <w:pPr>
        <w:numPr>
          <w:ilvl w:val="0"/>
          <w:numId w:val="0"/>
        </w:numPr>
        <w:spacing w:line="579" w:lineRule="exact"/>
        <w:ind w:firstLine="640" w:firstLineChar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执行时间</w:t>
      </w:r>
    </w:p>
    <w:p w14:paraId="3463A318">
      <w:pPr>
        <w:numPr>
          <w:ilvl w:val="0"/>
          <w:numId w:val="0"/>
        </w:numPr>
        <w:spacing w:line="579" w:lineRule="exact"/>
        <w:ind w:firstLine="640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大工业电价用户于2024年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日执行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一般工商业电价用户分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执行，其中1-10千伏及以上的一般工商业电价用户于2024年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日起执行，不满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千伏的一般工商业电价用户于2024年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日起正式执行。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浙江电力现货市场运行期间，工商业峰谷分时电价另有规定的，从其规定。</w:t>
      </w:r>
    </w:p>
    <w:p w14:paraId="4B01E224">
      <w:pPr>
        <w:spacing w:line="579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其他事项</w:t>
      </w:r>
    </w:p>
    <w:p w14:paraId="3EA1CEFE">
      <w:pPr>
        <w:adjustRightInd w:val="0"/>
        <w:snapToGrid w:val="0"/>
        <w:spacing w:line="579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（一）1-10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千伏及以上用户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（含集中式经营性充换电设施用户）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深谷电量按照</w:t>
      </w:r>
      <w:r>
        <w:rPr>
          <w:rFonts w:ascii="Times New Roman" w:hAnsi="Times New Roman" w:eastAsia="仿宋_GB2312" w:cs="Times New Roman"/>
          <w:sz w:val="32"/>
          <w:szCs w:val="32"/>
        </w:rPr>
        <w:t>电网企业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用电信息采集系统中电能表96点采集数据累加计算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当采集数据缺失时，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由电网企业制定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电量数据拟合办法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对缺失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数据进行拟合。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不满1千伏工商业用户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（含集中式经营性充换电设施用户）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shd w:val="clear" w:color="auto" w:fill="FFFFFF"/>
          <w:lang w:val="en-US" w:eastAsia="zh-CN"/>
        </w:rPr>
        <w:t>在计量装置具备条件后执行。</w:t>
      </w:r>
    </w:p>
    <w:p w14:paraId="7E5B55D2">
      <w:pPr>
        <w:numPr>
          <w:ilvl w:val="0"/>
          <w:numId w:val="0"/>
        </w:numPr>
        <w:spacing w:line="579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（二）各级发展改革部门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加强对峰谷分时电价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读和宣传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，及时回应用户关切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，报告执行效果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2C7503D">
      <w:pPr>
        <w:numPr>
          <w:ilvl w:val="0"/>
          <w:numId w:val="0"/>
        </w:numPr>
        <w:spacing w:line="579" w:lineRule="exact"/>
        <w:ind w:firstLine="640" w:firstLineChars="0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（三）各级电网企业要加快开展计量采集设备和电费结算系统的调整工作，提前将政策告知用户，确保政策平稳执行到位。</w:t>
      </w:r>
    </w:p>
    <w:p w14:paraId="478D0476">
      <w:pPr>
        <w:numPr>
          <w:ilvl w:val="0"/>
          <w:numId w:val="0"/>
        </w:numPr>
        <w:spacing w:line="579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</w:rPr>
        <w:t>政策执行过程中遇到的问题及建议，请及时报告省发展改革委</w:t>
      </w:r>
      <w:r>
        <w:rPr>
          <w:rFonts w:hint="eastAsia" w:ascii="FangSong_GB2312" w:hAnsi="FangSong_GB2312" w:eastAsia="FangSong_GB2312"/>
          <w:sz w:val="32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后续如国家出台新的政策，按国家政策执行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164C8874">
      <w:pPr>
        <w:spacing w:line="579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396709E">
      <w:pPr>
        <w:spacing w:line="579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浙江省发展和改革委员会</w:t>
      </w:r>
      <w:bookmarkStart w:id="0" w:name="_GoBack"/>
      <w:bookmarkEnd w:id="0"/>
    </w:p>
    <w:p w14:paraId="6178297E">
      <w:pPr>
        <w:spacing w:line="579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2024年XX月XX日</w:t>
      </w:r>
    </w:p>
    <w:p w14:paraId="79858799">
      <w:pPr>
        <w:spacing w:line="579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1D941C-3710-4389-BF8C-10A48A5815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E2C27A-4707-4DCA-9CB5-ABC572DBC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A4D697-4F51-4FFF-BA4B-84A88930F52B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5203A8A-D078-4A2B-AB6A-E26DC9CABA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732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42B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42B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DZlNzVhMWYzMzgyYzZiMDYwMDRiOTQyZDc2N2MifQ=="/>
  </w:docVars>
  <w:rsids>
    <w:rsidRoot w:val="00172A27"/>
    <w:rsid w:val="08203678"/>
    <w:rsid w:val="086A71DD"/>
    <w:rsid w:val="0F684B57"/>
    <w:rsid w:val="1A3441CE"/>
    <w:rsid w:val="24C16479"/>
    <w:rsid w:val="35AF7794"/>
    <w:rsid w:val="3EF814A0"/>
    <w:rsid w:val="4AE335EF"/>
    <w:rsid w:val="57FE1E4F"/>
    <w:rsid w:val="583E10AB"/>
    <w:rsid w:val="60851D7E"/>
    <w:rsid w:val="60A57D2E"/>
    <w:rsid w:val="61BE3037"/>
    <w:rsid w:val="627B26B2"/>
    <w:rsid w:val="63E32EE9"/>
    <w:rsid w:val="6AFB4919"/>
    <w:rsid w:val="6E7E7EFB"/>
    <w:rsid w:val="74DE655F"/>
    <w:rsid w:val="77F731AA"/>
    <w:rsid w:val="7CE66699"/>
    <w:rsid w:val="AD7DB21E"/>
    <w:rsid w:val="ADEF4B45"/>
    <w:rsid w:val="B6FF7ED1"/>
    <w:rsid w:val="BCDD8D0C"/>
    <w:rsid w:val="D6F36A02"/>
    <w:rsid w:val="E7E5BC84"/>
    <w:rsid w:val="E7FFCEC0"/>
    <w:rsid w:val="ECBAEC60"/>
    <w:rsid w:val="EF5FB1B5"/>
    <w:rsid w:val="FDE20B70"/>
    <w:rsid w:val="FF33CB1B"/>
    <w:rsid w:val="FFFDE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2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sz w:val="36"/>
      <w:szCs w:val="36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1183</Characters>
  <Lines>0</Lines>
  <Paragraphs>0</Paragraphs>
  <TotalTime>3</TotalTime>
  <ScaleCrop>false</ScaleCrop>
  <LinksUpToDate>false</LinksUpToDate>
  <CharactersWithSpaces>1188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2023-10-29T14:03:00Z</dcterms:created>
  <dc:creator>张萍</dc:creator>
  <cp:lastModifiedBy>KINGOP-</cp:lastModifiedBy>
  <dcterms:modified xsi:type="dcterms:W3CDTF">2025-06-24T09:17:45Z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51FCFA9717F740C99E9FEE8985483153_13</vt:lpwstr>
  </property>
  <property fmtid="{D5CDD505-2E9C-101B-9397-08002B2CF9AE}" pid="4" name="KSOTemplateDocerSaveRecord">
    <vt:lpwstr>eyJoZGlkIjoiYWFiZTFkMjUyYWFjZTkzNDAzNDAzNmFiMTU0N2JjM2IiLCJ1c2VySWQiOiIzMjA0NTc1NDYifQ==</vt:lpwstr>
  </property>
</Properties>
</file>