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诸暨市财政局关于公布行政规范性文件清理结果的通知（征求意见稿）</w:t>
      </w:r>
    </w:p>
    <w:p>
      <w:pPr>
        <w:numPr>
          <w:ilvl w:val="0"/>
          <w:numId w:val="0"/>
        </w:numPr>
        <w:jc w:val="center"/>
        <w:rPr>
          <w:rFonts w:hint="eastAsia" w:ascii="仿宋_GB2312" w:hAnsi="仿宋_GB2312" w:eastAsia="仿宋_GB2312" w:cs="仿宋_GB2312"/>
          <w:sz w:val="32"/>
          <w:szCs w:val="32"/>
          <w:lang w:val="en-US" w:eastAsia="zh-CN"/>
        </w:rPr>
      </w:pPr>
    </w:p>
    <w:p>
      <w:pPr>
        <w:keepNext w:val="0"/>
        <w:keepLines/>
        <w:pageBreakBefore w:val="0"/>
        <w:widowControl/>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根据《浙江省行政规范性文件管理办法》，</w:t>
      </w:r>
      <w:r>
        <w:rPr>
          <w:rFonts w:hint="eastAsia" w:ascii="仿宋" w:hAnsi="仿宋" w:eastAsia="仿宋" w:cs="仿宋"/>
          <w:color w:val="auto"/>
          <w:sz w:val="32"/>
          <w:szCs w:val="32"/>
          <w:lang w:val="en-US" w:eastAsia="zh-CN"/>
        </w:rPr>
        <w:t>诸暨市财政局</w:t>
      </w:r>
      <w:r>
        <w:rPr>
          <w:rFonts w:hint="eastAsia" w:ascii="仿宋_GB2312" w:hAnsi="仿宋_GB2312" w:eastAsia="仿宋_GB2312" w:cs="仿宋_GB2312"/>
          <w:kern w:val="0"/>
          <w:sz w:val="32"/>
          <w:szCs w:val="32"/>
          <w:lang w:val="en-US" w:eastAsia="zh-CN"/>
        </w:rPr>
        <w:t>对2007年7月1日起至2024年11月30日止期间本部门制发、牵头制发的行政规范性文件进行了清理。经过清理，继续有效的行政规范性文件9件，失效废止的行政规范性文件5件。现将清理结果予以公布。</w:t>
      </w:r>
      <w:bookmarkStart w:id="0" w:name="_GoBack"/>
      <w:bookmarkEnd w:id="0"/>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本通知自发布之日起30日后施行。</w:t>
      </w:r>
    </w:p>
    <w:p>
      <w:pPr>
        <w:numPr>
          <w:ilvl w:val="0"/>
          <w:numId w:val="0"/>
        </w:numPr>
        <w:ind w:firstLine="640"/>
        <w:jc w:val="left"/>
        <w:rPr>
          <w:rFonts w:hint="eastAsia" w:ascii="仿宋_GB2312" w:hAnsi="仿宋_GB2312" w:eastAsia="仿宋_GB2312" w:cs="仿宋_GB2312"/>
          <w:sz w:val="32"/>
          <w:szCs w:val="32"/>
          <w:lang w:val="en-US" w:eastAsia="zh-CN"/>
        </w:rPr>
      </w:pPr>
    </w:p>
    <w:p>
      <w:pPr>
        <w:numPr>
          <w:ilvl w:val="0"/>
          <w:numId w:val="0"/>
        </w:numPr>
        <w:ind w:firstLine="64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kern w:val="0"/>
          <w:sz w:val="32"/>
          <w:szCs w:val="32"/>
          <w:lang w:val="en-US" w:eastAsia="zh-CN"/>
        </w:rPr>
        <w:t>诸暨市财政局</w:t>
      </w:r>
      <w:r>
        <w:rPr>
          <w:rFonts w:hint="eastAsia" w:ascii="仿宋_GB2312" w:hAnsi="仿宋_GB2312" w:eastAsia="仿宋_GB2312" w:cs="仿宋_GB2312"/>
          <w:kern w:val="0"/>
          <w:sz w:val="32"/>
          <w:szCs w:val="32"/>
          <w:lang w:eastAsia="zh-CN"/>
        </w:rPr>
        <w:t>继续有效行政规范性文件目录</w:t>
      </w:r>
    </w:p>
    <w:p>
      <w:pPr>
        <w:numPr>
          <w:ilvl w:val="0"/>
          <w:numId w:val="0"/>
        </w:numPr>
        <w:ind w:firstLine="64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2.诸暨市财政局废止失效行政规范性文件目录</w:t>
      </w:r>
    </w:p>
    <w:p>
      <w:pPr>
        <w:numPr>
          <w:ilvl w:val="0"/>
          <w:numId w:val="0"/>
        </w:numPr>
        <w:ind w:firstLine="640"/>
        <w:jc w:val="left"/>
        <w:rPr>
          <w:rFonts w:hint="default" w:ascii="仿宋_GB2312" w:hAnsi="仿宋_GB2312" w:eastAsia="仿宋_GB2312" w:cs="仿宋_GB2312"/>
          <w:kern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_GB2312" w:hAnsi="仿宋_GB2312" w:eastAsia="仿宋_GB2312" w:cs="仿宋_GB2312"/>
          <w:kern w:val="2"/>
          <w:sz w:val="32"/>
          <w:szCs w:val="32"/>
          <w:lang w:val="en-US" w:eastAsia="zh-CN" w:bidi="ar-SA"/>
        </w:rPr>
      </w:pPr>
      <w:r>
        <w:rPr>
          <w:rFonts w:hint="eastAsia" w:ascii="仿宋" w:hAnsi="仿宋" w:eastAsia="仿宋" w:cs="仿宋"/>
          <w:color w:val="auto"/>
          <w:sz w:val="32"/>
          <w:szCs w:val="32"/>
          <w:lang w:val="en-US" w:eastAsia="zh-CN"/>
        </w:rPr>
        <w:t>诸暨市财政局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2025年1月2日</w:t>
      </w:r>
    </w:p>
    <w:p>
      <w:pPr>
        <w:numPr>
          <w:ilvl w:val="0"/>
          <w:numId w:val="0"/>
        </w:numPr>
        <w:ind w:firstLine="640" w:firstLineChars="200"/>
        <w:jc w:val="left"/>
        <w:rPr>
          <w:rFonts w:hint="eastAsia" w:ascii="仿宋_GB2312" w:hAnsi="仿宋_GB2312" w:eastAsia="仿宋_GB2312" w:cs="仿宋_GB2312"/>
          <w:kern w:val="0"/>
          <w:sz w:val="32"/>
          <w:szCs w:val="32"/>
          <w:lang w:val="en-US" w:eastAsia="zh-CN"/>
        </w:rPr>
      </w:pPr>
    </w:p>
    <w:p>
      <w:pPr>
        <w:numPr>
          <w:ilvl w:val="0"/>
          <w:numId w:val="0"/>
        </w:numPr>
        <w:ind w:firstLine="640" w:firstLineChars="200"/>
        <w:jc w:val="left"/>
        <w:rPr>
          <w:rFonts w:hint="eastAsia" w:ascii="仿宋_GB2312" w:hAnsi="仿宋_GB2312" w:eastAsia="仿宋_GB2312" w:cs="仿宋_GB2312"/>
          <w:kern w:val="0"/>
          <w:sz w:val="32"/>
          <w:szCs w:val="32"/>
          <w:lang w:val="en-US" w:eastAsia="zh-CN"/>
        </w:rPr>
      </w:pPr>
    </w:p>
    <w:p>
      <w:pPr>
        <w:numPr>
          <w:ilvl w:val="0"/>
          <w:numId w:val="0"/>
        </w:numPr>
        <w:ind w:firstLine="640" w:firstLineChars="200"/>
        <w:jc w:val="left"/>
        <w:rPr>
          <w:rFonts w:hint="eastAsia" w:ascii="仿宋_GB2312" w:hAnsi="仿宋_GB2312" w:eastAsia="仿宋_GB2312" w:cs="仿宋_GB2312"/>
          <w:kern w:val="0"/>
          <w:sz w:val="32"/>
          <w:szCs w:val="32"/>
          <w:lang w:val="en-US" w:eastAsia="zh-CN"/>
        </w:rPr>
      </w:pPr>
    </w:p>
    <w:p>
      <w:pPr>
        <w:numPr>
          <w:ilvl w:val="0"/>
          <w:numId w:val="0"/>
        </w:numPr>
        <w:ind w:firstLine="640" w:firstLineChars="200"/>
        <w:jc w:val="left"/>
        <w:rPr>
          <w:rFonts w:hint="eastAsia" w:ascii="仿宋_GB2312" w:hAnsi="仿宋_GB2312" w:eastAsia="仿宋_GB2312" w:cs="仿宋_GB2312"/>
          <w:kern w:val="0"/>
          <w:sz w:val="32"/>
          <w:szCs w:val="32"/>
          <w:lang w:val="en-US" w:eastAsia="zh-CN"/>
        </w:rPr>
      </w:pPr>
    </w:p>
    <w:p>
      <w:pPr>
        <w:numPr>
          <w:ilvl w:val="0"/>
          <w:numId w:val="0"/>
        </w:numPr>
        <w:ind w:firstLine="640" w:firstLineChars="200"/>
        <w:jc w:val="left"/>
        <w:rPr>
          <w:rFonts w:hint="eastAsia" w:ascii="仿宋_GB2312" w:hAnsi="仿宋_GB2312" w:eastAsia="仿宋_GB2312" w:cs="仿宋_GB2312"/>
          <w:kern w:val="0"/>
          <w:sz w:val="32"/>
          <w:szCs w:val="32"/>
          <w:lang w:val="en-US" w:eastAsia="zh-CN"/>
        </w:rPr>
      </w:pPr>
    </w:p>
    <w:p>
      <w:pPr>
        <w:numPr>
          <w:ilvl w:val="0"/>
          <w:numId w:val="0"/>
        </w:numPr>
        <w:ind w:firstLine="640" w:firstLineChars="200"/>
        <w:jc w:val="left"/>
        <w:rPr>
          <w:rFonts w:hint="eastAsia" w:ascii="仿宋_GB2312" w:hAnsi="仿宋_GB2312" w:eastAsia="仿宋_GB2312" w:cs="仿宋_GB2312"/>
          <w:kern w:val="0"/>
          <w:sz w:val="32"/>
          <w:szCs w:val="32"/>
          <w:lang w:val="en-US" w:eastAsia="zh-CN"/>
        </w:rPr>
      </w:pPr>
    </w:p>
    <w:p>
      <w:pPr>
        <w:numPr>
          <w:ilvl w:val="0"/>
          <w:numId w:val="0"/>
        </w:numPr>
        <w:ind w:firstLine="640" w:firstLineChars="200"/>
        <w:jc w:val="left"/>
        <w:rPr>
          <w:rFonts w:hint="eastAsia" w:ascii="仿宋_GB2312" w:hAnsi="仿宋_GB2312" w:eastAsia="仿宋_GB2312" w:cs="仿宋_GB2312"/>
          <w:kern w:val="0"/>
          <w:sz w:val="32"/>
          <w:szCs w:val="32"/>
          <w:lang w:val="en-US" w:eastAsia="zh-CN"/>
        </w:rPr>
      </w:pPr>
    </w:p>
    <w:p>
      <w:pPr>
        <w:numPr>
          <w:ilvl w:val="0"/>
          <w:numId w:val="0"/>
        </w:numPr>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附件1</w:t>
      </w:r>
    </w:p>
    <w:p>
      <w:pPr>
        <w:numPr>
          <w:ilvl w:val="0"/>
          <w:numId w:val="0"/>
        </w:numPr>
        <w:jc w:val="center"/>
        <w:rPr>
          <w:rFonts w:hint="eastAsia" w:ascii="方正小标宋简体" w:hAnsi="方正小标宋简体" w:eastAsia="方正小标宋简体" w:cs="方正小标宋简体"/>
          <w:kern w:val="0"/>
          <w:sz w:val="36"/>
          <w:szCs w:val="36"/>
          <w:lang w:val="en-US" w:eastAsia="zh-CN"/>
        </w:rPr>
      </w:pPr>
    </w:p>
    <w:p>
      <w:pPr>
        <w:numPr>
          <w:ilvl w:val="0"/>
          <w:numId w:val="0"/>
        </w:numPr>
        <w:jc w:val="center"/>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诸暨市财政局</w:t>
      </w:r>
      <w:r>
        <w:rPr>
          <w:rFonts w:hint="eastAsia" w:ascii="方正小标宋简体" w:hAnsi="方正小标宋简体" w:eastAsia="方正小标宋简体" w:cs="方正小标宋简体"/>
          <w:kern w:val="0"/>
          <w:sz w:val="36"/>
          <w:szCs w:val="36"/>
          <w:lang w:eastAsia="zh-CN"/>
        </w:rPr>
        <w:t>继续有效行政规范性文件目录</w:t>
      </w:r>
    </w:p>
    <w:tbl>
      <w:tblPr>
        <w:tblStyle w:val="3"/>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459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eastAsia="黑体"/>
                <w:spacing w:val="0"/>
                <w:sz w:val="28"/>
                <w:szCs w:val="28"/>
              </w:rPr>
            </w:pPr>
            <w:r>
              <w:rPr>
                <w:rFonts w:hint="eastAsia" w:ascii="黑体" w:eastAsia="黑体"/>
                <w:spacing w:val="0"/>
                <w:sz w:val="28"/>
                <w:szCs w:val="28"/>
              </w:rPr>
              <w:t>序号</w:t>
            </w:r>
          </w:p>
        </w:tc>
        <w:tc>
          <w:tcPr>
            <w:tcW w:w="4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eastAsia="黑体"/>
                <w:spacing w:val="0"/>
                <w:sz w:val="28"/>
                <w:szCs w:val="28"/>
              </w:rPr>
            </w:pPr>
            <w:r>
              <w:rPr>
                <w:rFonts w:hint="eastAsia" w:ascii="黑体" w:eastAsia="黑体"/>
                <w:spacing w:val="0"/>
                <w:sz w:val="28"/>
                <w:szCs w:val="28"/>
              </w:rPr>
              <w:t>文件名</w:t>
            </w:r>
          </w:p>
        </w:tc>
        <w:tc>
          <w:tcPr>
            <w:tcW w:w="2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eastAsia="黑体"/>
                <w:spacing w:val="0"/>
                <w:sz w:val="28"/>
                <w:szCs w:val="28"/>
              </w:rPr>
            </w:pPr>
            <w:r>
              <w:rPr>
                <w:rFonts w:hint="eastAsia" w:ascii="黑体" w:eastAsia="黑体"/>
                <w:spacing w:val="0"/>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kern w:val="2"/>
                <w:sz w:val="24"/>
                <w:szCs w:val="24"/>
                <w:lang w:val="en-US" w:eastAsia="zh-CN" w:bidi="ar-SA"/>
              </w:rPr>
            </w:pPr>
            <w:r>
              <w:rPr>
                <w:rFonts w:hint="eastAsia" w:ascii="仿宋_GB2312" w:hAnsi="仿宋_GB2312" w:eastAsia="仿宋_GB2312" w:cs="仿宋_GB2312"/>
                <w:color w:val="auto"/>
                <w:w w:val="100"/>
                <w:kern w:val="2"/>
                <w:sz w:val="24"/>
                <w:szCs w:val="24"/>
                <w:lang w:val="en-US" w:eastAsia="zh-CN" w:bidi="ar-SA"/>
              </w:rPr>
              <w:t>1</w:t>
            </w:r>
          </w:p>
        </w:tc>
        <w:tc>
          <w:tcPr>
            <w:tcW w:w="459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关于印发诸暨市基本公共文化服务专项资金管理办法的通知</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 xml:space="preserve">诸财行〔2018〕170号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kern w:val="2"/>
                <w:sz w:val="24"/>
                <w:szCs w:val="24"/>
                <w:lang w:val="en-US" w:eastAsia="zh-CN" w:bidi="ar-SA"/>
              </w:rPr>
            </w:pPr>
            <w:r>
              <w:rPr>
                <w:rFonts w:hint="eastAsia" w:ascii="仿宋_GB2312" w:hAnsi="仿宋_GB2312" w:eastAsia="仿宋_GB2312" w:cs="仿宋_GB2312"/>
                <w:color w:val="auto"/>
                <w:w w:val="100"/>
                <w:kern w:val="2"/>
                <w:sz w:val="24"/>
                <w:szCs w:val="24"/>
                <w:lang w:val="en-US" w:eastAsia="zh-CN" w:bidi="ar-SA"/>
              </w:rPr>
              <w:t>2</w:t>
            </w:r>
          </w:p>
        </w:tc>
        <w:tc>
          <w:tcPr>
            <w:tcW w:w="459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关于修改《诸暨市行政事业单位房地产管理暂行办法实施细则》的通知</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诸财资〔2019〕34号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color w:val="auto"/>
                <w:w w:val="100"/>
                <w:kern w:val="2"/>
                <w:sz w:val="24"/>
                <w:szCs w:val="24"/>
                <w:lang w:val="en-US" w:eastAsia="zh-CN" w:bidi="ar-SA"/>
              </w:rPr>
            </w:pPr>
            <w:r>
              <w:rPr>
                <w:rFonts w:hint="eastAsia" w:ascii="仿宋_GB2312" w:hAnsi="仿宋_GB2312" w:eastAsia="仿宋_GB2312" w:cs="仿宋_GB2312"/>
                <w:color w:val="auto"/>
                <w:w w:val="100"/>
                <w:kern w:val="2"/>
                <w:sz w:val="24"/>
                <w:szCs w:val="24"/>
                <w:lang w:val="en-US" w:eastAsia="zh-CN" w:bidi="ar-SA"/>
              </w:rPr>
              <w:t>3</w:t>
            </w:r>
          </w:p>
        </w:tc>
        <w:tc>
          <w:tcPr>
            <w:tcW w:w="459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关于印发《诸暨市政府采购履约验收暂行办法》的通知</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诸财采监〔2020〕20号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color w:val="auto"/>
                <w:w w:val="100"/>
                <w:kern w:val="2"/>
                <w:sz w:val="24"/>
                <w:szCs w:val="24"/>
                <w:lang w:val="en-US" w:eastAsia="zh-CN" w:bidi="ar-SA"/>
              </w:rPr>
            </w:pPr>
            <w:r>
              <w:rPr>
                <w:rFonts w:hint="eastAsia" w:ascii="仿宋_GB2312" w:hAnsi="仿宋_GB2312" w:eastAsia="仿宋_GB2312" w:cs="仿宋_GB2312"/>
                <w:color w:val="auto"/>
                <w:w w:val="100"/>
                <w:kern w:val="2"/>
                <w:sz w:val="24"/>
                <w:szCs w:val="24"/>
                <w:lang w:val="en-US" w:eastAsia="zh-CN" w:bidi="ar-SA"/>
              </w:rPr>
              <w:t>4</w:t>
            </w:r>
          </w:p>
        </w:tc>
        <w:tc>
          <w:tcPr>
            <w:tcW w:w="459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关于印发诸暨市基本公共卫生服务项目补助资金管理办法的通知</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诸财社〔2020〕56号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color w:val="auto"/>
                <w:w w:val="100"/>
                <w:kern w:val="2"/>
                <w:sz w:val="24"/>
                <w:szCs w:val="24"/>
                <w:lang w:val="en-US" w:eastAsia="zh-CN" w:bidi="ar-SA"/>
              </w:rPr>
            </w:pPr>
            <w:r>
              <w:rPr>
                <w:rFonts w:hint="eastAsia" w:ascii="仿宋_GB2312" w:hAnsi="仿宋_GB2312" w:eastAsia="仿宋_GB2312" w:cs="仿宋_GB2312"/>
                <w:color w:val="auto"/>
                <w:w w:val="100"/>
                <w:kern w:val="2"/>
                <w:sz w:val="24"/>
                <w:szCs w:val="24"/>
                <w:lang w:val="en-US" w:eastAsia="zh-CN" w:bidi="ar-SA"/>
              </w:rPr>
              <w:t>5</w:t>
            </w:r>
          </w:p>
        </w:tc>
        <w:tc>
          <w:tcPr>
            <w:tcW w:w="459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关于印发《诸暨市林业专项资金管理办法》的通知</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诸财综〔2020〕76号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color w:val="auto"/>
                <w:w w:val="100"/>
                <w:kern w:val="2"/>
                <w:sz w:val="24"/>
                <w:szCs w:val="24"/>
                <w:lang w:val="en-US" w:eastAsia="zh-CN" w:bidi="ar-SA"/>
              </w:rPr>
            </w:pPr>
            <w:r>
              <w:rPr>
                <w:rFonts w:hint="eastAsia" w:ascii="仿宋_GB2312" w:hAnsi="仿宋_GB2312" w:eastAsia="仿宋_GB2312" w:cs="仿宋_GB2312"/>
                <w:color w:val="auto"/>
                <w:w w:val="100"/>
                <w:kern w:val="2"/>
                <w:sz w:val="24"/>
                <w:szCs w:val="24"/>
                <w:lang w:val="en-US" w:eastAsia="zh-CN" w:bidi="ar-SA"/>
              </w:rPr>
              <w:t>6</w:t>
            </w:r>
          </w:p>
        </w:tc>
        <w:tc>
          <w:tcPr>
            <w:tcW w:w="459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关于公布全文有效 全文失效废止的行政规范性文件目录的通知</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诸财办〔2021〕58号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color w:val="auto"/>
                <w:w w:val="100"/>
                <w:kern w:val="2"/>
                <w:sz w:val="24"/>
                <w:szCs w:val="24"/>
                <w:lang w:val="en-US" w:eastAsia="zh-CN" w:bidi="ar-SA"/>
              </w:rPr>
            </w:pPr>
            <w:r>
              <w:rPr>
                <w:rFonts w:hint="eastAsia" w:ascii="仿宋_GB2312" w:hAnsi="仿宋_GB2312" w:eastAsia="仿宋_GB2312" w:cs="仿宋_GB2312"/>
                <w:color w:val="auto"/>
                <w:w w:val="100"/>
                <w:kern w:val="2"/>
                <w:sz w:val="24"/>
                <w:szCs w:val="24"/>
                <w:lang w:val="en-US" w:eastAsia="zh-CN" w:bidi="ar-SA"/>
              </w:rPr>
              <w:t>7</w:t>
            </w:r>
          </w:p>
        </w:tc>
        <w:tc>
          <w:tcPr>
            <w:tcW w:w="459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关于印发诸暨市村级公益事业建设一事一议财政奖补资金使用管理制度的通知</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诸财基〔2021〕59号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color w:val="auto"/>
                <w:w w:val="100"/>
                <w:kern w:val="2"/>
                <w:sz w:val="24"/>
                <w:szCs w:val="24"/>
                <w:lang w:val="en-US" w:eastAsia="zh-CN" w:bidi="ar-SA"/>
              </w:rPr>
            </w:pPr>
            <w:r>
              <w:rPr>
                <w:rFonts w:hint="eastAsia" w:ascii="仿宋_GB2312" w:hAnsi="仿宋_GB2312" w:eastAsia="仿宋_GB2312" w:cs="仿宋_GB2312"/>
                <w:color w:val="auto"/>
                <w:w w:val="100"/>
                <w:kern w:val="2"/>
                <w:sz w:val="24"/>
                <w:szCs w:val="24"/>
                <w:lang w:val="en-US" w:eastAsia="zh-CN" w:bidi="ar-SA"/>
              </w:rPr>
              <w:t>8</w:t>
            </w:r>
          </w:p>
        </w:tc>
        <w:tc>
          <w:tcPr>
            <w:tcW w:w="459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诸暨市本级粮食风险基金管理办法</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诸财企〔2021〕60号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color w:val="auto"/>
                <w:w w:val="100"/>
                <w:kern w:val="2"/>
                <w:sz w:val="24"/>
                <w:szCs w:val="24"/>
                <w:lang w:val="en-US" w:eastAsia="zh-CN" w:bidi="ar-SA"/>
              </w:rPr>
            </w:pPr>
            <w:r>
              <w:rPr>
                <w:rFonts w:hint="eastAsia" w:ascii="仿宋_GB2312" w:hAnsi="仿宋_GB2312" w:eastAsia="仿宋_GB2312" w:cs="仿宋_GB2312"/>
                <w:color w:val="auto"/>
                <w:w w:val="100"/>
                <w:kern w:val="2"/>
                <w:sz w:val="24"/>
                <w:szCs w:val="24"/>
                <w:lang w:val="en-US" w:eastAsia="zh-CN" w:bidi="ar-SA"/>
              </w:rPr>
              <w:t>9</w:t>
            </w:r>
          </w:p>
        </w:tc>
        <w:tc>
          <w:tcPr>
            <w:tcW w:w="459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关于印发《诸暨市政府性资金竞争性存放管理办法实施细则》的通知</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诸财预执〔2022〕12号</w:t>
            </w:r>
          </w:p>
        </w:tc>
      </w:tr>
    </w:tbl>
    <w:p>
      <w:pPr>
        <w:numPr>
          <w:ilvl w:val="0"/>
          <w:numId w:val="0"/>
        </w:numPr>
        <w:jc w:val="left"/>
        <w:rPr>
          <w:rFonts w:hint="eastAsia" w:ascii="仿宋_GB2312" w:hAnsi="仿宋_GB2312" w:eastAsia="仿宋_GB2312" w:cs="仿宋_GB2312"/>
          <w:kern w:val="0"/>
          <w:sz w:val="32"/>
          <w:szCs w:val="32"/>
          <w:lang w:val="en-US" w:eastAsia="zh-CN"/>
        </w:rPr>
      </w:pPr>
    </w:p>
    <w:p>
      <w:pPr>
        <w:numPr>
          <w:ilvl w:val="0"/>
          <w:numId w:val="0"/>
        </w:numPr>
        <w:jc w:val="left"/>
        <w:rPr>
          <w:rFonts w:hint="eastAsia" w:ascii="仿宋_GB2312" w:hAnsi="仿宋_GB2312" w:eastAsia="仿宋_GB2312" w:cs="仿宋_GB2312"/>
          <w:kern w:val="0"/>
          <w:sz w:val="32"/>
          <w:szCs w:val="32"/>
          <w:lang w:val="en-US" w:eastAsia="zh-CN"/>
        </w:rPr>
      </w:pPr>
    </w:p>
    <w:p>
      <w:pPr>
        <w:numPr>
          <w:ilvl w:val="0"/>
          <w:numId w:val="0"/>
        </w:numPr>
        <w:jc w:val="left"/>
        <w:rPr>
          <w:rFonts w:hint="eastAsia" w:ascii="仿宋_GB2312" w:hAnsi="仿宋_GB2312" w:eastAsia="仿宋_GB2312" w:cs="仿宋_GB2312"/>
          <w:kern w:val="0"/>
          <w:sz w:val="32"/>
          <w:szCs w:val="32"/>
          <w:lang w:val="en-US" w:eastAsia="zh-CN"/>
        </w:rPr>
      </w:pPr>
    </w:p>
    <w:p>
      <w:pPr>
        <w:numPr>
          <w:ilvl w:val="0"/>
          <w:numId w:val="0"/>
        </w:numPr>
        <w:jc w:val="left"/>
        <w:rPr>
          <w:rFonts w:hint="eastAsia" w:ascii="仿宋_GB2312" w:hAnsi="仿宋_GB2312" w:eastAsia="仿宋_GB2312" w:cs="仿宋_GB2312"/>
          <w:kern w:val="0"/>
          <w:sz w:val="32"/>
          <w:szCs w:val="32"/>
          <w:lang w:val="en-US" w:eastAsia="zh-CN"/>
        </w:rPr>
      </w:pPr>
    </w:p>
    <w:p>
      <w:pPr>
        <w:numPr>
          <w:ilvl w:val="0"/>
          <w:numId w:val="0"/>
        </w:numPr>
        <w:jc w:val="left"/>
        <w:rPr>
          <w:rFonts w:hint="eastAsia" w:ascii="仿宋_GB2312" w:hAnsi="仿宋_GB2312" w:eastAsia="仿宋_GB2312" w:cs="仿宋_GB2312"/>
          <w:kern w:val="0"/>
          <w:sz w:val="32"/>
          <w:szCs w:val="32"/>
          <w:lang w:val="en-US" w:eastAsia="zh-CN"/>
        </w:rPr>
      </w:pPr>
    </w:p>
    <w:p>
      <w:pPr>
        <w:numPr>
          <w:ilvl w:val="0"/>
          <w:numId w:val="0"/>
        </w:numPr>
        <w:jc w:val="left"/>
        <w:rPr>
          <w:rFonts w:hint="eastAsia" w:ascii="仿宋_GB2312" w:hAnsi="仿宋_GB2312" w:eastAsia="仿宋_GB2312" w:cs="仿宋_GB2312"/>
          <w:kern w:val="0"/>
          <w:sz w:val="32"/>
          <w:szCs w:val="32"/>
          <w:lang w:val="en-US" w:eastAsia="zh-CN"/>
        </w:rPr>
      </w:pPr>
    </w:p>
    <w:p>
      <w:pPr>
        <w:numPr>
          <w:ilvl w:val="0"/>
          <w:numId w:val="0"/>
        </w:numPr>
        <w:jc w:val="left"/>
        <w:rPr>
          <w:rFonts w:hint="eastAsia" w:ascii="仿宋_GB2312" w:hAnsi="仿宋_GB2312" w:eastAsia="仿宋_GB2312" w:cs="仿宋_GB2312"/>
          <w:kern w:val="0"/>
          <w:sz w:val="32"/>
          <w:szCs w:val="32"/>
          <w:lang w:val="en-US" w:eastAsia="zh-CN"/>
        </w:rPr>
      </w:pPr>
    </w:p>
    <w:p>
      <w:pPr>
        <w:numPr>
          <w:ilvl w:val="0"/>
          <w:numId w:val="0"/>
        </w:numPr>
        <w:jc w:val="left"/>
        <w:rPr>
          <w:rFonts w:hint="eastAsia" w:ascii="仿宋_GB2312" w:hAnsi="仿宋_GB2312" w:eastAsia="仿宋_GB2312" w:cs="仿宋_GB2312"/>
          <w:kern w:val="0"/>
          <w:sz w:val="32"/>
          <w:szCs w:val="32"/>
          <w:lang w:val="en-US" w:eastAsia="zh-CN"/>
        </w:rPr>
      </w:pPr>
    </w:p>
    <w:p>
      <w:pPr>
        <w:numPr>
          <w:ilvl w:val="0"/>
          <w:numId w:val="0"/>
        </w:numPr>
        <w:jc w:val="left"/>
        <w:rPr>
          <w:rFonts w:hint="eastAsia" w:ascii="仿宋_GB2312" w:hAnsi="仿宋_GB2312" w:eastAsia="仿宋_GB2312" w:cs="仿宋_GB2312"/>
          <w:kern w:val="0"/>
          <w:sz w:val="32"/>
          <w:szCs w:val="32"/>
          <w:lang w:val="en-US" w:eastAsia="zh-CN"/>
        </w:rPr>
      </w:pPr>
    </w:p>
    <w:p>
      <w:pPr>
        <w:numPr>
          <w:ilvl w:val="0"/>
          <w:numId w:val="0"/>
        </w:numPr>
        <w:jc w:val="left"/>
        <w:rPr>
          <w:rFonts w:hint="eastAsia" w:ascii="仿宋_GB2312" w:hAnsi="仿宋_GB2312" w:eastAsia="仿宋_GB2312" w:cs="仿宋_GB2312"/>
          <w:kern w:val="0"/>
          <w:sz w:val="32"/>
          <w:szCs w:val="32"/>
          <w:lang w:val="en-US" w:eastAsia="zh-CN"/>
        </w:rPr>
      </w:pPr>
    </w:p>
    <w:p>
      <w:pPr>
        <w:numPr>
          <w:ilvl w:val="0"/>
          <w:numId w:val="0"/>
        </w:numPr>
        <w:jc w:val="left"/>
        <w:rPr>
          <w:rFonts w:hint="eastAsia" w:ascii="仿宋_GB2312" w:hAnsi="仿宋_GB2312" w:eastAsia="仿宋_GB2312" w:cs="仿宋_GB2312"/>
          <w:kern w:val="0"/>
          <w:sz w:val="32"/>
          <w:szCs w:val="32"/>
          <w:lang w:val="en-US" w:eastAsia="zh-CN"/>
        </w:rPr>
      </w:pPr>
    </w:p>
    <w:p>
      <w:pPr>
        <w:numPr>
          <w:ilvl w:val="0"/>
          <w:numId w:val="0"/>
        </w:numPr>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附件2</w:t>
      </w:r>
    </w:p>
    <w:p>
      <w:pPr>
        <w:numPr>
          <w:ilvl w:val="0"/>
          <w:numId w:val="0"/>
        </w:numPr>
        <w:jc w:val="center"/>
        <w:rPr>
          <w:rFonts w:hint="eastAsia" w:ascii="方正小标宋简体" w:hAnsi="方正小标宋简体" w:eastAsia="方正小标宋简体" w:cs="方正小标宋简体"/>
          <w:kern w:val="0"/>
          <w:sz w:val="36"/>
          <w:szCs w:val="36"/>
          <w:lang w:val="en-US" w:eastAsia="zh-CN"/>
        </w:rPr>
      </w:pPr>
    </w:p>
    <w:p>
      <w:pPr>
        <w:numPr>
          <w:ilvl w:val="0"/>
          <w:numId w:val="0"/>
        </w:numPr>
        <w:jc w:val="center"/>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诸暨市财政局废止失效行政规范性文件目录</w:t>
      </w:r>
    </w:p>
    <w:tbl>
      <w:tblPr>
        <w:tblStyle w:val="3"/>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459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eastAsia="黑体"/>
                <w:spacing w:val="0"/>
                <w:sz w:val="28"/>
                <w:szCs w:val="28"/>
              </w:rPr>
            </w:pPr>
            <w:r>
              <w:rPr>
                <w:rFonts w:hint="eastAsia" w:ascii="黑体" w:eastAsia="黑体"/>
                <w:spacing w:val="0"/>
                <w:sz w:val="28"/>
                <w:szCs w:val="28"/>
              </w:rPr>
              <w:t>序号</w:t>
            </w:r>
          </w:p>
        </w:tc>
        <w:tc>
          <w:tcPr>
            <w:tcW w:w="4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eastAsia="黑体"/>
                <w:spacing w:val="0"/>
                <w:sz w:val="28"/>
                <w:szCs w:val="28"/>
              </w:rPr>
            </w:pPr>
            <w:r>
              <w:rPr>
                <w:rFonts w:hint="eastAsia" w:ascii="黑体" w:eastAsia="黑体"/>
                <w:spacing w:val="0"/>
                <w:sz w:val="28"/>
                <w:szCs w:val="28"/>
              </w:rPr>
              <w:t>文件名</w:t>
            </w:r>
          </w:p>
        </w:tc>
        <w:tc>
          <w:tcPr>
            <w:tcW w:w="2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eastAsia="黑体"/>
                <w:spacing w:val="0"/>
                <w:sz w:val="28"/>
                <w:szCs w:val="28"/>
              </w:rPr>
            </w:pPr>
            <w:r>
              <w:rPr>
                <w:rFonts w:hint="eastAsia" w:ascii="黑体" w:eastAsia="黑体"/>
                <w:spacing w:val="0"/>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kern w:val="2"/>
                <w:sz w:val="24"/>
                <w:szCs w:val="24"/>
                <w:lang w:val="en-US" w:eastAsia="zh-CN" w:bidi="ar-SA"/>
              </w:rPr>
            </w:pPr>
            <w:r>
              <w:rPr>
                <w:rFonts w:hint="eastAsia" w:ascii="仿宋_GB2312" w:hAnsi="仿宋_GB2312" w:eastAsia="仿宋_GB2312" w:cs="仿宋_GB2312"/>
                <w:color w:val="auto"/>
                <w:w w:val="100"/>
                <w:kern w:val="2"/>
                <w:sz w:val="24"/>
                <w:szCs w:val="24"/>
                <w:lang w:val="en-US" w:eastAsia="zh-CN" w:bidi="ar-SA"/>
              </w:rPr>
              <w:t>1</w:t>
            </w:r>
          </w:p>
        </w:tc>
        <w:tc>
          <w:tcPr>
            <w:tcW w:w="459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关于印发《诸暨市被征地农民基本生活保障资金管理暂行办法》的通知</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诸财社〔2007〕132号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w w:val="100"/>
                <w:kern w:val="2"/>
                <w:sz w:val="24"/>
                <w:szCs w:val="24"/>
                <w:lang w:val="en-US" w:eastAsia="zh-CN" w:bidi="ar-SA"/>
              </w:rPr>
            </w:pPr>
            <w:r>
              <w:rPr>
                <w:rFonts w:hint="eastAsia" w:ascii="仿宋_GB2312" w:hAnsi="仿宋_GB2312" w:eastAsia="仿宋_GB2312" w:cs="仿宋_GB2312"/>
                <w:color w:val="auto"/>
                <w:w w:val="100"/>
                <w:kern w:val="2"/>
                <w:sz w:val="24"/>
                <w:szCs w:val="24"/>
                <w:lang w:val="en-US" w:eastAsia="zh-CN" w:bidi="ar-SA"/>
              </w:rPr>
              <w:t>2</w:t>
            </w:r>
          </w:p>
        </w:tc>
        <w:tc>
          <w:tcPr>
            <w:tcW w:w="459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关于《诸暨市医疗救助资金管理暂行办法》的通知</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 xml:space="preserve">诸财社〔2007〕134号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color w:val="auto"/>
                <w:w w:val="100"/>
                <w:kern w:val="2"/>
                <w:sz w:val="24"/>
                <w:szCs w:val="24"/>
                <w:lang w:val="en-US" w:eastAsia="zh-CN" w:bidi="ar-SA"/>
              </w:rPr>
            </w:pPr>
            <w:r>
              <w:rPr>
                <w:rFonts w:hint="eastAsia" w:ascii="仿宋_GB2312" w:hAnsi="仿宋_GB2312" w:eastAsia="仿宋_GB2312" w:cs="仿宋_GB2312"/>
                <w:color w:val="auto"/>
                <w:w w:val="100"/>
                <w:kern w:val="2"/>
                <w:sz w:val="24"/>
                <w:szCs w:val="24"/>
                <w:lang w:val="en-US" w:eastAsia="zh-CN" w:bidi="ar-SA"/>
              </w:rPr>
              <w:t>3</w:t>
            </w:r>
          </w:p>
        </w:tc>
        <w:tc>
          <w:tcPr>
            <w:tcW w:w="459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关于印发《诸暨市超计划用水累进加价水费征收管理暂行办法》的通知</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诸财综〔2012〕320号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color w:val="auto"/>
                <w:w w:val="100"/>
                <w:kern w:val="2"/>
                <w:sz w:val="24"/>
                <w:szCs w:val="24"/>
                <w:lang w:val="en-US" w:eastAsia="zh-CN" w:bidi="ar-SA"/>
              </w:rPr>
            </w:pPr>
            <w:r>
              <w:rPr>
                <w:rFonts w:hint="eastAsia" w:ascii="仿宋_GB2312" w:hAnsi="仿宋_GB2312" w:eastAsia="仿宋_GB2312" w:cs="仿宋_GB2312"/>
                <w:color w:val="auto"/>
                <w:w w:val="100"/>
                <w:kern w:val="2"/>
                <w:sz w:val="24"/>
                <w:szCs w:val="24"/>
                <w:lang w:val="en-US" w:eastAsia="zh-CN" w:bidi="ar-SA"/>
              </w:rPr>
              <w:t>4</w:t>
            </w:r>
          </w:p>
        </w:tc>
        <w:tc>
          <w:tcPr>
            <w:tcW w:w="459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关于印发《诸暨市美丽乡村建设财政专项资金使用管理办法》的通知</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诸财农〔2015〕171号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color w:val="auto"/>
                <w:w w:val="100"/>
                <w:kern w:val="2"/>
                <w:sz w:val="24"/>
                <w:szCs w:val="24"/>
                <w:lang w:val="en-US" w:eastAsia="zh-CN" w:bidi="ar-SA"/>
              </w:rPr>
            </w:pPr>
            <w:r>
              <w:rPr>
                <w:rFonts w:hint="eastAsia" w:ascii="仿宋_GB2312" w:hAnsi="仿宋_GB2312" w:eastAsia="仿宋_GB2312" w:cs="仿宋_GB2312"/>
                <w:color w:val="auto"/>
                <w:w w:val="100"/>
                <w:kern w:val="2"/>
                <w:sz w:val="24"/>
                <w:szCs w:val="24"/>
                <w:lang w:val="en-US" w:eastAsia="zh-CN" w:bidi="ar-SA"/>
              </w:rPr>
              <w:t>5</w:t>
            </w:r>
          </w:p>
        </w:tc>
        <w:tc>
          <w:tcPr>
            <w:tcW w:w="459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诸暨市财政局 诸暨市农业局关于印发诸暨市现代农业发展专项资金管理办法的通知</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诸财农〔2015〕179号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D4A88"/>
    <w:rsid w:val="08C565F2"/>
    <w:rsid w:val="0E7819CB"/>
    <w:rsid w:val="16321C77"/>
    <w:rsid w:val="29637A76"/>
    <w:rsid w:val="2F923E45"/>
    <w:rsid w:val="338F2426"/>
    <w:rsid w:val="36D41B01"/>
    <w:rsid w:val="39B10FB5"/>
    <w:rsid w:val="4252155E"/>
    <w:rsid w:val="65D649A4"/>
    <w:rsid w:val="6B8E0982"/>
    <w:rsid w:val="7FA5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正文缩进1"/>
    <w:qFormat/>
    <w:uiPriority w:val="99"/>
    <w:pPr>
      <w:widowControl w:val="0"/>
      <w:ind w:firstLine="420" w:firstLineChars="200"/>
      <w:jc w:val="both"/>
    </w:pPr>
    <w:rPr>
      <w:rFonts w:ascii="Times New Roman" w:hAnsi="Times New Roman" w:eastAsia="仿宋_GB2312"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2025-01-02T03:00:00Z</dcterms:created>
  <dc:creator>CZJ</dc:creator>
  <cp:lastModifiedBy>Crown</cp:lastModifiedBy>
  <dcterms:modified xsi:type="dcterms:W3CDTF">2025-01-02T06:08:00Z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B4B96F948CB34B8F9FB73F9203DE3912</vt:lpwstr>
  </property>
</Properties>
</file>