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E55F6">
      <w:pPr>
        <w:spacing w:line="560" w:lineRule="exact"/>
        <w:jc w:val="center"/>
        <w:rPr>
          <w:rFonts w:ascii="方正小标宋_GBK" w:hAnsi="Calibri" w:eastAsia="方正小标宋_GBK"/>
          <w:sz w:val="44"/>
          <w:szCs w:val="44"/>
          <w:u w:val="none"/>
        </w:rPr>
      </w:pPr>
      <w:r>
        <w:rPr>
          <w:rFonts w:hint="eastAsia" w:ascii="方正小标宋_GBK" w:hAnsi="宋体" w:eastAsia="方正小标宋_GBK" w:cs="宋体"/>
          <w:kern w:val="0"/>
          <w:sz w:val="44"/>
          <w:szCs w:val="44"/>
          <w:u w:val="none"/>
        </w:rPr>
        <w:t>《</w:t>
      </w:r>
      <w:r>
        <w:rPr>
          <w:rFonts w:hint="eastAsia" w:ascii="方正小标宋简体" w:hAnsi="方正小标宋简体" w:eastAsia="方正小标宋简体" w:cs="方正小标宋简体"/>
          <w:color w:val="auto"/>
          <w:sz w:val="44"/>
          <w:szCs w:val="44"/>
          <w:highlight w:val="none"/>
          <w:u w:val="none"/>
        </w:rPr>
        <w:t>龙湾区征收集体土地涉及住宅用房补偿实施细则</w:t>
      </w:r>
      <w:r>
        <w:rPr>
          <w:rFonts w:hint="eastAsia" w:ascii="方正小标宋_GBK" w:hAnsi="宋体" w:eastAsia="方正小标宋_GBK" w:cs="宋体"/>
          <w:kern w:val="0"/>
          <w:sz w:val="44"/>
          <w:szCs w:val="44"/>
          <w:u w:val="none"/>
        </w:rPr>
        <w:t>》</w:t>
      </w:r>
      <w:r>
        <w:rPr>
          <w:rFonts w:hint="eastAsia" w:ascii="方正小标宋_GBK" w:hAnsi="ˎ̥" w:eastAsia="方正小标宋_GBK" w:cs="宋体"/>
          <w:bCs/>
          <w:kern w:val="0"/>
          <w:sz w:val="44"/>
          <w:szCs w:val="44"/>
          <w:u w:val="none"/>
        </w:rPr>
        <w:t>起草说明</w:t>
      </w:r>
    </w:p>
    <w:p w14:paraId="20D5F00B">
      <w:pPr>
        <w:adjustRightInd w:val="0"/>
        <w:snapToGrid w:val="0"/>
        <w:spacing w:line="560" w:lineRule="exact"/>
        <w:jc w:val="center"/>
        <w:rPr>
          <w:rFonts w:ascii="仿宋_GB2312" w:hAnsi="ˎ̥" w:eastAsia="仿宋_GB2312" w:cs="宋体"/>
          <w:b/>
          <w:kern w:val="0"/>
          <w:sz w:val="32"/>
          <w:szCs w:val="32"/>
          <w:u w:val="none"/>
        </w:rPr>
      </w:pPr>
    </w:p>
    <w:p w14:paraId="5A0FCC4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现就报送合法性审查的《</w:t>
      </w:r>
      <w:r>
        <w:rPr>
          <w:rFonts w:hint="eastAsia" w:ascii="仿宋_GB2312" w:hAnsi="宋体" w:eastAsia="仿宋_GB2312" w:cs="宋体"/>
          <w:kern w:val="0"/>
          <w:sz w:val="32"/>
          <w:szCs w:val="32"/>
          <w:u w:val="none"/>
          <w:lang w:eastAsia="zh-CN"/>
        </w:rPr>
        <w:t>龙湾区征收集体土地涉及住宅用房补偿实施细则</w:t>
      </w:r>
      <w:r>
        <w:rPr>
          <w:rFonts w:hint="eastAsia" w:ascii="仿宋_GB2312" w:hAnsi="宋体" w:eastAsia="仿宋_GB2312" w:cs="宋体"/>
          <w:kern w:val="0"/>
          <w:sz w:val="32"/>
          <w:szCs w:val="32"/>
          <w:u w:val="none"/>
        </w:rPr>
        <w:t>》（以下简称《细则》）有关情况汇报如下：</w:t>
      </w:r>
    </w:p>
    <w:p w14:paraId="34B94DD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ascii="黑体" w:hAnsi="ˎ̥" w:eastAsia="黑体" w:cs="宋体"/>
          <w:kern w:val="0"/>
          <w:sz w:val="32"/>
          <w:szCs w:val="32"/>
          <w:u w:val="none"/>
        </w:rPr>
      </w:pPr>
      <w:r>
        <w:rPr>
          <w:rFonts w:hint="eastAsia" w:ascii="黑体" w:hAnsi="ˎ̥" w:eastAsia="黑体" w:cs="宋体"/>
          <w:bCs/>
          <w:kern w:val="0"/>
          <w:sz w:val="32"/>
          <w:szCs w:val="32"/>
          <w:u w:val="none"/>
        </w:rPr>
        <w:t>一、文件涉法内容</w:t>
      </w:r>
    </w:p>
    <w:p w14:paraId="1C00E8A6">
      <w:pPr>
        <w:keepNext w:val="0"/>
        <w:keepLines w:val="0"/>
        <w:pageBreakBefore w:val="0"/>
        <w:widowControl w:val="0"/>
        <w:kinsoku/>
        <w:wordWrap/>
        <w:overflowPunct/>
        <w:topLinePunct w:val="0"/>
        <w:autoSpaceDE/>
        <w:autoSpaceDN/>
        <w:bidi w:val="0"/>
        <w:snapToGrid w:val="0"/>
        <w:spacing w:line="240" w:lineRule="auto"/>
        <w:ind w:firstLine="640" w:firstLineChars="200"/>
        <w:jc w:val="left"/>
        <w:textAlignment w:val="auto"/>
        <w:outlineLvl w:val="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0"/>
          <w:sz w:val="32"/>
          <w:szCs w:val="32"/>
          <w:u w:val="none"/>
        </w:rPr>
        <w:t>《细则》依据</w:t>
      </w:r>
      <w:r>
        <w:rPr>
          <w:rFonts w:hint="eastAsia" w:ascii="仿宋_GB2312" w:hAnsi="仿宋_GB2312" w:eastAsia="仿宋_GB2312" w:cs="仿宋_GB2312"/>
          <w:kern w:val="0"/>
          <w:sz w:val="32"/>
          <w:szCs w:val="32"/>
          <w:u w:val="none"/>
          <w:lang w:eastAsia="zh-CN"/>
        </w:rPr>
        <w:t>《温州市人民政府办公室关于印发温州市区龙湾区征收集体土地涉及住宅用房补偿办法的通知》</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sz w:val="32"/>
          <w:szCs w:val="32"/>
          <w:u w:val="none"/>
        </w:rPr>
        <w:t>温政办〔2025〕2</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号</w:t>
      </w:r>
      <w:r>
        <w:rPr>
          <w:rFonts w:hint="eastAsia" w:ascii="仿宋_GB2312" w:hAnsi="仿宋_GB2312" w:eastAsia="仿宋_GB2312" w:cs="仿宋_GB2312"/>
          <w:kern w:val="0"/>
          <w:sz w:val="32"/>
          <w:szCs w:val="32"/>
          <w:u w:val="none"/>
          <w:lang w:val="en-US" w:eastAsia="zh-CN"/>
        </w:rPr>
        <w:t>）修</w:t>
      </w:r>
      <w:r>
        <w:rPr>
          <w:rFonts w:hint="eastAsia" w:ascii="仿宋_GB2312" w:hAnsi="仿宋_GB2312" w:eastAsia="仿宋_GB2312" w:cs="仿宋_GB2312"/>
          <w:sz w:val="32"/>
          <w:szCs w:val="32"/>
          <w:u w:val="none"/>
        </w:rPr>
        <w:t>定</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sz w:val="32"/>
          <w:szCs w:val="32"/>
          <w:u w:val="none"/>
        </w:rPr>
        <w:t>涉及权利义务的内容及依据主要有：《细则》</w:t>
      </w:r>
      <w:r>
        <w:rPr>
          <w:rFonts w:hint="eastAsia" w:ascii="仿宋_GB2312" w:hAnsi="仿宋_GB2312" w:eastAsia="仿宋_GB2312" w:cs="仿宋_GB2312"/>
          <w:color w:val="auto"/>
          <w:sz w:val="32"/>
          <w:szCs w:val="32"/>
          <w:u w:val="none"/>
          <w:lang w:val="en-US" w:eastAsia="zh-CN"/>
        </w:rPr>
        <w:t>第一点、第三点、第四点、第五点、第六点、第七点、第八点、第九点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eastAsia="zh-CN"/>
        </w:rPr>
        <w:t>分别规定</w:t>
      </w:r>
      <w:r>
        <w:rPr>
          <w:rFonts w:hint="eastAsia" w:ascii="仿宋_GB2312" w:hAnsi="仿宋_GB2312" w:eastAsia="仿宋_GB2312" w:cs="仿宋_GB2312"/>
          <w:color w:val="auto"/>
          <w:sz w:val="32"/>
          <w:szCs w:val="32"/>
          <w:u w:val="none"/>
          <w:lang w:eastAsia="zh-CN"/>
        </w:rPr>
        <w:t>适用范围、</w:t>
      </w:r>
      <w:r>
        <w:rPr>
          <w:rFonts w:hint="eastAsia" w:ascii="仿宋_GB2312" w:hAnsi="仿宋_GB2312" w:eastAsia="仿宋_GB2312" w:cs="仿宋_GB2312"/>
          <w:color w:val="auto"/>
          <w:sz w:val="32"/>
          <w:szCs w:val="32"/>
          <w:u w:val="none"/>
          <w:lang w:val="en-US" w:eastAsia="zh-CN"/>
        </w:rPr>
        <w:t>住宅</w:t>
      </w:r>
      <w:r>
        <w:rPr>
          <w:rFonts w:hint="eastAsia" w:ascii="仿宋_GB2312" w:hAnsi="仿宋_GB2312" w:eastAsia="仿宋_GB2312" w:cs="仿宋_GB2312"/>
          <w:color w:val="auto"/>
          <w:sz w:val="32"/>
          <w:szCs w:val="32"/>
          <w:u w:val="none"/>
          <w:lang w:eastAsia="zh-CN"/>
        </w:rPr>
        <w:t>补偿、</w:t>
      </w:r>
      <w:r>
        <w:rPr>
          <w:rFonts w:hint="eastAsia" w:ascii="仿宋_GB2312" w:hAnsi="仿宋_GB2312" w:eastAsia="仿宋_GB2312" w:cs="仿宋_GB2312"/>
          <w:color w:val="auto"/>
          <w:sz w:val="32"/>
          <w:szCs w:val="32"/>
          <w:u w:val="none"/>
          <w:lang w:val="en-US" w:eastAsia="zh-CN"/>
        </w:rPr>
        <w:t>奖励</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腾空安置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临时安置费</w:t>
      </w:r>
      <w:r>
        <w:rPr>
          <w:rFonts w:hint="eastAsia" w:ascii="仿宋_GB2312" w:hAnsi="仿宋_GB2312" w:eastAsia="仿宋_GB2312" w:cs="仿宋_GB2312"/>
          <w:color w:val="auto"/>
          <w:sz w:val="32"/>
          <w:szCs w:val="32"/>
          <w:u w:val="none"/>
          <w:lang w:eastAsia="zh-CN"/>
        </w:rPr>
        <w:t>、搬迁费、固定设施移装费、住房保障</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明确</w:t>
      </w:r>
      <w:r>
        <w:rPr>
          <w:rFonts w:hint="eastAsia" w:ascii="仿宋_GB2312" w:hAnsi="仿宋_GB2312" w:eastAsia="仿宋_GB2312" w:cs="仿宋_GB2312"/>
          <w:color w:val="auto"/>
          <w:sz w:val="32"/>
          <w:szCs w:val="32"/>
          <w:u w:val="none"/>
          <w:lang w:eastAsia="zh-CN"/>
        </w:rPr>
        <w:t>货币补偿金额按照征地合法房屋的市场评估价计算。被补偿人选择产权调换的，安置面积可以按照合法面积确定，或者按照合法房屋宅基地基底面积一至三倍确定，并明确将人均建筑面积30平方米作为保底政策，明确人均保底安置面积包括众用公摊面积。同时，规定了安置面积与原合法房屋等面积部分、因安置房套型原因超出部分以及其他超出合法房屋面积部分的结算价格。明确选择产权调换的</w:t>
      </w:r>
      <w:r>
        <w:rPr>
          <w:rFonts w:hint="eastAsia" w:ascii="仿宋_GB2312" w:hAnsi="仿宋_GB2312" w:eastAsia="仿宋_GB2312" w:cs="仿宋_GB2312"/>
          <w:color w:val="auto"/>
          <w:sz w:val="32"/>
          <w:szCs w:val="32"/>
          <w:u w:val="none"/>
          <w:lang w:val="en-US" w:eastAsia="zh-CN"/>
        </w:rPr>
        <w:t>给予</w:t>
      </w:r>
      <w:r>
        <w:rPr>
          <w:rFonts w:hint="eastAsia" w:ascii="仿宋_GB2312" w:hAnsi="仿宋_GB2312" w:eastAsia="仿宋_GB2312" w:cs="仿宋_GB2312"/>
          <w:color w:val="auto"/>
          <w:sz w:val="32"/>
          <w:szCs w:val="32"/>
          <w:u w:val="none"/>
          <w:lang w:eastAsia="zh-CN"/>
        </w:rPr>
        <w:t>奖励，</w:t>
      </w:r>
      <w:r>
        <w:rPr>
          <w:rFonts w:hint="eastAsia" w:ascii="仿宋_GB2312" w:hAnsi="仿宋_GB2312" w:eastAsia="仿宋_GB2312" w:cs="仿宋_GB2312"/>
          <w:color w:val="auto"/>
          <w:sz w:val="32"/>
          <w:szCs w:val="32"/>
          <w:u w:val="none"/>
          <w:lang w:val="en-US" w:eastAsia="zh-CN"/>
        </w:rPr>
        <w:t>鼓励引导被补偿人选择实物安置。</w:t>
      </w:r>
      <w:r>
        <w:rPr>
          <w:rFonts w:hint="eastAsia" w:ascii="仿宋_GB2312" w:hAnsi="仿宋_GB2312" w:eastAsia="仿宋_GB2312" w:cs="仿宋_GB2312"/>
          <w:color w:val="auto"/>
          <w:sz w:val="32"/>
          <w:szCs w:val="32"/>
          <w:u w:val="none"/>
          <w:lang w:eastAsia="zh-CN"/>
        </w:rPr>
        <w:t>明确</w:t>
      </w:r>
      <w:r>
        <w:rPr>
          <w:rFonts w:hint="eastAsia" w:ascii="仿宋_GB2312" w:hAnsi="仿宋_GB2312" w:eastAsia="仿宋_GB2312" w:cs="仿宋_GB2312"/>
          <w:color w:val="auto"/>
          <w:sz w:val="32"/>
          <w:szCs w:val="32"/>
          <w:highlight w:val="none"/>
          <w:u w:val="none"/>
          <w:lang w:eastAsia="zh-CN"/>
        </w:rPr>
        <w:t>被补偿人</w:t>
      </w:r>
      <w:r>
        <w:rPr>
          <w:rFonts w:hint="eastAsia" w:ascii="仿宋_GB2312" w:hAnsi="仿宋_GB2312" w:eastAsia="仿宋_GB2312" w:cs="仿宋_GB2312"/>
          <w:color w:val="auto"/>
          <w:sz w:val="32"/>
          <w:szCs w:val="32"/>
          <w:highlight w:val="none"/>
          <w:u w:val="none"/>
        </w:rPr>
        <w:t>在征收范围内房屋属合法</w:t>
      </w:r>
      <w:r>
        <w:rPr>
          <w:rFonts w:hint="eastAsia" w:ascii="仿宋_GB2312" w:hAnsi="仿宋_GB2312" w:eastAsia="仿宋_GB2312" w:cs="仿宋_GB2312"/>
          <w:color w:val="auto"/>
          <w:sz w:val="32"/>
          <w:szCs w:val="32"/>
          <w:highlight w:val="none"/>
          <w:u w:val="none"/>
          <w:lang w:val="en-US" w:eastAsia="zh-CN"/>
        </w:rPr>
        <w:t>的且符合低收入住房困难家庭的补偿条件以及补偿标准、购买价格，明确</w:t>
      </w:r>
      <w:r>
        <w:rPr>
          <w:rFonts w:hint="eastAsia" w:ascii="仿宋_GB2312" w:hAnsi="仿宋_GB2312" w:eastAsia="仿宋_GB2312" w:cs="仿宋_GB2312"/>
          <w:color w:val="auto"/>
          <w:kern w:val="0"/>
          <w:sz w:val="32"/>
          <w:szCs w:val="32"/>
          <w:highlight w:val="none"/>
          <w:u w:val="none"/>
        </w:rPr>
        <w:t>低收入住房困难家庭按照人均18平方米且不小于60平方米的建筑面积予以住房保障</w:t>
      </w:r>
      <w:r>
        <w:rPr>
          <w:rFonts w:hint="eastAsia" w:ascii="仿宋_GB2312" w:hAnsi="仿宋_GB2312" w:eastAsia="仿宋_GB2312" w:cs="仿宋_GB2312"/>
          <w:color w:val="auto"/>
          <w:kern w:val="0"/>
          <w:sz w:val="32"/>
          <w:szCs w:val="32"/>
          <w:highlight w:val="none"/>
          <w:u w:val="none"/>
          <w:lang w:eastAsia="zh-CN"/>
        </w:rPr>
        <w:t>。</w:t>
      </w:r>
    </w:p>
    <w:p w14:paraId="11D7CAE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ascii="黑体" w:hAnsi="ˎ̥" w:eastAsia="黑体" w:cs="宋体"/>
          <w:bCs/>
          <w:kern w:val="0"/>
          <w:sz w:val="32"/>
          <w:szCs w:val="32"/>
          <w:u w:val="none"/>
        </w:rPr>
      </w:pPr>
      <w:r>
        <w:rPr>
          <w:rFonts w:hint="eastAsia" w:ascii="黑体" w:hAnsi="ˎ̥" w:eastAsia="黑体" w:cs="宋体"/>
          <w:bCs/>
          <w:kern w:val="0"/>
          <w:sz w:val="32"/>
          <w:szCs w:val="32"/>
          <w:u w:val="none"/>
        </w:rPr>
        <w:t>二、文件起草过程</w:t>
      </w:r>
    </w:p>
    <w:p w14:paraId="2C156DA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ˎ̥" w:eastAsia="仿宋_GB2312" w:cs="宋体"/>
          <w:kern w:val="0"/>
          <w:sz w:val="32"/>
          <w:szCs w:val="32"/>
          <w:u w:val="none"/>
        </w:rPr>
      </w:pPr>
      <w:r>
        <w:rPr>
          <w:rFonts w:hint="eastAsia" w:ascii="仿宋_GB2312" w:hAnsi="ˎ̥" w:eastAsia="仿宋_GB2312" w:cs="宋体"/>
          <w:kern w:val="0"/>
          <w:sz w:val="32"/>
          <w:szCs w:val="32"/>
          <w:u w:val="none"/>
        </w:rPr>
        <w:t>2025年4月24日</w:t>
      </w:r>
      <w:r>
        <w:rPr>
          <w:rFonts w:hint="eastAsia" w:ascii="仿宋_GB2312" w:hAnsi="ˎ̥" w:eastAsia="仿宋_GB2312" w:cs="宋体"/>
          <w:kern w:val="0"/>
          <w:sz w:val="32"/>
          <w:szCs w:val="32"/>
          <w:u w:val="none"/>
          <w:lang w:eastAsia="zh-CN"/>
        </w:rPr>
        <w:t>温州市人民政府办公室</w:t>
      </w:r>
      <w:r>
        <w:rPr>
          <w:rFonts w:hint="eastAsia" w:ascii="仿宋_GB2312" w:hAnsi="ˎ̥" w:eastAsia="仿宋_GB2312" w:cs="宋体"/>
          <w:kern w:val="0"/>
          <w:sz w:val="32"/>
          <w:szCs w:val="32"/>
          <w:u w:val="none"/>
        </w:rPr>
        <w:t>发布《</w:t>
      </w:r>
      <w:r>
        <w:rPr>
          <w:rFonts w:hint="eastAsia" w:ascii="仿宋_GB2312" w:hAnsi="ˎ̥" w:eastAsia="仿宋_GB2312" w:cs="宋体"/>
          <w:kern w:val="0"/>
          <w:sz w:val="32"/>
          <w:szCs w:val="32"/>
          <w:u w:val="none"/>
          <w:lang w:eastAsia="zh-CN"/>
        </w:rPr>
        <w:t>关于印发温州市区征收集体土地涉及住宅用房补偿办法的通知</w:t>
      </w:r>
      <w:r>
        <w:rPr>
          <w:rFonts w:hint="eastAsia" w:ascii="仿宋_GB2312" w:hAnsi="ˎ̥" w:eastAsia="仿宋_GB2312" w:cs="宋体"/>
          <w:kern w:val="0"/>
          <w:sz w:val="32"/>
          <w:szCs w:val="32"/>
          <w:u w:val="none"/>
        </w:rPr>
        <w:t>》</w:t>
      </w:r>
      <w:r>
        <w:rPr>
          <w:rFonts w:hint="eastAsia" w:ascii="仿宋_GB2312" w:hAnsi="ˎ̥" w:eastAsia="仿宋_GB2312" w:cs="宋体"/>
          <w:kern w:val="0"/>
          <w:sz w:val="32"/>
          <w:szCs w:val="32"/>
          <w:u w:val="none"/>
          <w:lang w:eastAsia="zh-CN"/>
        </w:rPr>
        <w:t>（温政办〔2025〕27号）。</w:t>
      </w:r>
      <w:r>
        <w:rPr>
          <w:rFonts w:hint="eastAsia" w:ascii="仿宋_GB2312" w:hAnsi="ˎ̥" w:eastAsia="仿宋_GB2312" w:cs="宋体"/>
          <w:kern w:val="0"/>
          <w:sz w:val="32"/>
          <w:szCs w:val="32"/>
          <w:u w:val="none"/>
          <w:lang w:val="en-US" w:eastAsia="zh-CN"/>
        </w:rPr>
        <w:t>前期根据市里征求意见稿</w:t>
      </w:r>
      <w:r>
        <w:rPr>
          <w:rFonts w:hint="eastAsia" w:ascii="仿宋_GB2312" w:hAnsi="ˎ̥" w:eastAsia="仿宋_GB2312" w:cs="宋体"/>
          <w:kern w:val="0"/>
          <w:sz w:val="32"/>
          <w:szCs w:val="32"/>
          <w:u w:val="none"/>
          <w:lang w:eastAsia="zh-CN"/>
        </w:rPr>
        <w:t>，</w:t>
      </w:r>
      <w:r>
        <w:rPr>
          <w:rFonts w:hint="eastAsia" w:ascii="仿宋_GB2312" w:hAnsi="ˎ̥" w:eastAsia="仿宋_GB2312" w:cs="宋体"/>
          <w:kern w:val="0"/>
          <w:sz w:val="32"/>
          <w:szCs w:val="32"/>
          <w:u w:val="none"/>
        </w:rPr>
        <w:t>我局科室内部进行反复交流讨论形成</w:t>
      </w:r>
      <w:r>
        <w:rPr>
          <w:rFonts w:hint="eastAsia" w:ascii="仿宋_GB2312" w:hAnsi="ˎ̥" w:eastAsia="仿宋_GB2312" w:cs="宋体"/>
          <w:kern w:val="0"/>
          <w:sz w:val="32"/>
          <w:szCs w:val="32"/>
          <w:u w:val="none"/>
          <w:lang w:val="en-US" w:eastAsia="zh-CN"/>
        </w:rPr>
        <w:t>初稿</w:t>
      </w:r>
      <w:r>
        <w:rPr>
          <w:rFonts w:hint="eastAsia" w:ascii="仿宋_GB2312" w:hAnsi="ˎ̥" w:eastAsia="仿宋_GB2312" w:cs="宋体"/>
          <w:kern w:val="0"/>
          <w:sz w:val="32"/>
          <w:szCs w:val="32"/>
          <w:u w:val="none"/>
        </w:rPr>
        <w:t>，</w:t>
      </w:r>
      <w:r>
        <w:rPr>
          <w:rFonts w:hint="eastAsia" w:ascii="仿宋_GB2312" w:hAnsi="ˎ̥" w:eastAsia="仿宋_GB2312" w:cs="宋体"/>
          <w:kern w:val="0"/>
          <w:sz w:val="32"/>
          <w:szCs w:val="32"/>
          <w:u w:val="none"/>
          <w:lang w:val="en-US" w:eastAsia="zh-CN"/>
        </w:rPr>
        <w:t>通过</w:t>
      </w:r>
      <w:r>
        <w:rPr>
          <w:rFonts w:hint="eastAsia" w:ascii="仿宋_GB2312" w:hAnsi="ˎ̥" w:eastAsia="仿宋_GB2312" w:cs="宋体"/>
          <w:kern w:val="0"/>
          <w:sz w:val="32"/>
          <w:szCs w:val="32"/>
          <w:u w:val="none"/>
        </w:rPr>
        <w:t>走访永中街道、海滨街道等进行政策修订调研。</w:t>
      </w:r>
      <w:r>
        <w:rPr>
          <w:rFonts w:hint="eastAsia" w:ascii="仿宋_GB2312" w:hAnsi="ˎ̥" w:eastAsia="仿宋_GB2312" w:cs="宋体"/>
          <w:kern w:val="0"/>
          <w:sz w:val="32"/>
          <w:szCs w:val="32"/>
          <w:u w:val="none"/>
          <w:lang w:val="en-US" w:eastAsia="zh-CN"/>
        </w:rPr>
        <w:t>邵建寨副主任分别于</w:t>
      </w:r>
      <w:r>
        <w:rPr>
          <w:rFonts w:hint="default" w:ascii="仿宋_GB2312" w:hAnsi="ˎ̥" w:eastAsia="仿宋_GB2312" w:cs="宋体"/>
          <w:kern w:val="0"/>
          <w:sz w:val="32"/>
          <w:szCs w:val="32"/>
          <w:u w:val="none"/>
          <w:lang w:eastAsia="zh-CN"/>
          <w:woUserID w:val="1"/>
        </w:rPr>
        <w:t>2024年12月26日、</w:t>
      </w:r>
      <w:r>
        <w:rPr>
          <w:rFonts w:hint="eastAsia" w:ascii="仿宋_GB2312" w:hAnsi="ˎ̥" w:eastAsia="仿宋_GB2312" w:cs="宋体"/>
          <w:kern w:val="0"/>
          <w:sz w:val="32"/>
          <w:szCs w:val="32"/>
          <w:u w:val="none"/>
        </w:rPr>
        <w:t>2025年1月23日、5月7日召开专题会议研究《</w:t>
      </w:r>
      <w:r>
        <w:rPr>
          <w:rFonts w:hint="eastAsia" w:ascii="仿宋_GB2312" w:hAnsi="ˎ̥" w:eastAsia="仿宋_GB2312" w:cs="宋体"/>
          <w:kern w:val="0"/>
          <w:sz w:val="32"/>
          <w:szCs w:val="32"/>
          <w:u w:val="none"/>
          <w:lang w:val="en-US" w:eastAsia="zh-CN"/>
        </w:rPr>
        <w:t>细则</w:t>
      </w:r>
      <w:r>
        <w:rPr>
          <w:rFonts w:hint="eastAsia" w:ascii="仿宋_GB2312" w:hAnsi="ˎ̥" w:eastAsia="仿宋_GB2312" w:cs="宋体"/>
          <w:kern w:val="0"/>
          <w:sz w:val="32"/>
          <w:szCs w:val="32"/>
          <w:u w:val="none"/>
        </w:rPr>
        <w:t>》，</w:t>
      </w:r>
      <w:r>
        <w:rPr>
          <w:rFonts w:hint="eastAsia" w:ascii="仿宋_GB2312" w:hAnsi="ˎ̥" w:eastAsia="仿宋_GB2312" w:cs="宋体"/>
          <w:kern w:val="0"/>
          <w:sz w:val="32"/>
          <w:szCs w:val="32"/>
          <w:u w:val="none"/>
          <w:lang w:val="en-US" w:eastAsia="zh-CN"/>
        </w:rPr>
        <w:t>会后</w:t>
      </w:r>
      <w:r>
        <w:rPr>
          <w:rFonts w:hint="eastAsia" w:ascii="仿宋_GB2312" w:hAnsi="ˎ̥" w:eastAsia="仿宋_GB2312" w:cs="宋体"/>
          <w:kern w:val="0"/>
          <w:sz w:val="32"/>
          <w:szCs w:val="32"/>
          <w:u w:val="none"/>
        </w:rPr>
        <w:t>我局根据会议讨论情况修改完善</w:t>
      </w:r>
      <w:r>
        <w:rPr>
          <w:rFonts w:hint="eastAsia" w:ascii="仿宋_GB2312" w:hAnsi="ˎ̥" w:eastAsia="仿宋_GB2312" w:cs="宋体"/>
          <w:kern w:val="0"/>
          <w:sz w:val="32"/>
          <w:szCs w:val="32"/>
          <w:u w:val="none"/>
          <w:lang w:eastAsia="zh-CN"/>
        </w:rPr>
        <w:t>，</w:t>
      </w:r>
      <w:r>
        <w:rPr>
          <w:rFonts w:hint="eastAsia" w:ascii="仿宋_GB2312" w:hAnsi="ˎ̥" w:eastAsia="仿宋_GB2312" w:cs="宋体"/>
          <w:kern w:val="0"/>
          <w:sz w:val="32"/>
          <w:szCs w:val="32"/>
          <w:u w:val="none"/>
          <w:lang w:val="en-US" w:eastAsia="zh-CN"/>
        </w:rPr>
        <w:t>并于5</w:t>
      </w:r>
      <w:r>
        <w:rPr>
          <w:rFonts w:hint="eastAsia" w:ascii="仿宋_GB2312" w:hAnsi="ˎ̥" w:eastAsia="仿宋_GB2312" w:cs="宋体"/>
          <w:kern w:val="0"/>
          <w:sz w:val="32"/>
          <w:szCs w:val="32"/>
          <w:u w:val="none"/>
        </w:rPr>
        <w:t>月上旬</w:t>
      </w:r>
      <w:r>
        <w:rPr>
          <w:rFonts w:hint="eastAsia" w:ascii="仿宋_GB2312" w:hAnsi="ˎ̥" w:eastAsia="仿宋_GB2312" w:cs="宋体"/>
          <w:kern w:val="0"/>
          <w:sz w:val="32"/>
          <w:szCs w:val="32"/>
          <w:u w:val="none"/>
          <w:lang w:val="en-US" w:eastAsia="zh-CN"/>
        </w:rPr>
        <w:t>向相关单位书面征求意见，</w:t>
      </w:r>
      <w:r>
        <w:rPr>
          <w:rFonts w:hint="eastAsia" w:ascii="仿宋_GB2312" w:hAnsi="ˎ̥" w:eastAsia="仿宋_GB2312" w:cs="宋体"/>
          <w:kern w:val="0"/>
          <w:sz w:val="32"/>
          <w:szCs w:val="32"/>
          <w:u w:val="none"/>
        </w:rPr>
        <w:t>并</w:t>
      </w:r>
      <w:r>
        <w:rPr>
          <w:rFonts w:hint="eastAsia" w:ascii="仿宋_GB2312" w:hAnsi="ˎ̥" w:eastAsia="仿宋_GB2312" w:cs="宋体"/>
          <w:kern w:val="0"/>
          <w:sz w:val="32"/>
          <w:szCs w:val="32"/>
          <w:u w:val="none"/>
          <w:lang w:val="en-US" w:eastAsia="zh-CN"/>
        </w:rPr>
        <w:t>根据意见意见进行</w:t>
      </w:r>
      <w:r>
        <w:rPr>
          <w:rFonts w:hint="eastAsia" w:ascii="仿宋_GB2312" w:hAnsi="ˎ̥" w:eastAsia="仿宋_GB2312" w:cs="宋体"/>
          <w:kern w:val="0"/>
          <w:sz w:val="32"/>
          <w:szCs w:val="32"/>
          <w:u w:val="none"/>
        </w:rPr>
        <w:t>修订完善</w:t>
      </w:r>
      <w:r>
        <w:rPr>
          <w:rFonts w:hint="eastAsia" w:ascii="仿宋_GB2312" w:hAnsi="ˎ̥" w:eastAsia="仿宋_GB2312" w:cs="宋体"/>
          <w:kern w:val="0"/>
          <w:sz w:val="32"/>
          <w:szCs w:val="32"/>
          <w:u w:val="none"/>
          <w:lang w:eastAsia="zh-CN"/>
        </w:rPr>
        <w:t>；</w:t>
      </w:r>
      <w:r>
        <w:rPr>
          <w:rFonts w:hint="default" w:ascii="仿宋_GB2312" w:hAnsi="ˎ̥" w:eastAsia="仿宋_GB2312" w:cs="宋体"/>
          <w:kern w:val="0"/>
          <w:sz w:val="32"/>
          <w:szCs w:val="32"/>
          <w:u w:val="none"/>
          <w:lang w:eastAsia="zh-CN"/>
          <w:woUserID w:val="1"/>
        </w:rPr>
        <w:t>经</w:t>
      </w:r>
      <w:r>
        <w:rPr>
          <w:rFonts w:hint="eastAsia" w:ascii="仿宋_GB2312" w:hAnsi="ˎ̥" w:eastAsia="仿宋_GB2312" w:cs="宋体"/>
          <w:kern w:val="0"/>
          <w:sz w:val="32"/>
          <w:szCs w:val="32"/>
          <w:u w:val="none"/>
        </w:rPr>
        <w:t>我局法律顾问进行合法性审查</w:t>
      </w:r>
      <w:r>
        <w:rPr>
          <w:rFonts w:hint="default" w:ascii="仿宋_GB2312" w:hAnsi="ˎ̥" w:eastAsia="仿宋_GB2312" w:cs="宋体"/>
          <w:kern w:val="0"/>
          <w:sz w:val="32"/>
          <w:szCs w:val="32"/>
          <w:u w:val="none"/>
          <w:woUserID w:val="1"/>
        </w:rPr>
        <w:t>后</w:t>
      </w:r>
      <w:r>
        <w:rPr>
          <w:rFonts w:hint="eastAsia" w:ascii="仿宋_GB2312" w:hAnsi="ˎ̥" w:eastAsia="仿宋_GB2312" w:cs="宋体"/>
          <w:kern w:val="0"/>
          <w:sz w:val="32"/>
          <w:szCs w:val="32"/>
          <w:u w:val="none"/>
          <w:lang w:eastAsia="zh-CN"/>
        </w:rPr>
        <w:t>；</w:t>
      </w:r>
      <w:r>
        <w:rPr>
          <w:rFonts w:hint="default" w:ascii="仿宋_GB2312" w:hAnsi="ˎ̥" w:eastAsia="仿宋_GB2312" w:cs="宋体"/>
          <w:kern w:val="0"/>
          <w:sz w:val="32"/>
          <w:szCs w:val="32"/>
          <w:u w:val="none"/>
          <w:lang w:eastAsia="zh-CN"/>
          <w:woUserID w:val="1"/>
        </w:rPr>
        <w:t>5</w:t>
      </w:r>
      <w:r>
        <w:rPr>
          <w:rFonts w:hint="eastAsia" w:ascii="仿宋_GB2312" w:hAnsi="ˎ̥" w:eastAsia="仿宋_GB2312" w:cs="宋体"/>
          <w:kern w:val="0"/>
          <w:sz w:val="32"/>
          <w:szCs w:val="32"/>
          <w:u w:val="none"/>
        </w:rPr>
        <w:t>月</w:t>
      </w:r>
      <w:r>
        <w:rPr>
          <w:rFonts w:hint="default" w:ascii="仿宋_GB2312" w:hAnsi="ˎ̥" w:eastAsia="仿宋_GB2312" w:cs="宋体"/>
          <w:kern w:val="0"/>
          <w:sz w:val="32"/>
          <w:szCs w:val="32"/>
          <w:u w:val="none"/>
          <w:woUserID w:val="1"/>
        </w:rPr>
        <w:t>14</w:t>
      </w:r>
      <w:r>
        <w:rPr>
          <w:rFonts w:hint="eastAsia" w:ascii="仿宋_GB2312" w:hAnsi="ˎ̥" w:eastAsia="仿宋_GB2312" w:cs="宋体"/>
          <w:kern w:val="0"/>
          <w:sz w:val="32"/>
          <w:szCs w:val="32"/>
          <w:u w:val="none"/>
        </w:rPr>
        <w:t>日，我局</w:t>
      </w:r>
      <w:r>
        <w:rPr>
          <w:rFonts w:hint="eastAsia" w:ascii="仿宋_GB2312" w:hAnsi="ˎ̥" w:eastAsia="仿宋_GB2312" w:cs="宋体"/>
          <w:kern w:val="0"/>
          <w:sz w:val="32"/>
          <w:szCs w:val="32"/>
          <w:u w:val="none"/>
          <w:lang w:eastAsia="zh-CN"/>
        </w:rPr>
        <w:t>进行集体</w:t>
      </w:r>
      <w:r>
        <w:rPr>
          <w:rFonts w:hint="eastAsia" w:ascii="仿宋_GB2312" w:hAnsi="ˎ̥" w:eastAsia="仿宋_GB2312" w:cs="宋体"/>
          <w:kern w:val="0"/>
          <w:sz w:val="32"/>
          <w:szCs w:val="32"/>
          <w:u w:val="none"/>
        </w:rPr>
        <w:t>讨论</w:t>
      </w:r>
      <w:r>
        <w:rPr>
          <w:rFonts w:hint="eastAsia" w:ascii="仿宋_GB2312" w:hAnsi="ˎ̥" w:eastAsia="仿宋_GB2312" w:cs="宋体"/>
          <w:kern w:val="0"/>
          <w:sz w:val="32"/>
          <w:szCs w:val="32"/>
          <w:u w:val="none"/>
          <w:lang w:eastAsia="zh-CN"/>
        </w:rPr>
        <w:t>，并</w:t>
      </w:r>
      <w:r>
        <w:rPr>
          <w:rFonts w:hint="eastAsia" w:ascii="仿宋_GB2312" w:hAnsi="ˎ̥" w:eastAsia="仿宋_GB2312" w:cs="宋体"/>
          <w:kern w:val="0"/>
          <w:sz w:val="32"/>
          <w:szCs w:val="32"/>
          <w:u w:val="none"/>
        </w:rPr>
        <w:t>对</w:t>
      </w:r>
      <w:r>
        <w:rPr>
          <w:rFonts w:hint="eastAsia" w:ascii="仿宋_GB2312" w:hAnsi="ˎ̥" w:eastAsia="仿宋_GB2312" w:cs="宋体"/>
          <w:kern w:val="0"/>
          <w:sz w:val="32"/>
          <w:szCs w:val="32"/>
          <w:u w:val="none"/>
          <w:lang w:eastAsia="zh-CN"/>
        </w:rPr>
        <w:t>《</w:t>
      </w:r>
      <w:r>
        <w:rPr>
          <w:rFonts w:hint="eastAsia" w:ascii="仿宋_GB2312" w:hAnsi="ˎ̥" w:eastAsia="仿宋_GB2312" w:cs="宋体"/>
          <w:kern w:val="0"/>
          <w:sz w:val="32"/>
          <w:szCs w:val="32"/>
          <w:u w:val="none"/>
        </w:rPr>
        <w:t>细则</w:t>
      </w:r>
      <w:r>
        <w:rPr>
          <w:rFonts w:hint="eastAsia" w:ascii="仿宋_GB2312" w:hAnsi="ˎ̥" w:eastAsia="仿宋_GB2312" w:cs="宋体"/>
          <w:kern w:val="0"/>
          <w:sz w:val="32"/>
          <w:szCs w:val="32"/>
          <w:u w:val="none"/>
          <w:lang w:eastAsia="zh-CN"/>
        </w:rPr>
        <w:t>》</w:t>
      </w:r>
      <w:r>
        <w:rPr>
          <w:rFonts w:hint="eastAsia" w:ascii="仿宋_GB2312" w:hAnsi="ˎ̥" w:eastAsia="仿宋_GB2312" w:cs="宋体"/>
          <w:kern w:val="0"/>
          <w:sz w:val="32"/>
          <w:szCs w:val="32"/>
          <w:u w:val="none"/>
        </w:rPr>
        <w:t>进行再次修改完善。</w:t>
      </w:r>
    </w:p>
    <w:p w14:paraId="6D76EE51">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ascii="仿宋_GB2312" w:eastAsia="仿宋_GB2312"/>
          <w:sz w:val="32"/>
          <w:szCs w:val="32"/>
          <w:u w:val="none"/>
        </w:rPr>
      </w:pPr>
      <w:r>
        <w:rPr>
          <w:rFonts w:hint="eastAsia" w:ascii="黑体" w:hAnsi="ˎ̥" w:eastAsia="黑体" w:cs="宋体"/>
          <w:bCs/>
          <w:kern w:val="0"/>
          <w:sz w:val="32"/>
          <w:szCs w:val="32"/>
          <w:u w:val="none"/>
          <w:lang w:eastAsia="zh-CN"/>
        </w:rPr>
        <w:t>三</w:t>
      </w:r>
      <w:r>
        <w:rPr>
          <w:rFonts w:hint="eastAsia" w:ascii="黑体" w:hAnsi="ˎ̥" w:eastAsia="黑体" w:cs="宋体"/>
          <w:bCs/>
          <w:kern w:val="0"/>
          <w:sz w:val="32"/>
          <w:szCs w:val="32"/>
          <w:u w:val="none"/>
        </w:rPr>
        <w:t>、文件施行日期及有效期</w:t>
      </w:r>
    </w:p>
    <w:p w14:paraId="2FF7C5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color w:val="auto"/>
          <w:sz w:val="32"/>
          <w:szCs w:val="32"/>
          <w:highlight w:val="none"/>
          <w:u w:val="none"/>
          <w:lang w:eastAsia="zh-CN"/>
        </w:rPr>
      </w:pPr>
      <w:r>
        <w:rPr>
          <w:rFonts w:hint="eastAsia" w:ascii="仿宋_GB2312" w:hAnsi="Calibri" w:eastAsia="仿宋_GB2312"/>
          <w:sz w:val="32"/>
          <w:szCs w:val="32"/>
          <w:u w:val="none"/>
        </w:rPr>
        <w:t>《</w:t>
      </w:r>
      <w:r>
        <w:rPr>
          <w:rFonts w:hint="eastAsia" w:ascii="仿宋_GB2312" w:eastAsia="仿宋_GB2312"/>
          <w:sz w:val="32"/>
          <w:szCs w:val="32"/>
          <w:u w:val="none"/>
        </w:rPr>
        <w:t>细则</w:t>
      </w:r>
      <w:r>
        <w:rPr>
          <w:rFonts w:hint="eastAsia" w:ascii="仿宋_GB2312" w:hAnsi="Calibri" w:eastAsia="仿宋_GB2312"/>
          <w:sz w:val="32"/>
          <w:szCs w:val="32"/>
          <w:u w:val="none"/>
        </w:rPr>
        <w:t>》</w:t>
      </w:r>
      <w:r>
        <w:rPr>
          <w:rFonts w:hint="eastAsia" w:ascii="仿宋_GB2312" w:hAnsi="仿宋_GB2312" w:eastAsia="仿宋_GB2312" w:cs="仿宋_GB2312"/>
          <w:sz w:val="32"/>
          <w:szCs w:val="32"/>
          <w:u w:val="none"/>
        </w:rPr>
        <w:t>拟自发布之日起</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日后施行</w:t>
      </w:r>
      <w:r>
        <w:rPr>
          <w:rFonts w:hint="eastAsia" w:ascii="仿宋_GB2312" w:hAnsi="Calibri" w:eastAsia="仿宋_GB2312" w:cs="Times New Roman"/>
          <w:color w:val="auto"/>
          <w:sz w:val="32"/>
          <w:szCs w:val="32"/>
          <w:highlight w:val="none"/>
          <w:u w:val="none"/>
          <w:lang w:eastAsia="zh-CN"/>
        </w:rPr>
        <w:t>，</w:t>
      </w:r>
      <w:r>
        <w:rPr>
          <w:rFonts w:hint="eastAsia" w:ascii="仿宋_GB2312" w:hAnsi="Calibri" w:eastAsia="仿宋_GB2312" w:cs="Times New Roman"/>
          <w:color w:val="auto"/>
          <w:sz w:val="32"/>
          <w:szCs w:val="32"/>
          <w:highlight w:val="none"/>
          <w:u w:val="none"/>
        </w:rPr>
        <w:t>施行前房屋补偿方案已公告（公布），按房屋补偿方案执行。</w:t>
      </w:r>
      <w:r>
        <w:rPr>
          <w:rFonts w:hint="eastAsia" w:ascii="仿宋_GB2312" w:hAnsi="Calibri" w:eastAsia="仿宋_GB2312"/>
          <w:sz w:val="32"/>
          <w:szCs w:val="32"/>
          <w:u w:val="none"/>
        </w:rPr>
        <w:t>《</w:t>
      </w:r>
      <w:r>
        <w:rPr>
          <w:rFonts w:hint="eastAsia" w:ascii="仿宋_GB2312" w:eastAsia="仿宋_GB2312"/>
          <w:sz w:val="32"/>
          <w:szCs w:val="32"/>
          <w:u w:val="none"/>
        </w:rPr>
        <w:t>细则</w:t>
      </w:r>
      <w:r>
        <w:rPr>
          <w:rFonts w:hint="eastAsia" w:ascii="仿宋_GB2312" w:hAnsi="Calibri" w:eastAsia="仿宋_GB2312"/>
          <w:sz w:val="32"/>
          <w:szCs w:val="32"/>
          <w:u w:val="none"/>
        </w:rPr>
        <w:t>》</w:t>
      </w:r>
      <w:r>
        <w:rPr>
          <w:rFonts w:hint="eastAsia" w:ascii="仿宋_GB2312" w:hAnsi="Calibri" w:eastAsia="仿宋_GB2312" w:cs="Times New Roman"/>
          <w:color w:val="auto"/>
          <w:sz w:val="32"/>
          <w:szCs w:val="32"/>
          <w:highlight w:val="none"/>
          <w:u w:val="none"/>
        </w:rPr>
        <w:t>施行后，与《龙湾区城中村改造与农房改造集聚建设实施办法》（温龙委发〔2012〕30号）不一致的按照</w:t>
      </w:r>
      <w:r>
        <w:rPr>
          <w:rFonts w:hint="eastAsia" w:ascii="仿宋_GB2312" w:hAnsi="Calibri" w:eastAsia="仿宋_GB2312"/>
          <w:sz w:val="32"/>
          <w:szCs w:val="32"/>
          <w:u w:val="none"/>
        </w:rPr>
        <w:t>《</w:t>
      </w:r>
      <w:r>
        <w:rPr>
          <w:rFonts w:hint="eastAsia" w:ascii="仿宋_GB2312" w:eastAsia="仿宋_GB2312"/>
          <w:sz w:val="32"/>
          <w:szCs w:val="32"/>
          <w:u w:val="none"/>
        </w:rPr>
        <w:t>细则</w:t>
      </w:r>
      <w:r>
        <w:rPr>
          <w:rFonts w:hint="eastAsia" w:ascii="仿宋_GB2312" w:hAnsi="Calibri" w:eastAsia="仿宋_GB2312"/>
          <w:sz w:val="32"/>
          <w:szCs w:val="32"/>
          <w:u w:val="none"/>
        </w:rPr>
        <w:t>》</w:t>
      </w:r>
      <w:r>
        <w:rPr>
          <w:rFonts w:hint="eastAsia" w:ascii="仿宋_GB2312" w:hAnsi="Calibri" w:eastAsia="仿宋_GB2312" w:cs="Times New Roman"/>
          <w:color w:val="auto"/>
          <w:sz w:val="32"/>
          <w:szCs w:val="32"/>
          <w:highlight w:val="none"/>
          <w:u w:val="none"/>
        </w:rPr>
        <w:t>实施，</w:t>
      </w:r>
      <w:r>
        <w:rPr>
          <w:rFonts w:hint="eastAsia" w:ascii="仿宋_GB2312" w:hAnsi="Calibri" w:eastAsia="仿宋_GB2312"/>
          <w:sz w:val="32"/>
          <w:szCs w:val="32"/>
          <w:u w:val="none"/>
        </w:rPr>
        <w:t>《</w:t>
      </w:r>
      <w:r>
        <w:rPr>
          <w:rFonts w:hint="eastAsia" w:ascii="仿宋_GB2312" w:eastAsia="仿宋_GB2312"/>
          <w:sz w:val="32"/>
          <w:szCs w:val="32"/>
          <w:u w:val="none"/>
        </w:rPr>
        <w:t>细则</w:t>
      </w:r>
      <w:r>
        <w:rPr>
          <w:rFonts w:hint="eastAsia" w:ascii="仿宋_GB2312" w:hAnsi="Calibri" w:eastAsia="仿宋_GB2312"/>
          <w:sz w:val="32"/>
          <w:szCs w:val="32"/>
          <w:u w:val="none"/>
        </w:rPr>
        <w:t>》</w:t>
      </w:r>
      <w:r>
        <w:rPr>
          <w:rFonts w:hint="eastAsia" w:ascii="仿宋_GB2312" w:hAnsi="Calibri" w:eastAsia="仿宋_GB2312" w:cs="Times New Roman"/>
          <w:color w:val="auto"/>
          <w:sz w:val="32"/>
          <w:szCs w:val="32"/>
          <w:highlight w:val="none"/>
          <w:u w:val="none"/>
        </w:rPr>
        <w:t>未尽事宜按照《龙湾区城中村改造与农房改造集聚建设实施办法》及其补充规定等政策执行。2021年8月31日发布的《龙湾区（高新区）征收集体土地涉及房屋补偿实施细则》（温龙政发〔2021〕25号）同时废止。</w:t>
      </w:r>
    </w:p>
    <w:p w14:paraId="3F6834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 w:val="32"/>
          <w:szCs w:val="32"/>
          <w:u w:val="none"/>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75B429-97A9-464D-B3C7-2D28994C99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00D6F6-A7A8-4E85-98DB-FA5448C0470F}"/>
  </w:font>
  <w:font w:name="方正小标宋_GBK">
    <w:panose1 w:val="02000000000000000000"/>
    <w:charset w:val="86"/>
    <w:family w:val="swiss"/>
    <w:pitch w:val="default"/>
    <w:sig w:usb0="A00002BF" w:usb1="38CF7CFA" w:usb2="00082016" w:usb3="00000000" w:csb0="00040001" w:csb1="00000000"/>
    <w:embedRegular r:id="rId3" w:fontKey="{A4292297-D87E-4FE5-9B47-D5E97D110F9B}"/>
  </w:font>
  <w:font w:name="方正小标宋简体">
    <w:panose1 w:val="02000000000000000000"/>
    <w:charset w:val="86"/>
    <w:family w:val="auto"/>
    <w:pitch w:val="default"/>
    <w:sig w:usb0="00000001" w:usb1="08000000" w:usb2="00000000" w:usb3="00000000" w:csb0="00040000" w:csb1="00000000"/>
    <w:embedRegular r:id="rId4" w:fontKey="{0FCB943B-B2E1-43CA-92CF-98C1B712C05F}"/>
  </w:font>
  <w:font w:name="ˎ̥">
    <w:altName w:val="Times New Roman"/>
    <w:panose1 w:val="00000000000000000000"/>
    <w:charset w:val="00"/>
    <w:family w:val="roman"/>
    <w:pitch w:val="default"/>
    <w:sig w:usb0="00000000" w:usb1="00000000" w:usb2="00000000" w:usb3="00000000" w:csb0="00040001" w:csb1="00000000"/>
    <w:embedRegular r:id="rId5" w:fontKey="{8D8FA24E-58F9-4393-952D-D39FCEC1AEA5}"/>
  </w:font>
  <w:font w:name="仿宋_GB2312">
    <w:panose1 w:val="02010609030101010101"/>
    <w:charset w:val="86"/>
    <w:family w:val="modern"/>
    <w:pitch w:val="default"/>
    <w:sig w:usb0="00000001" w:usb1="080E0000" w:usb2="00000000" w:usb3="00000000" w:csb0="00040000" w:csb1="00000000"/>
    <w:embedRegular r:id="rId6" w:fontKey="{C68C7744-D129-43E2-8EEB-3CB87C90B3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3529"/>
      <w:docPartObj>
        <w:docPartGallery w:val="autotext"/>
      </w:docPartObj>
    </w:sdtPr>
    <w:sdtEndPr>
      <w:rPr>
        <w:rFonts w:asciiTheme="minorEastAsia" w:hAnsiTheme="minorEastAsia" w:eastAsiaTheme="minorEastAsia"/>
        <w:sz w:val="28"/>
        <w:szCs w:val="28"/>
      </w:rPr>
    </w:sdtEndPr>
    <w:sdtContent>
      <w:p w14:paraId="30C02070">
        <w:pPr>
          <w:pStyle w:val="3"/>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14:paraId="638866B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D81C">
    <w:pPr>
      <w:pStyle w:val="4"/>
      <w:pBdr>
        <w:bottom w:val="none" w:color="auto" w:sz="0" w:space="1"/>
      </w:pBdr>
      <w:jc w:val="left"/>
      <w:rPr>
        <w:rFonts w:hint="default" w:eastAsiaTheme="minorEastAsia"/>
        <w:b/>
        <w:bCs/>
        <w:lang w:val="en-US" w:eastAsia="zh-CN"/>
      </w:rPr>
    </w:pPr>
    <w:r>
      <w:rPr>
        <w:rFonts w:hint="eastAsia"/>
        <w:b/>
        <w:bCs/>
        <w:lang w:val="en-US" w:eastAsia="zh-CN"/>
      </w:rPr>
      <w:t>附件2</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MGNiOTcyMzBiNDc2ZDk1ZjU1MThiNzU3YzRiMzkifQ=="/>
  </w:docVars>
  <w:rsids>
    <w:rsidRoot w:val="00000000"/>
    <w:rsid w:val="05D03FE6"/>
    <w:rsid w:val="14681CD7"/>
    <w:rsid w:val="239F7915"/>
    <w:rsid w:val="2D9358A7"/>
    <w:rsid w:val="403D18AE"/>
    <w:rsid w:val="42D25D66"/>
    <w:rsid w:val="47CF67F4"/>
    <w:rsid w:val="4EBE7C60"/>
    <w:rsid w:val="572F4E2F"/>
    <w:rsid w:val="58C8728A"/>
    <w:rsid w:val="5A023611"/>
    <w:rsid w:val="61ED22FD"/>
    <w:rsid w:val="6CBE6A1E"/>
    <w:rsid w:val="6D9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1009</Words>
  <Characters>1050</Characters>
  <Lines>0</Lines>
  <Paragraphs>0</Paragraphs>
  <TotalTime>2</TotalTime>
  <ScaleCrop>false</ScaleCrop>
  <LinksUpToDate>false</LinksUpToDate>
  <CharactersWithSpaces>1052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2023-11-17T01:09:00Z</dcterms:created>
  <dc:creator>Administrator</dc:creator>
  <cp:lastModifiedBy>木槿</cp:lastModifiedBy>
  <cp:lastPrinted>2025-06-20T09:33:14Z</cp:lastPrinted>
  <dcterms:modified xsi:type="dcterms:W3CDTF">2025-06-20T09:34:01Z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8104FC44CFF34C99B01D34938C5C2E25_13</vt:lpwstr>
  </property>
  <property fmtid="{D5CDD505-2E9C-101B-9397-08002B2CF9AE}" pid="4" name="KSOTemplateDocerSaveRecord">
    <vt:lpwstr>eyJoZGlkIjoiYWI3MGNiOTcyMzBiNDc2ZDk1ZjU1MThiNzU3YzRiMzkiLCJ1c2VySWQiOiIzODUxNTk2NDAifQ==</vt:lpwstr>
  </property>
</Properties>
</file>