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方正小标宋简体" w:hAnsi="方正小标宋简体" w:eastAsia="方正小标宋简体" w:cs="方正小标宋简体"/>
          <w:w w:val="96"/>
          <w:sz w:val="44"/>
          <w:szCs w:val="44"/>
        </w:rPr>
      </w:pPr>
      <w:r>
        <w:rPr>
          <w:rFonts w:hint="eastAsia" w:ascii="方正小标宋简体" w:hAnsi="方正小标宋简体" w:eastAsia="方正小标宋简体" w:cs="方正小标宋简体"/>
          <w:w w:val="96"/>
          <w:sz w:val="44"/>
          <w:szCs w:val="44"/>
        </w:rPr>
        <w:t>衢江区“区域环评+环境标准”改革扩面</w:t>
      </w:r>
    </w:p>
    <w:p>
      <w:pPr>
        <w:spacing w:line="560" w:lineRule="exact"/>
        <w:jc w:val="center"/>
        <w:rPr>
          <w:rFonts w:hint="eastAsia" w:ascii="方正小标宋简体" w:hAnsi="方正小标宋简体" w:eastAsia="方正小标宋简体" w:cs="方正小标宋简体"/>
          <w:w w:val="96"/>
          <w:sz w:val="44"/>
          <w:szCs w:val="44"/>
        </w:rPr>
      </w:pPr>
      <w:r>
        <w:rPr>
          <w:rFonts w:hint="eastAsia" w:ascii="方正小标宋简体" w:hAnsi="方正小标宋简体" w:eastAsia="方正小标宋简体" w:cs="方正小标宋简体"/>
          <w:w w:val="96"/>
          <w:sz w:val="44"/>
          <w:szCs w:val="44"/>
        </w:rPr>
        <w:t>实施方案</w:t>
      </w:r>
    </w:p>
    <w:p>
      <w:pPr>
        <w:pStyle w:val="2"/>
        <w:ind w:firstLine="3200" w:firstLineChars="1000"/>
        <w:rPr>
          <w:rFonts w:hint="eastAsia"/>
          <w:lang w:eastAsia="zh-CN"/>
        </w:rPr>
      </w:pPr>
      <w:r>
        <w:rPr>
          <w:rFonts w:hint="eastAsia" w:ascii="Times New Roman" w:hAnsi="Times New Roman" w:eastAsia="仿宋_GB2312"/>
          <w:b w:val="0"/>
          <w:bCs w:val="0"/>
          <w:sz w:val="32"/>
          <w:szCs w:val="32"/>
          <w:lang w:eastAsia="zh-CN"/>
        </w:rPr>
        <w:t>（征求意见稿）</w:t>
      </w:r>
      <w:bookmarkStart w:id="0" w:name="_GoBack"/>
      <w:bookmarkEnd w:id="0"/>
    </w:p>
    <w:p>
      <w:pPr>
        <w:pStyle w:val="2"/>
        <w:rPr>
          <w:rFonts w:hint="eastAsia" w:ascii="Times New Roman" w:hAnsi="Times New Roman" w:eastAsia="方正小标宋简体"/>
          <w:sz w:val="32"/>
          <w:szCs w:val="44"/>
        </w:rPr>
      </w:pPr>
      <w:r>
        <w:rPr>
          <w:rFonts w:hint="eastAsia" w:ascii="Times New Roman" w:hAnsi="Times New Roman" w:eastAsia="仿宋_GB2312"/>
          <w:sz w:val="32"/>
          <w:szCs w:val="32"/>
        </w:rPr>
        <w:t>为进一步</w:t>
      </w:r>
      <w:r>
        <w:rPr>
          <w:rFonts w:hint="eastAsia" w:ascii="Times New Roman" w:hAnsi="Times New Roman" w:eastAsia="仿宋_GB2312"/>
          <w:sz w:val="32"/>
          <w:szCs w:val="32"/>
          <w:lang w:val="en-US" w:eastAsia="zh-CN"/>
        </w:rPr>
        <w:t>优化营商环境，深化“放管服”和“最多跑一次”改革，切实解决企业建设项目环境准入门槛高、费用高、效率低等问题，促进企业高质量快速发展</w:t>
      </w:r>
      <w:r>
        <w:rPr>
          <w:rFonts w:hint="eastAsia" w:ascii="Times New Roman" w:hAnsi="Times New Roman" w:eastAsia="仿宋_GB2312"/>
          <w:sz w:val="32"/>
          <w:szCs w:val="32"/>
        </w:rPr>
        <w:t>，根据《</w:t>
      </w:r>
      <w:r>
        <w:rPr>
          <w:rFonts w:hint="eastAsia" w:ascii="Times New Roman" w:hAnsi="Times New Roman" w:eastAsia="仿宋_GB2312"/>
          <w:sz w:val="32"/>
          <w:szCs w:val="32"/>
          <w:lang w:val="en-US" w:eastAsia="zh-CN"/>
        </w:rPr>
        <w:t>浙江省人民政府办公厅关于全面推行“区域环评+环境标准”改革</w:t>
      </w:r>
      <w:r>
        <w:rPr>
          <w:rFonts w:hint="eastAsia" w:ascii="Times New Roman" w:hAnsi="Times New Roman" w:eastAsia="仿宋_GB2312"/>
          <w:sz w:val="32"/>
          <w:szCs w:val="32"/>
        </w:rPr>
        <w:t>的指导意见》（浙政办发〔20</w:t>
      </w:r>
      <w:r>
        <w:rPr>
          <w:rFonts w:hint="eastAsia" w:ascii="Times New Roman" w:hAnsi="Times New Roman" w:eastAsia="仿宋_GB2312"/>
          <w:sz w:val="32"/>
          <w:szCs w:val="32"/>
          <w:lang w:val="en-US" w:eastAsia="zh-CN"/>
        </w:rPr>
        <w:t>17</w:t>
      </w:r>
      <w:r>
        <w:rPr>
          <w:rFonts w:hint="eastAsia" w:ascii="Times New Roman" w:hAnsi="Times New Roman" w:eastAsia="仿宋_GB2312"/>
          <w:sz w:val="32"/>
          <w:szCs w:val="32"/>
        </w:rPr>
        <w:t>〕</w:t>
      </w:r>
      <w:r>
        <w:rPr>
          <w:rFonts w:hint="eastAsia" w:ascii="Times New Roman" w:hAnsi="Times New Roman" w:eastAsia="仿宋_GB2312"/>
          <w:sz w:val="32"/>
          <w:szCs w:val="32"/>
          <w:lang w:val="en-US" w:eastAsia="zh-CN"/>
        </w:rPr>
        <w:t>57</w:t>
      </w:r>
      <w:r>
        <w:rPr>
          <w:rFonts w:hint="eastAsia" w:ascii="Times New Roman" w:hAnsi="Times New Roman" w:eastAsia="仿宋_GB2312"/>
          <w:sz w:val="32"/>
          <w:szCs w:val="32"/>
        </w:rPr>
        <w:t>号）</w:t>
      </w:r>
      <w:r>
        <w:rPr>
          <w:rFonts w:hint="eastAsia" w:ascii="Times New Roman" w:hAnsi="Times New Roman" w:eastAsia="仿宋_GB2312"/>
          <w:sz w:val="32"/>
          <w:szCs w:val="32"/>
          <w:lang w:eastAsia="zh-CN"/>
        </w:rPr>
        <w:t>、</w:t>
      </w:r>
      <w:r>
        <w:rPr>
          <w:rFonts w:hint="eastAsia" w:ascii="Times New Roman" w:hAnsi="Times New Roman" w:eastAsia="仿宋_GB2312"/>
          <w:sz w:val="32"/>
          <w:szCs w:val="32"/>
        </w:rPr>
        <w:t>《</w:t>
      </w:r>
      <w:r>
        <w:rPr>
          <w:rFonts w:hint="eastAsia" w:ascii="Times New Roman" w:hAnsi="Times New Roman" w:eastAsia="仿宋_GB2312"/>
          <w:sz w:val="32"/>
          <w:szCs w:val="32"/>
          <w:lang w:val="en-US" w:eastAsia="zh-CN"/>
        </w:rPr>
        <w:t>浙江省人民政府办公厅</w:t>
      </w:r>
      <w:r>
        <w:rPr>
          <w:rFonts w:hint="eastAsia" w:ascii="Times New Roman" w:hAnsi="Times New Roman" w:eastAsia="仿宋_GB2312"/>
          <w:sz w:val="32"/>
          <w:szCs w:val="32"/>
        </w:rPr>
        <w:t>关于深化环境准入制度改革助推高质量发展建设共同富裕示范区的指导意见》（浙政办发〔2021〕72号）</w:t>
      </w:r>
      <w:r>
        <w:rPr>
          <w:rFonts w:hint="eastAsia" w:ascii="Times New Roman" w:hAnsi="Times New Roman" w:eastAsia="仿宋_GB2312"/>
          <w:sz w:val="32"/>
          <w:szCs w:val="32"/>
          <w:lang w:val="en-US" w:eastAsia="zh-CN"/>
        </w:rPr>
        <w:t>以及</w:t>
      </w:r>
      <w:r>
        <w:rPr>
          <w:rFonts w:hint="eastAsia" w:ascii="Times New Roman" w:hAnsi="Times New Roman" w:eastAsia="仿宋_GB2312"/>
          <w:sz w:val="32"/>
          <w:szCs w:val="32"/>
        </w:rPr>
        <w:t>《</w:t>
      </w:r>
      <w:r>
        <w:rPr>
          <w:rFonts w:hint="eastAsia" w:ascii="Times New Roman" w:hAnsi="Times New Roman" w:eastAsia="仿宋_GB2312"/>
          <w:sz w:val="32"/>
          <w:szCs w:val="32"/>
          <w:lang w:val="en-US" w:eastAsia="zh-CN"/>
        </w:rPr>
        <w:t>浙江省生态环境厅</w:t>
      </w:r>
      <w:r>
        <w:rPr>
          <w:rFonts w:hint="eastAsia" w:ascii="Times New Roman" w:hAnsi="Times New Roman" w:eastAsia="仿宋_GB2312"/>
          <w:sz w:val="32"/>
          <w:szCs w:val="32"/>
        </w:rPr>
        <w:t>关于推进环境准入制度改革试点工作的通知》（浙环函〔2022〕42号）</w:t>
      </w:r>
      <w:r>
        <w:rPr>
          <w:rFonts w:hint="eastAsia" w:ascii="Times New Roman" w:hAnsi="Times New Roman" w:eastAsia="仿宋_GB2312"/>
          <w:sz w:val="32"/>
          <w:szCs w:val="32"/>
          <w:lang w:val="en-US" w:eastAsia="zh-CN"/>
        </w:rPr>
        <w:t>等</w:t>
      </w:r>
      <w:r>
        <w:rPr>
          <w:rFonts w:hint="eastAsia" w:ascii="Times New Roman" w:hAnsi="Times New Roman" w:eastAsia="仿宋_GB2312"/>
          <w:sz w:val="32"/>
          <w:szCs w:val="32"/>
        </w:rPr>
        <w:t>文件精神，经区政府同意，特制定《衢江区“</w:t>
      </w:r>
      <w:r>
        <w:rPr>
          <w:rFonts w:ascii="Times New Roman" w:hAnsi="Times New Roman" w:eastAsia="仿宋_GB2312"/>
          <w:sz w:val="32"/>
          <w:szCs w:val="32"/>
        </w:rPr>
        <w:t>区域环评+环境标准</w:t>
      </w:r>
      <w:r>
        <w:rPr>
          <w:rFonts w:hint="eastAsia" w:ascii="Times New Roman" w:hAnsi="Times New Roman" w:eastAsia="仿宋_GB2312"/>
          <w:sz w:val="32"/>
          <w:szCs w:val="32"/>
        </w:rPr>
        <w:t>”改革扩面实施方案》</w:t>
      </w:r>
      <w:r>
        <w:rPr>
          <w:rFonts w:hint="eastAsia" w:ascii="Times New Roman" w:hAnsi="Times New Roman" w:eastAsia="仿宋_GB2312"/>
          <w:sz w:val="32"/>
          <w:szCs w:val="32"/>
          <w:lang w:eastAsia="zh-CN"/>
        </w:rPr>
        <w:t>。</w:t>
      </w:r>
    </w:p>
    <w:p>
      <w:pPr>
        <w:spacing w:line="560" w:lineRule="exact"/>
        <w:ind w:firstLine="645"/>
        <w:rPr>
          <w:rFonts w:hint="eastAsia" w:ascii="Times New Roman" w:hAnsi="Times New Roman" w:eastAsia="黑体"/>
          <w:sz w:val="32"/>
          <w:szCs w:val="32"/>
        </w:rPr>
      </w:pPr>
      <w:r>
        <w:rPr>
          <w:rFonts w:hint="eastAsia" w:ascii="Times New Roman" w:hAnsi="Times New Roman" w:eastAsia="黑体"/>
          <w:sz w:val="32"/>
          <w:szCs w:val="32"/>
        </w:rPr>
        <w:t>一、工作目标</w:t>
      </w:r>
    </w:p>
    <w:p>
      <w:pPr>
        <w:adjustRightInd/>
        <w:snapToGrid/>
        <w:spacing w:line="560" w:lineRule="exact"/>
        <w:ind w:firstLine="640" w:firstLineChars="200"/>
        <w:outlineLvl w:val="0"/>
        <w:rPr>
          <w:rFonts w:hint="eastAsia" w:ascii="Times New Roman" w:hAnsi="Times New Roman" w:eastAsia="仿宋_GB2312"/>
          <w:sz w:val="32"/>
          <w:szCs w:val="32"/>
        </w:rPr>
      </w:pPr>
      <w:r>
        <w:rPr>
          <w:rFonts w:hint="eastAsia" w:ascii="Times New Roman" w:hAnsi="Times New Roman" w:eastAsia="仿宋_GB2312"/>
          <w:sz w:val="32"/>
          <w:szCs w:val="32"/>
        </w:rPr>
        <w:t>通过推行“区域环评+环境标准”改革扩面，加强区域规划环评的宏观管理，进一步简化单个项目环评内容，提高审批时效，为实体经济营造更好的发展环境。</w:t>
      </w:r>
    </w:p>
    <w:p>
      <w:pPr>
        <w:adjustRightInd/>
        <w:snapToGrid/>
        <w:spacing w:line="560" w:lineRule="exact"/>
        <w:ind w:firstLine="640" w:firstLineChars="200"/>
        <w:outlineLvl w:val="0"/>
        <w:rPr>
          <w:rFonts w:hint="eastAsia" w:ascii="Times New Roman" w:hAnsi="Times New Roman" w:eastAsia="黑体"/>
          <w:sz w:val="32"/>
          <w:szCs w:val="32"/>
        </w:rPr>
      </w:pPr>
      <w:r>
        <w:rPr>
          <w:rFonts w:hint="eastAsia" w:ascii="Times New Roman" w:hAnsi="Times New Roman" w:eastAsia="黑体"/>
          <w:sz w:val="32"/>
          <w:szCs w:val="32"/>
        </w:rPr>
        <w:t>二、实施范围</w:t>
      </w:r>
    </w:p>
    <w:p>
      <w:pPr>
        <w:adjustRightInd/>
        <w:snapToGrid/>
        <w:spacing w:line="560" w:lineRule="exact"/>
        <w:ind w:firstLine="640" w:firstLineChars="200"/>
        <w:outlineLvl w:val="0"/>
        <w:rPr>
          <w:rFonts w:hint="eastAsia" w:ascii="Times New Roman" w:hAnsi="Times New Roman" w:eastAsia="仿宋_GB2312"/>
          <w:sz w:val="32"/>
          <w:szCs w:val="32"/>
        </w:rPr>
      </w:pPr>
      <w:r>
        <w:rPr>
          <w:rFonts w:hint="eastAsia" w:ascii="Times New Roman" w:hAnsi="Times New Roman" w:eastAsia="仿宋_GB2312"/>
          <w:sz w:val="32"/>
          <w:szCs w:val="32"/>
        </w:rPr>
        <w:t>辖区内</w:t>
      </w:r>
      <w:r>
        <w:rPr>
          <w:rFonts w:hint="eastAsia" w:ascii="Times New Roman" w:hAnsi="Times New Roman" w:eastAsia="仿宋_GB2312"/>
          <w:sz w:val="32"/>
          <w:szCs w:val="32"/>
          <w:lang w:val="en-US" w:eastAsia="zh-CN"/>
        </w:rPr>
        <w:t>区域规划环评</w:t>
      </w:r>
      <w:r>
        <w:rPr>
          <w:rFonts w:hint="eastAsia" w:ascii="Times New Roman" w:hAnsi="Times New Roman" w:eastAsia="仿宋_GB2312"/>
          <w:sz w:val="32"/>
          <w:szCs w:val="32"/>
        </w:rPr>
        <w:t>已编制</w:t>
      </w:r>
      <w:r>
        <w:rPr>
          <w:rFonts w:hint="eastAsia" w:ascii="Times New Roman" w:hAnsi="Times New Roman" w:eastAsia="仿宋_GB2312"/>
          <w:sz w:val="32"/>
          <w:szCs w:val="32"/>
          <w:lang w:val="en-US" w:eastAsia="zh-CN"/>
        </w:rPr>
        <w:t>并通过审查</w:t>
      </w:r>
      <w:r>
        <w:rPr>
          <w:rFonts w:hint="eastAsia" w:ascii="Times New Roman" w:hAnsi="Times New Roman" w:eastAsia="仿宋_GB2312"/>
          <w:sz w:val="32"/>
          <w:szCs w:val="32"/>
        </w:rPr>
        <w:t>的</w:t>
      </w:r>
      <w:r>
        <w:rPr>
          <w:rFonts w:hint="eastAsia" w:ascii="Times New Roman" w:hAnsi="Times New Roman" w:eastAsia="仿宋_GB2312"/>
          <w:sz w:val="32"/>
          <w:szCs w:val="32"/>
          <w:lang w:val="en-US" w:eastAsia="zh-CN"/>
        </w:rPr>
        <w:t>市级以下工业功能区（园区）</w:t>
      </w:r>
      <w:r>
        <w:rPr>
          <w:rFonts w:hint="eastAsia" w:ascii="Times New Roman" w:hAnsi="Times New Roman" w:eastAsia="仿宋_GB2312"/>
          <w:sz w:val="32"/>
          <w:szCs w:val="32"/>
        </w:rPr>
        <w:t>。</w:t>
      </w:r>
    </w:p>
    <w:p>
      <w:pPr>
        <w:spacing w:line="560" w:lineRule="exact"/>
        <w:ind w:firstLine="640" w:firstLineChars="200"/>
        <w:rPr>
          <w:rFonts w:hint="eastAsia" w:ascii="Times New Roman" w:hAnsi="Times New Roman" w:eastAsia="黑体"/>
          <w:sz w:val="32"/>
          <w:szCs w:val="32"/>
        </w:rPr>
      </w:pPr>
      <w:r>
        <w:rPr>
          <w:rFonts w:hint="eastAsia" w:ascii="Times New Roman" w:hAnsi="Times New Roman" w:eastAsia="黑体"/>
          <w:sz w:val="32"/>
          <w:szCs w:val="32"/>
        </w:rPr>
        <w:t>三、实施内容</w:t>
      </w:r>
    </w:p>
    <w:p>
      <w:pPr>
        <w:spacing w:line="560" w:lineRule="exact"/>
        <w:ind w:firstLine="640" w:firstLineChars="200"/>
        <w:rPr>
          <w:rFonts w:hint="eastAsia" w:ascii="Times New Roman" w:hAnsi="Times New Roman" w:eastAsia="仿宋_GB2312"/>
          <w:color w:val="FF0000"/>
          <w:sz w:val="32"/>
          <w:szCs w:val="32"/>
        </w:rPr>
      </w:pPr>
      <w:r>
        <w:rPr>
          <w:rFonts w:hint="eastAsia" w:ascii="楷体_GB2312" w:hAnsi="楷体_GB2312" w:eastAsia="楷体_GB2312" w:cs="楷体_GB2312"/>
          <w:b w:val="0"/>
          <w:bCs/>
          <w:sz w:val="32"/>
          <w:szCs w:val="32"/>
        </w:rPr>
        <w:t>（一）</w:t>
      </w:r>
      <w:r>
        <w:rPr>
          <w:rFonts w:hint="eastAsia" w:ascii="楷体_GB2312" w:hAnsi="楷体_GB2312" w:eastAsia="楷体_GB2312" w:cs="楷体_GB2312"/>
          <w:b w:val="0"/>
          <w:bCs/>
          <w:sz w:val="32"/>
          <w:szCs w:val="32"/>
          <w:lang w:val="en-US" w:eastAsia="zh-CN"/>
        </w:rPr>
        <w:t>降低环评等级</w:t>
      </w:r>
      <w:r>
        <w:rPr>
          <w:rFonts w:hint="eastAsia" w:ascii="楷体_GB2312" w:hAnsi="楷体_GB2312" w:eastAsia="楷体_GB2312" w:cs="楷体_GB2312"/>
          <w:b w:val="0"/>
          <w:bCs/>
          <w:sz w:val="32"/>
          <w:szCs w:val="32"/>
        </w:rPr>
        <w:t>。</w:t>
      </w:r>
      <w:r>
        <w:rPr>
          <w:rFonts w:hint="eastAsia" w:ascii="Times New Roman" w:hAnsi="Times New Roman" w:eastAsia="仿宋_GB2312"/>
          <w:b w:val="0"/>
          <w:bCs/>
          <w:sz w:val="32"/>
          <w:szCs w:val="32"/>
          <w:lang w:val="en-US" w:eastAsia="zh-CN"/>
        </w:rPr>
        <w:t>符合“区域环评+环境标准”改革扩面实施范围条件的“两高”项目以外的建设项目可以降低环评编制等级</w:t>
      </w:r>
      <w:r>
        <w:rPr>
          <w:rFonts w:hint="eastAsia" w:ascii="Times New Roman" w:hAnsi="Times New Roman" w:eastAsia="仿宋_GB2312"/>
          <w:sz w:val="32"/>
          <w:szCs w:val="32"/>
        </w:rPr>
        <w:t>。</w:t>
      </w:r>
      <w:r>
        <w:rPr>
          <w:rFonts w:hint="eastAsia" w:ascii="Times New Roman" w:hAnsi="Times New Roman" w:eastAsia="仿宋_GB2312"/>
          <w:sz w:val="32"/>
          <w:szCs w:val="32"/>
          <w:lang w:val="en-US" w:eastAsia="zh-CN"/>
        </w:rPr>
        <w:t>原要求</w:t>
      </w:r>
      <w:r>
        <w:rPr>
          <w:rFonts w:hint="eastAsia" w:ascii="Times New Roman" w:hAnsi="Times New Roman" w:eastAsia="仿宋_GB2312"/>
          <w:sz w:val="32"/>
          <w:szCs w:val="32"/>
        </w:rPr>
        <w:t>编制环境影响报告书的，可以编制环境影响报告表；原</w:t>
      </w:r>
      <w:r>
        <w:rPr>
          <w:rFonts w:hint="eastAsia" w:ascii="Times New Roman" w:hAnsi="Times New Roman" w:eastAsia="仿宋_GB2312"/>
          <w:sz w:val="32"/>
          <w:szCs w:val="32"/>
          <w:lang w:val="en-US" w:eastAsia="zh-CN"/>
        </w:rPr>
        <w:t>要求</w:t>
      </w:r>
      <w:r>
        <w:rPr>
          <w:rFonts w:hint="eastAsia" w:ascii="Times New Roman" w:hAnsi="Times New Roman" w:eastAsia="仿宋_GB2312"/>
          <w:sz w:val="32"/>
          <w:szCs w:val="32"/>
        </w:rPr>
        <w:t>编制环境影响报告表的，</w:t>
      </w:r>
      <w:r>
        <w:rPr>
          <w:rFonts w:hint="eastAsia" w:ascii="Times New Roman" w:hAnsi="Times New Roman" w:eastAsia="仿宋_GB2312"/>
          <w:sz w:val="32"/>
          <w:szCs w:val="32"/>
          <w:lang w:val="en-US" w:eastAsia="zh-CN"/>
        </w:rPr>
        <w:t>可以在项目开工建设前由企业法人承诺后，将建设项目环评承诺备案表和环境影响登记表报衢州市生态环境局衢江分局备案。</w:t>
      </w:r>
    </w:p>
    <w:p>
      <w:pPr>
        <w:spacing w:before="60" w:line="560" w:lineRule="exact"/>
        <w:ind w:firstLine="450"/>
        <w:rPr>
          <w:rFonts w:hint="eastAsia" w:ascii="Times New Roman" w:hAnsi="Times New Roman" w:eastAsia="仿宋_GB2312"/>
          <w:sz w:val="32"/>
          <w:szCs w:val="32"/>
        </w:rPr>
      </w:pPr>
      <w:r>
        <w:rPr>
          <w:rFonts w:hint="eastAsia" w:ascii="楷体_GB2312" w:hAnsi="楷体_GB2312" w:eastAsia="楷体_GB2312" w:cs="楷体_GB2312"/>
          <w:b w:val="0"/>
          <w:bCs/>
          <w:sz w:val="32"/>
          <w:szCs w:val="32"/>
        </w:rPr>
        <w:t>（二）</w:t>
      </w:r>
      <w:r>
        <w:rPr>
          <w:rFonts w:hint="eastAsia" w:ascii="楷体_GB2312" w:hAnsi="楷体_GB2312" w:eastAsia="楷体_GB2312" w:cs="楷体_GB2312"/>
          <w:b w:val="0"/>
          <w:bCs/>
          <w:sz w:val="32"/>
          <w:szCs w:val="32"/>
          <w:lang w:val="en-US" w:eastAsia="zh-CN"/>
        </w:rPr>
        <w:t>精简环评内容</w:t>
      </w:r>
      <w:r>
        <w:rPr>
          <w:rFonts w:hint="eastAsia" w:ascii="楷体_GB2312" w:hAnsi="楷体_GB2312" w:eastAsia="楷体_GB2312" w:cs="楷体_GB2312"/>
          <w:b w:val="0"/>
          <w:bCs/>
          <w:sz w:val="32"/>
          <w:szCs w:val="32"/>
        </w:rPr>
        <w:t>。</w:t>
      </w:r>
      <w:r>
        <w:rPr>
          <w:rFonts w:hint="eastAsia" w:ascii="Times New Roman" w:hAnsi="Times New Roman" w:eastAsia="仿宋_GB2312"/>
          <w:b w:val="0"/>
          <w:bCs/>
          <w:sz w:val="32"/>
          <w:szCs w:val="32"/>
          <w:lang w:val="en-US" w:eastAsia="zh-CN"/>
        </w:rPr>
        <w:t>项目环评可以与规划环评共享环境现状、污染源调查等资料，引用规划环评结论，环评文件中选址选线、规模分析等内容可适当简化，减少环评文件内容或章节</w:t>
      </w:r>
      <w:r>
        <w:rPr>
          <w:rFonts w:hint="eastAsia" w:ascii="Times New Roman" w:hAnsi="Times New Roman" w:eastAsia="仿宋_GB2312"/>
          <w:sz w:val="32"/>
          <w:szCs w:val="32"/>
        </w:rPr>
        <w:t>。</w:t>
      </w:r>
    </w:p>
    <w:p>
      <w:pPr>
        <w:spacing w:before="60" w:line="560" w:lineRule="exact"/>
        <w:ind w:firstLine="450"/>
        <w:rPr>
          <w:rFonts w:hint="default" w:ascii="Times New Roman" w:hAnsi="Times New Roman" w:eastAsia="仿宋_GB2312"/>
          <w:b w:val="0"/>
          <w:bCs/>
          <w:color w:val="FF0000"/>
          <w:sz w:val="32"/>
          <w:szCs w:val="32"/>
          <w:lang w:val="en-US" w:eastAsia="zh-CN"/>
        </w:rPr>
      </w:pPr>
      <w:r>
        <w:rPr>
          <w:rFonts w:hint="eastAsia" w:ascii="楷体_GB2312" w:hAnsi="楷体_GB2312" w:eastAsia="楷体_GB2312" w:cs="楷体_GB2312"/>
          <w:b w:val="0"/>
          <w:bCs/>
          <w:sz w:val="32"/>
          <w:szCs w:val="32"/>
        </w:rPr>
        <w:t>（三）</w:t>
      </w:r>
      <w:r>
        <w:rPr>
          <w:rFonts w:hint="eastAsia" w:ascii="楷体_GB2312" w:hAnsi="楷体_GB2312" w:eastAsia="楷体_GB2312" w:cs="楷体_GB2312"/>
          <w:b w:val="0"/>
          <w:bCs/>
          <w:sz w:val="32"/>
          <w:szCs w:val="32"/>
          <w:lang w:val="en-US" w:eastAsia="zh-CN"/>
        </w:rPr>
        <w:t>部分豁免环评审批</w:t>
      </w:r>
      <w:r>
        <w:rPr>
          <w:rFonts w:hint="eastAsia" w:ascii="楷体_GB2312" w:hAnsi="楷体_GB2312" w:eastAsia="楷体_GB2312" w:cs="楷体_GB2312"/>
          <w:b w:val="0"/>
          <w:bCs/>
          <w:sz w:val="32"/>
          <w:szCs w:val="32"/>
        </w:rPr>
        <w:t>。</w:t>
      </w:r>
      <w:r>
        <w:rPr>
          <w:rFonts w:hint="eastAsia" w:ascii="Times New Roman" w:hAnsi="Times New Roman" w:eastAsia="仿宋_GB2312"/>
          <w:b w:val="0"/>
          <w:bCs/>
          <w:sz w:val="32"/>
          <w:szCs w:val="32"/>
          <w:lang w:val="en-US" w:eastAsia="zh-CN"/>
        </w:rPr>
        <w:t>按环境影响登记表管理的项目，由企业直接在生态环境部门网上备案；《建设项目环境影响评价分类管理名录》外的项目，不纳入建设项目环境影响评价管理。</w:t>
      </w:r>
    </w:p>
    <w:p>
      <w:pPr>
        <w:spacing w:before="60" w:line="560" w:lineRule="exact"/>
        <w:ind w:firstLine="450"/>
        <w:rPr>
          <w:rFonts w:hint="eastAsia" w:ascii="Times New Roman" w:hAnsi="Times New Roman" w:eastAsia="仿宋_GB2312"/>
          <w:sz w:val="32"/>
          <w:szCs w:val="32"/>
        </w:rPr>
      </w:pPr>
      <w:r>
        <w:rPr>
          <w:rFonts w:hint="eastAsia" w:ascii="楷体_GB2312" w:hAnsi="楷体_GB2312" w:eastAsia="楷体_GB2312" w:cs="楷体_GB2312"/>
          <w:b w:val="0"/>
          <w:bCs/>
          <w:sz w:val="32"/>
          <w:szCs w:val="32"/>
        </w:rPr>
        <w:t>（四）强化事中事后监管。</w:t>
      </w:r>
      <w:r>
        <w:rPr>
          <w:rFonts w:hint="eastAsia" w:ascii="Times New Roman" w:hAnsi="Times New Roman" w:eastAsia="仿宋_GB2312"/>
          <w:sz w:val="32"/>
          <w:szCs w:val="32"/>
        </w:rPr>
        <w:t>按照“双随机、一公开”的要求，制定严格的事中、事后监管方案，强化项目全过程监管措施。建设单位对环评文件或其他项目材料内容的准确性、真实性负责；环评中介机构、环境监测机构等对其编制的环评文件、监测报告和环保设施竣工验收报告结论负责。建立环评审批、环保“三同时”和排污许可证相衔接的管理机制，</w:t>
      </w:r>
      <w:r>
        <w:rPr>
          <w:rFonts w:hint="eastAsia" w:ascii="Times New Roman" w:hAnsi="Times New Roman" w:eastAsia="仿宋_GB2312"/>
          <w:sz w:val="32"/>
          <w:szCs w:val="32"/>
          <w:lang w:val="en-US" w:eastAsia="zh-CN"/>
        </w:rPr>
        <w:t>严格执行环保“三同时”制度，落实法人承诺，在项目发生实际排污行为之前，申领排污许可证，并按证排污，</w:t>
      </w:r>
      <w:r>
        <w:rPr>
          <w:rFonts w:hint="eastAsia" w:ascii="Times New Roman" w:hAnsi="Times New Roman" w:eastAsia="仿宋_GB2312"/>
          <w:sz w:val="32"/>
          <w:szCs w:val="32"/>
        </w:rPr>
        <w:t>在</w:t>
      </w:r>
      <w:r>
        <w:rPr>
          <w:rFonts w:hint="eastAsia" w:ascii="Times New Roman" w:hAnsi="Times New Roman" w:eastAsia="仿宋_GB2312"/>
          <w:sz w:val="32"/>
          <w:szCs w:val="32"/>
          <w:lang w:val="en-US" w:eastAsia="zh-CN"/>
        </w:rPr>
        <w:t>项目</w:t>
      </w:r>
      <w:r>
        <w:rPr>
          <w:rFonts w:hint="eastAsia" w:ascii="Times New Roman" w:hAnsi="Times New Roman" w:eastAsia="仿宋_GB2312"/>
          <w:sz w:val="32"/>
          <w:szCs w:val="32"/>
        </w:rPr>
        <w:t>投入生产或者使用前，</w:t>
      </w:r>
      <w:r>
        <w:rPr>
          <w:rFonts w:hint="eastAsia" w:ascii="Times New Roman" w:hAnsi="Times New Roman" w:eastAsia="仿宋_GB2312"/>
          <w:sz w:val="32"/>
          <w:szCs w:val="32"/>
          <w:lang w:val="en-US" w:eastAsia="zh-CN"/>
        </w:rPr>
        <w:t>依法对环保设施进行</w:t>
      </w:r>
      <w:r>
        <w:rPr>
          <w:rFonts w:hint="eastAsia" w:ascii="Times New Roman" w:hAnsi="Times New Roman" w:eastAsia="仿宋_GB2312"/>
          <w:sz w:val="32"/>
          <w:szCs w:val="32"/>
        </w:rPr>
        <w:t>验收，</w:t>
      </w:r>
      <w:r>
        <w:rPr>
          <w:rFonts w:hint="eastAsia" w:ascii="Times New Roman" w:hAnsi="Times New Roman" w:eastAsia="仿宋_GB2312"/>
          <w:sz w:val="32"/>
          <w:szCs w:val="32"/>
          <w:lang w:val="en-US" w:eastAsia="zh-CN"/>
        </w:rPr>
        <w:t>未经</w:t>
      </w:r>
      <w:r>
        <w:rPr>
          <w:rFonts w:hint="eastAsia" w:ascii="Times New Roman" w:hAnsi="Times New Roman" w:eastAsia="仿宋_GB2312"/>
          <w:sz w:val="32"/>
          <w:szCs w:val="32"/>
        </w:rPr>
        <w:t>验收</w:t>
      </w:r>
      <w:r>
        <w:rPr>
          <w:rFonts w:hint="eastAsia" w:ascii="Times New Roman" w:hAnsi="Times New Roman" w:eastAsia="仿宋_GB2312"/>
          <w:sz w:val="32"/>
          <w:szCs w:val="32"/>
          <w:lang w:val="en-US" w:eastAsia="zh-CN"/>
        </w:rPr>
        <w:t>或验收不合格的，</w:t>
      </w:r>
      <w:r>
        <w:rPr>
          <w:rFonts w:hint="eastAsia" w:ascii="Times New Roman" w:hAnsi="Times New Roman" w:eastAsia="仿宋_GB2312"/>
          <w:sz w:val="32"/>
          <w:szCs w:val="32"/>
        </w:rPr>
        <w:t>不得投入生产</w:t>
      </w:r>
      <w:r>
        <w:rPr>
          <w:rFonts w:hint="eastAsia" w:ascii="Times New Roman" w:hAnsi="Times New Roman" w:eastAsia="仿宋_GB2312"/>
          <w:sz w:val="32"/>
          <w:szCs w:val="32"/>
          <w:lang w:val="en-US" w:eastAsia="zh-CN"/>
        </w:rPr>
        <w:t>或使用</w:t>
      </w:r>
      <w:r>
        <w:rPr>
          <w:rFonts w:hint="eastAsia" w:ascii="Times New Roman" w:hAnsi="Times New Roman" w:eastAsia="仿宋_GB2312"/>
          <w:sz w:val="32"/>
          <w:szCs w:val="32"/>
        </w:rPr>
        <w:t>。对擅自降低环评准入要求、弄虚作假等行为，依法依规予以严厉查处，并列入环境违法黑名单，纳入社会信用体系管理。</w:t>
      </w:r>
    </w:p>
    <w:p>
      <w:pPr>
        <w:spacing w:line="560" w:lineRule="exact"/>
        <w:ind w:firstLine="640" w:firstLineChars="200"/>
        <w:rPr>
          <w:rFonts w:hint="eastAsia" w:ascii="Times New Roman" w:hAnsi="Times New Roman" w:eastAsia="黑体"/>
          <w:sz w:val="32"/>
          <w:szCs w:val="32"/>
        </w:rPr>
      </w:pPr>
      <w:r>
        <w:rPr>
          <w:rFonts w:hint="eastAsia" w:ascii="Times New Roman" w:hAnsi="Times New Roman" w:eastAsia="黑体"/>
          <w:sz w:val="32"/>
          <w:szCs w:val="32"/>
        </w:rPr>
        <w:t>四、保障措施</w:t>
      </w:r>
    </w:p>
    <w:p>
      <w:pPr>
        <w:spacing w:line="560" w:lineRule="exact"/>
        <w:ind w:firstLine="640" w:firstLineChars="200"/>
        <w:rPr>
          <w:rFonts w:hint="eastAsia" w:ascii="Times New Roman" w:hAnsi="Times New Roman" w:eastAsia="仿宋_GB2312"/>
          <w:sz w:val="32"/>
          <w:szCs w:val="32"/>
        </w:rPr>
      </w:pPr>
      <w:r>
        <w:rPr>
          <w:rFonts w:hint="eastAsia" w:ascii="楷体_GB2312" w:hAnsi="楷体_GB2312" w:eastAsia="楷体_GB2312" w:cs="楷体_GB2312"/>
          <w:b w:val="0"/>
          <w:bCs/>
          <w:sz w:val="32"/>
          <w:szCs w:val="32"/>
        </w:rPr>
        <w:t>（一）上下联动，协同推进。</w:t>
      </w:r>
      <w:r>
        <w:rPr>
          <w:rFonts w:hint="eastAsia" w:ascii="Times New Roman" w:hAnsi="Times New Roman" w:eastAsia="仿宋_GB2312"/>
          <w:b w:val="0"/>
          <w:bCs/>
          <w:sz w:val="32"/>
          <w:szCs w:val="32"/>
          <w:lang w:val="en-US" w:eastAsia="zh-CN"/>
        </w:rPr>
        <w:t>生态环境部门要</w:t>
      </w:r>
      <w:r>
        <w:rPr>
          <w:rFonts w:hint="eastAsia" w:ascii="Times New Roman" w:hAnsi="Times New Roman" w:eastAsia="仿宋_GB2312"/>
          <w:b w:val="0"/>
          <w:bCs/>
          <w:sz w:val="32"/>
          <w:szCs w:val="32"/>
        </w:rPr>
        <w:t>完</w:t>
      </w:r>
      <w:r>
        <w:rPr>
          <w:rFonts w:hint="eastAsia" w:ascii="Times New Roman" w:hAnsi="Times New Roman" w:eastAsia="仿宋_GB2312"/>
          <w:sz w:val="32"/>
          <w:szCs w:val="32"/>
        </w:rPr>
        <w:t>善建设项目环评审批、备案流程，做好信息公开工作。</w:t>
      </w:r>
      <w:r>
        <w:rPr>
          <w:rFonts w:hint="eastAsia" w:ascii="Times New Roman" w:hAnsi="Times New Roman" w:eastAsia="仿宋_GB2312"/>
          <w:sz w:val="32"/>
          <w:szCs w:val="32"/>
          <w:lang w:val="en-US" w:eastAsia="zh-CN"/>
        </w:rPr>
        <w:t>各工业功能区（园区）</w:t>
      </w:r>
      <w:r>
        <w:rPr>
          <w:rFonts w:hint="eastAsia" w:ascii="Times New Roman" w:hAnsi="Times New Roman" w:eastAsia="仿宋_GB2312"/>
          <w:sz w:val="32"/>
          <w:szCs w:val="32"/>
        </w:rPr>
        <w:t>是实施“区域环评+环境标准”改革</w:t>
      </w:r>
      <w:r>
        <w:rPr>
          <w:rFonts w:hint="eastAsia" w:ascii="Times New Roman" w:hAnsi="Times New Roman" w:eastAsia="仿宋_GB2312"/>
          <w:sz w:val="32"/>
          <w:szCs w:val="32"/>
          <w:lang w:eastAsia="zh-CN"/>
        </w:rPr>
        <w:t>扩面</w:t>
      </w:r>
      <w:r>
        <w:rPr>
          <w:rFonts w:hint="eastAsia" w:ascii="Times New Roman" w:hAnsi="Times New Roman" w:eastAsia="仿宋_GB2312"/>
          <w:sz w:val="32"/>
          <w:szCs w:val="32"/>
        </w:rPr>
        <w:t>的责任主体，按要求完成区域规划环评编制和跟踪评价工作，</w:t>
      </w:r>
      <w:r>
        <w:rPr>
          <w:rFonts w:hint="eastAsia" w:ascii="Times New Roman" w:hAnsi="Times New Roman" w:eastAsia="仿宋_GB2312"/>
          <w:sz w:val="32"/>
          <w:szCs w:val="32"/>
          <w:lang w:val="en-US" w:eastAsia="zh-CN"/>
        </w:rPr>
        <w:t>严格</w:t>
      </w:r>
      <w:r>
        <w:rPr>
          <w:rFonts w:hint="eastAsia" w:ascii="Times New Roman" w:hAnsi="Times New Roman" w:eastAsia="仿宋_GB2312"/>
          <w:sz w:val="32"/>
          <w:szCs w:val="32"/>
        </w:rPr>
        <w:t>把好入园项目的环保准入关口。建设项目环评审批或承诺备案后，即纳入环境监管网格管理范围进行全过程监管，落实建设项目事中事后监管措施。</w:t>
      </w:r>
    </w:p>
    <w:p>
      <w:pPr>
        <w:spacing w:before="60" w:line="560" w:lineRule="exact"/>
        <w:ind w:firstLine="627" w:firstLineChars="196"/>
        <w:rPr>
          <w:rFonts w:hint="default" w:ascii="Times New Roman" w:hAnsi="Times New Roman" w:eastAsia="仿宋_GB2312"/>
          <w:sz w:val="32"/>
          <w:szCs w:val="32"/>
          <w:lang w:val="en-US" w:eastAsia="zh-CN"/>
        </w:rPr>
      </w:pPr>
      <w:r>
        <w:rPr>
          <w:rFonts w:hint="eastAsia" w:ascii="楷体_GB2312" w:hAnsi="楷体_GB2312" w:eastAsia="楷体_GB2312" w:cs="楷体_GB2312"/>
          <w:b w:val="0"/>
          <w:bCs/>
          <w:i w:val="0"/>
          <w:iCs w:val="0"/>
          <w:sz w:val="32"/>
          <w:szCs w:val="32"/>
        </w:rPr>
        <w:t>（二）加强管理，</w:t>
      </w:r>
      <w:r>
        <w:rPr>
          <w:rFonts w:hint="eastAsia" w:ascii="楷体_GB2312" w:hAnsi="楷体_GB2312" w:eastAsia="楷体_GB2312" w:cs="楷体_GB2312"/>
          <w:b w:val="0"/>
          <w:bCs/>
          <w:i w:val="0"/>
          <w:iCs w:val="0"/>
          <w:sz w:val="32"/>
          <w:szCs w:val="32"/>
          <w:lang w:val="en-US" w:eastAsia="zh-CN"/>
        </w:rPr>
        <w:t>加强服务</w:t>
      </w:r>
      <w:r>
        <w:rPr>
          <w:rFonts w:hint="eastAsia" w:ascii="楷体_GB2312" w:hAnsi="楷体_GB2312" w:eastAsia="楷体_GB2312" w:cs="楷体_GB2312"/>
          <w:b w:val="0"/>
          <w:bCs/>
          <w:i w:val="0"/>
          <w:iCs w:val="0"/>
          <w:sz w:val="32"/>
          <w:szCs w:val="32"/>
        </w:rPr>
        <w:t>。</w:t>
      </w:r>
      <w:r>
        <w:rPr>
          <w:rFonts w:hint="eastAsia" w:ascii="Times New Roman" w:hAnsi="Times New Roman" w:eastAsia="仿宋_GB2312"/>
          <w:sz w:val="32"/>
          <w:szCs w:val="32"/>
        </w:rPr>
        <w:t>结合当前工作实际，我区在已编制区域规划环评</w:t>
      </w:r>
      <w:r>
        <w:rPr>
          <w:rFonts w:hint="eastAsia" w:ascii="Times New Roman" w:hAnsi="Times New Roman" w:eastAsia="仿宋_GB2312"/>
          <w:sz w:val="32"/>
          <w:szCs w:val="32"/>
          <w:lang w:val="en-US" w:eastAsia="zh-CN"/>
        </w:rPr>
        <w:t>并通过审查</w:t>
      </w:r>
      <w:r>
        <w:rPr>
          <w:rFonts w:hint="eastAsia" w:ascii="Times New Roman" w:hAnsi="Times New Roman" w:eastAsia="仿宋_GB2312"/>
          <w:sz w:val="32"/>
          <w:szCs w:val="32"/>
        </w:rPr>
        <w:t>的</w:t>
      </w:r>
      <w:r>
        <w:rPr>
          <w:rFonts w:hint="eastAsia" w:ascii="Times New Roman" w:hAnsi="Times New Roman" w:eastAsia="仿宋_GB2312"/>
          <w:sz w:val="32"/>
          <w:szCs w:val="32"/>
          <w:lang w:val="en-US" w:eastAsia="zh-CN"/>
        </w:rPr>
        <w:t>市级以下工业功能区（园区）</w:t>
      </w:r>
      <w:r>
        <w:rPr>
          <w:rFonts w:hint="eastAsia" w:ascii="Times New Roman" w:hAnsi="Times New Roman" w:eastAsia="仿宋_GB2312"/>
          <w:sz w:val="32"/>
          <w:szCs w:val="32"/>
        </w:rPr>
        <w:t>开展“区域环评+环境标准”改革扩面试点。</w:t>
      </w:r>
      <w:r>
        <w:rPr>
          <w:rFonts w:hint="eastAsia" w:ascii="Times New Roman" w:hAnsi="Times New Roman" w:eastAsia="仿宋_GB2312"/>
          <w:sz w:val="32"/>
          <w:szCs w:val="32"/>
          <w:lang w:val="en-US" w:eastAsia="zh-CN"/>
        </w:rPr>
        <w:t>生态环境部门要做好环境准入优化政策宣传，工业功能区（园区）主管部门要落实规划环评结论和审查意见要求，对存在的生态问题组织整改，组织开展跟踪评价，加强工业功能区（园区）环保配套建设，完善环境公共基础设施，加强环境整治与监管。</w:t>
      </w:r>
    </w:p>
    <w:p>
      <w:pPr>
        <w:spacing w:before="60" w:line="560" w:lineRule="exact"/>
        <w:ind w:firstLine="450"/>
        <w:rPr>
          <w:rFonts w:hint="eastAsia" w:ascii="Times New Roman" w:hAnsi="Times New Roman" w:eastAsia="仿宋_GB2312"/>
          <w:sz w:val="32"/>
          <w:szCs w:val="32"/>
        </w:rPr>
      </w:pPr>
      <w:r>
        <w:rPr>
          <w:rFonts w:hint="eastAsia" w:ascii="楷体_GB2312" w:hAnsi="楷体_GB2312" w:eastAsia="楷体_GB2312" w:cs="楷体_GB2312"/>
          <w:b w:val="0"/>
          <w:bCs/>
          <w:sz w:val="32"/>
          <w:szCs w:val="32"/>
        </w:rPr>
        <w:t>（三）健全机制，注重实效。</w:t>
      </w:r>
      <w:r>
        <w:rPr>
          <w:rFonts w:hint="eastAsia" w:ascii="Times New Roman" w:hAnsi="Times New Roman" w:eastAsia="仿宋_GB2312"/>
          <w:sz w:val="32"/>
          <w:szCs w:val="32"/>
        </w:rPr>
        <w:t xml:space="preserve">要建立以实施区域为主、生态环境部门指导、政府监督管理的工作推进机制，定期分析研究改革推进过程中出现的问题，切实加强对改革工作的组织领导。要强化工作督查，对违反规划环评结论清单盲目引进污染项目，造成生态环境质量恶化、污染减排任务完不成等问题的区域，要及时采取限制性措施，确保改革工作取得实效。 </w:t>
      </w:r>
    </w:p>
    <w:p>
      <w:pPr>
        <w:rPr>
          <w:rFonts w:hint="eastAsia" w:ascii="Times New Roman" w:hAnsi="Times New Roman" w:eastAsia="仿宋_GB2312"/>
          <w:sz w:val="32"/>
        </w:rPr>
      </w:pPr>
      <w:r>
        <w:rPr>
          <w:rFonts w:hint="eastAsia" w:ascii="Times New Roman" w:hAnsi="Times New Roman" w:eastAsia="仿宋_GB2312"/>
          <w:sz w:val="32"/>
        </w:rPr>
        <w:t xml:space="preserve">    </w:t>
      </w:r>
    </w:p>
    <w:p>
      <w:pPr>
        <w:ind w:firstLine="640" w:firstLineChars="200"/>
        <w:rPr>
          <w:rFonts w:ascii="Times New Roman" w:hAnsi="Times New Roman" w:eastAsia="仿宋_GB2312"/>
          <w:sz w:val="32"/>
        </w:rPr>
        <w:sectPr>
          <w:footerReference r:id="rId3" w:type="default"/>
          <w:pgSz w:w="11906" w:h="16838"/>
          <w:pgMar w:top="1985" w:right="1531" w:bottom="1814" w:left="1531" w:header="720" w:footer="1474" w:gutter="0"/>
          <w:pgNumType w:fmt="numberInDash"/>
          <w:cols w:space="720" w:num="1"/>
          <w:docGrid w:linePitch="590" w:charSpace="-1024"/>
        </w:sectPr>
      </w:pPr>
      <w:r>
        <w:rPr>
          <w:rFonts w:hint="eastAsia" w:ascii="Times New Roman" w:hAnsi="Times New Roman" w:eastAsia="仿宋_GB2312"/>
          <w:sz w:val="32"/>
        </w:rPr>
        <w:t>附件：建设</w:t>
      </w:r>
      <w:r>
        <w:rPr>
          <w:rFonts w:ascii="Times New Roman" w:hAnsi="Times New Roman" w:eastAsia="仿宋_GB2312"/>
          <w:sz w:val="32"/>
        </w:rPr>
        <w:t>项</w:t>
      </w:r>
      <w:r>
        <w:rPr>
          <w:rFonts w:hint="eastAsia" w:ascii="Times New Roman" w:hAnsi="Times New Roman" w:eastAsia="仿宋_GB2312"/>
          <w:sz w:val="32"/>
        </w:rPr>
        <w:t>目环评</w:t>
      </w:r>
      <w:r>
        <w:rPr>
          <w:rFonts w:ascii="Times New Roman" w:hAnsi="Times New Roman" w:eastAsia="仿宋_GB2312"/>
          <w:sz w:val="32"/>
        </w:rPr>
        <w:t>承诺备案表</w:t>
      </w:r>
    </w:p>
    <w:p>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ascii="Times New Roman" w:hAnsi="Times New Roman" w:eastAsia="仿宋_GB2312"/>
          <w:sz w:val="32"/>
        </w:rPr>
      </w:pPr>
      <w:r>
        <w:rPr>
          <w:rFonts w:hint="eastAsia" w:ascii="Times New Roman" w:hAnsi="Times New Roman" w:eastAsia="黑体"/>
          <w:sz w:val="32"/>
        </w:rPr>
        <w:t>附件</w:t>
      </w:r>
    </w:p>
    <w:p>
      <w:pPr>
        <w:keepNext w:val="0"/>
        <w:keepLines w:val="0"/>
        <w:pageBreakBefore w:val="0"/>
        <w:widowControl w:val="0"/>
        <w:kinsoku/>
        <w:wordWrap/>
        <w:overflowPunct/>
        <w:topLinePunct w:val="0"/>
        <w:autoSpaceDE/>
        <w:autoSpaceDN/>
        <w:bidi w:val="0"/>
        <w:adjustRightInd w:val="0"/>
        <w:snapToGrid w:val="0"/>
        <w:spacing w:before="60" w:line="440" w:lineRule="exact"/>
        <w:jc w:val="center"/>
        <w:textAlignment w:val="auto"/>
        <w:rPr>
          <w:rFonts w:ascii="Times New Roman" w:hAnsi="Times New Roman" w:eastAsia="方正小标宋简体"/>
          <w:sz w:val="44"/>
          <w:szCs w:val="44"/>
        </w:rPr>
      </w:pPr>
      <w:r>
        <w:rPr>
          <w:rFonts w:hint="eastAsia" w:ascii="Times New Roman" w:hAnsi="Times New Roman" w:eastAsia="方正小标宋简体"/>
          <w:sz w:val="44"/>
          <w:szCs w:val="44"/>
        </w:rPr>
        <w:t>建设</w:t>
      </w:r>
      <w:r>
        <w:rPr>
          <w:rFonts w:ascii="Times New Roman" w:hAnsi="Times New Roman" w:eastAsia="方正小标宋简体"/>
          <w:sz w:val="44"/>
          <w:szCs w:val="44"/>
        </w:rPr>
        <w:t>项</w:t>
      </w:r>
      <w:r>
        <w:rPr>
          <w:rFonts w:hint="eastAsia" w:ascii="Times New Roman" w:hAnsi="Times New Roman" w:eastAsia="方正小标宋简体"/>
          <w:sz w:val="44"/>
          <w:szCs w:val="44"/>
        </w:rPr>
        <w:t>目环评</w:t>
      </w:r>
      <w:r>
        <w:rPr>
          <w:rFonts w:ascii="Times New Roman" w:hAnsi="Times New Roman" w:eastAsia="方正小标宋简体"/>
          <w:sz w:val="44"/>
          <w:szCs w:val="44"/>
        </w:rPr>
        <w:t>承诺备案表</w:t>
      </w:r>
    </w:p>
    <w:p>
      <w:pPr>
        <w:keepNext w:val="0"/>
        <w:keepLines w:val="0"/>
        <w:pageBreakBefore w:val="0"/>
        <w:widowControl w:val="0"/>
        <w:kinsoku/>
        <w:wordWrap/>
        <w:overflowPunct/>
        <w:topLinePunct w:val="0"/>
        <w:autoSpaceDE/>
        <w:autoSpaceDN/>
        <w:bidi w:val="0"/>
        <w:adjustRightInd w:val="0"/>
        <w:snapToGrid w:val="0"/>
        <w:spacing w:before="60" w:line="440" w:lineRule="exact"/>
        <w:jc w:val="center"/>
        <w:textAlignment w:val="auto"/>
        <w:rPr>
          <w:rFonts w:ascii="Times New Roman" w:hAnsi="Times New Roman"/>
          <w:sz w:val="32"/>
          <w:szCs w:val="21"/>
        </w:rPr>
      </w:pPr>
    </w:p>
    <w:p>
      <w:pPr>
        <w:keepNext w:val="0"/>
        <w:keepLines w:val="0"/>
        <w:pageBreakBefore w:val="0"/>
        <w:widowControl w:val="0"/>
        <w:kinsoku/>
        <w:wordWrap/>
        <w:overflowPunct/>
        <w:topLinePunct w:val="0"/>
        <w:autoSpaceDE/>
        <w:autoSpaceDN/>
        <w:bidi w:val="0"/>
        <w:adjustRightInd w:val="0"/>
        <w:snapToGrid w:val="0"/>
        <w:spacing w:line="440" w:lineRule="exact"/>
        <w:jc w:val="both"/>
        <w:textAlignment w:val="auto"/>
        <w:rPr>
          <w:rFonts w:ascii="Times New Roman" w:hAnsi="Times New Roman" w:eastAsia="仿宋_GB2312"/>
          <w:sz w:val="32"/>
        </w:rPr>
      </w:pPr>
      <w:r>
        <w:rPr>
          <w:rFonts w:hint="eastAsia" w:ascii="Times New Roman" w:hAnsi="Times New Roman" w:eastAsia="仿宋_GB2312"/>
          <w:sz w:val="32"/>
          <w:lang w:eastAsia="zh-CN"/>
        </w:rPr>
        <w:t>备案号：</w:t>
      </w:r>
    </w:p>
    <w:tbl>
      <w:tblPr>
        <w:tblStyle w:val="6"/>
        <w:tblW w:w="9062" w:type="dxa"/>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525"/>
        <w:gridCol w:w="1563"/>
        <w:gridCol w:w="1422"/>
        <w:gridCol w:w="1670"/>
        <w:gridCol w:w="31"/>
        <w:gridCol w:w="1701"/>
        <w:gridCol w:w="27"/>
        <w:gridCol w:w="2123"/>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624" w:hRule="atLeast"/>
        </w:trPr>
        <w:tc>
          <w:tcPr>
            <w:tcW w:w="525" w:type="dxa"/>
            <w:vMerge w:val="restart"/>
            <w:tcBorders>
              <w:top w:val="single" w:color="000000" w:sz="8" w:space="0"/>
              <w:left w:val="single" w:color="000000" w:sz="8" w:space="0"/>
              <w:bottom w:val="single" w:color="000000" w:sz="8" w:space="0"/>
              <w:right w:val="single" w:color="000000" w:sz="8" w:space="0"/>
            </w:tcBorders>
            <w:vAlign w:val="center"/>
          </w:tcPr>
          <w:p>
            <w:pPr>
              <w:spacing w:line="280" w:lineRule="exac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项目概况</w:t>
            </w:r>
          </w:p>
        </w:tc>
        <w:tc>
          <w:tcPr>
            <w:tcW w:w="1563" w:type="dxa"/>
            <w:tcBorders>
              <w:top w:val="single" w:color="000000" w:sz="8" w:space="0"/>
              <w:left w:val="single" w:color="000000" w:sz="8" w:space="0"/>
              <w:bottom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项目建设单位</w:t>
            </w:r>
          </w:p>
        </w:tc>
        <w:tc>
          <w:tcPr>
            <w:tcW w:w="3092" w:type="dxa"/>
            <w:gridSpan w:val="2"/>
            <w:tcBorders>
              <w:top w:val="single" w:color="000000" w:sz="8" w:space="0"/>
              <w:left w:val="single" w:color="000000" w:sz="8" w:space="0"/>
              <w:bottom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lang w:val="en-US" w:eastAsia="zh-CN"/>
              </w:rPr>
              <w:t xml:space="preserve">            </w:t>
            </w:r>
            <w:r>
              <w:rPr>
                <w:rFonts w:hint="eastAsia" w:ascii="仿宋_GB2312" w:hAnsi="仿宋_GB2312" w:eastAsia="仿宋_GB2312" w:cs="仿宋_GB2312"/>
                <w:sz w:val="21"/>
                <w:szCs w:val="21"/>
              </w:rPr>
              <w:t>(盖章)</w:t>
            </w:r>
          </w:p>
        </w:tc>
        <w:tc>
          <w:tcPr>
            <w:tcW w:w="1759" w:type="dxa"/>
            <w:gridSpan w:val="3"/>
            <w:tcBorders>
              <w:top w:val="single" w:color="000000" w:sz="8" w:space="0"/>
              <w:left w:val="single" w:color="000000" w:sz="8" w:space="0"/>
              <w:bottom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单位法定代表人</w:t>
            </w:r>
          </w:p>
        </w:tc>
        <w:tc>
          <w:tcPr>
            <w:tcW w:w="2123" w:type="dxa"/>
            <w:tcBorders>
              <w:top w:val="single" w:color="000000" w:sz="8" w:space="0"/>
              <w:left w:val="single" w:color="000000" w:sz="8" w:space="0"/>
              <w:bottom w:val="single" w:color="000000" w:sz="8" w:space="0"/>
              <w:right w:val="single" w:color="000000" w:sz="8" w:space="0"/>
            </w:tcBorders>
            <w:vAlign w:val="top"/>
          </w:tcPr>
          <w:p>
            <w:pPr>
              <w:spacing w:line="280" w:lineRule="exact"/>
              <w:jc w:val="center"/>
              <w:rPr>
                <w:rFonts w:hint="eastAsia" w:ascii="仿宋_GB2312" w:hAnsi="仿宋_GB2312" w:eastAsia="仿宋_GB2312" w:cs="仿宋_GB2312"/>
                <w:sz w:val="21"/>
                <w:szCs w:val="21"/>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509" w:hRule="atLeast"/>
        </w:trPr>
        <w:tc>
          <w:tcPr>
            <w:tcW w:w="525" w:type="dxa"/>
            <w:vMerge w:val="continue"/>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563" w:type="dxa"/>
            <w:tcBorders>
              <w:top w:val="single" w:color="000000" w:sz="8" w:space="0"/>
              <w:left w:val="single" w:color="000000" w:sz="8" w:space="0"/>
              <w:bottom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建设地点</w:t>
            </w:r>
          </w:p>
        </w:tc>
        <w:tc>
          <w:tcPr>
            <w:tcW w:w="3092" w:type="dxa"/>
            <w:gridSpan w:val="2"/>
            <w:tcBorders>
              <w:top w:val="single" w:color="000000" w:sz="8" w:space="0"/>
              <w:left w:val="single" w:color="000000" w:sz="8" w:space="0"/>
              <w:bottom w:val="single" w:color="000000" w:sz="8" w:space="0"/>
              <w:right w:val="single" w:color="000000" w:sz="8" w:space="0"/>
            </w:tcBorders>
            <w:vAlign w:val="top"/>
          </w:tcPr>
          <w:p>
            <w:pPr>
              <w:spacing w:line="280" w:lineRule="exact"/>
              <w:jc w:val="center"/>
              <w:rPr>
                <w:rFonts w:hint="eastAsia" w:ascii="仿宋_GB2312" w:hAnsi="仿宋_GB2312" w:eastAsia="仿宋_GB2312" w:cs="仿宋_GB2312"/>
                <w:sz w:val="21"/>
                <w:szCs w:val="21"/>
              </w:rPr>
            </w:pPr>
          </w:p>
        </w:tc>
        <w:tc>
          <w:tcPr>
            <w:tcW w:w="1759" w:type="dxa"/>
            <w:gridSpan w:val="3"/>
            <w:tcBorders>
              <w:top w:val="single" w:color="000000" w:sz="8" w:space="0"/>
              <w:left w:val="single" w:color="000000" w:sz="8" w:space="0"/>
              <w:bottom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lang w:eastAsia="zh-CN"/>
              </w:rPr>
            </w:pPr>
            <w:r>
              <w:rPr>
                <w:rFonts w:hint="eastAsia" w:ascii="仿宋_GB2312" w:hAnsi="仿宋_GB2312" w:eastAsia="仿宋_GB2312" w:cs="仿宋_GB2312"/>
                <w:sz w:val="21"/>
                <w:szCs w:val="21"/>
              </w:rPr>
              <w:t>法定代表人电话</w:t>
            </w:r>
          </w:p>
        </w:tc>
        <w:tc>
          <w:tcPr>
            <w:tcW w:w="2123" w:type="dxa"/>
            <w:tcBorders>
              <w:top w:val="single" w:color="000000" w:sz="8" w:space="0"/>
              <w:left w:val="single" w:color="000000" w:sz="8" w:space="0"/>
              <w:bottom w:val="single" w:color="000000" w:sz="8" w:space="0"/>
              <w:right w:val="single" w:color="000000" w:sz="8" w:space="0"/>
            </w:tcBorders>
            <w:vAlign w:val="top"/>
          </w:tcPr>
          <w:p>
            <w:pPr>
              <w:spacing w:line="280" w:lineRule="exact"/>
              <w:jc w:val="center"/>
              <w:rPr>
                <w:rFonts w:hint="eastAsia" w:ascii="仿宋_GB2312" w:hAnsi="仿宋_GB2312" w:eastAsia="仿宋_GB2312" w:cs="仿宋_GB2312"/>
                <w:sz w:val="21"/>
                <w:szCs w:val="21"/>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509" w:hRule="atLeast"/>
        </w:trPr>
        <w:tc>
          <w:tcPr>
            <w:tcW w:w="525" w:type="dxa"/>
            <w:vMerge w:val="continue"/>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563" w:type="dxa"/>
            <w:tcBorders>
              <w:top w:val="single" w:color="000000" w:sz="8" w:space="0"/>
              <w:left w:val="single" w:color="000000" w:sz="8" w:space="0"/>
              <w:bottom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项目名称：</w:t>
            </w:r>
          </w:p>
        </w:tc>
        <w:tc>
          <w:tcPr>
            <w:tcW w:w="3092" w:type="dxa"/>
            <w:gridSpan w:val="2"/>
            <w:tcBorders>
              <w:top w:val="single" w:color="000000" w:sz="8" w:space="0"/>
              <w:left w:val="single" w:color="000000" w:sz="8" w:space="0"/>
              <w:bottom w:val="single" w:color="000000" w:sz="8" w:space="0"/>
              <w:right w:val="single" w:color="000000" w:sz="8" w:space="0"/>
            </w:tcBorders>
            <w:vAlign w:val="top"/>
          </w:tcPr>
          <w:p>
            <w:pPr>
              <w:spacing w:line="280" w:lineRule="exact"/>
              <w:jc w:val="center"/>
              <w:rPr>
                <w:rFonts w:hint="eastAsia" w:ascii="仿宋_GB2312" w:hAnsi="仿宋_GB2312" w:eastAsia="仿宋_GB2312" w:cs="仿宋_GB2312"/>
                <w:sz w:val="21"/>
                <w:szCs w:val="21"/>
              </w:rPr>
            </w:pPr>
          </w:p>
        </w:tc>
        <w:tc>
          <w:tcPr>
            <w:tcW w:w="1759" w:type="dxa"/>
            <w:gridSpan w:val="3"/>
            <w:tcBorders>
              <w:top w:val="single" w:color="000000" w:sz="8" w:space="0"/>
              <w:left w:val="single" w:color="000000" w:sz="8" w:space="0"/>
              <w:bottom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lang w:eastAsia="zh-CN"/>
              </w:rPr>
            </w:pPr>
            <w:r>
              <w:rPr>
                <w:rFonts w:hint="eastAsia" w:ascii="仿宋_GB2312" w:hAnsi="仿宋_GB2312" w:eastAsia="仿宋_GB2312" w:cs="仿宋_GB2312"/>
                <w:sz w:val="21"/>
                <w:szCs w:val="21"/>
                <w:lang w:eastAsia="zh-CN"/>
              </w:rPr>
              <w:t>批准文号</w:t>
            </w:r>
          </w:p>
        </w:tc>
        <w:tc>
          <w:tcPr>
            <w:tcW w:w="2123" w:type="dxa"/>
            <w:tcBorders>
              <w:top w:val="single" w:color="000000" w:sz="8" w:space="0"/>
              <w:left w:val="single" w:color="000000" w:sz="8" w:space="0"/>
              <w:bottom w:val="single" w:color="000000" w:sz="8" w:space="0"/>
              <w:right w:val="single" w:color="000000" w:sz="8" w:space="0"/>
            </w:tcBorders>
            <w:vAlign w:val="top"/>
          </w:tcPr>
          <w:p>
            <w:pPr>
              <w:spacing w:line="280" w:lineRule="exact"/>
              <w:jc w:val="center"/>
              <w:rPr>
                <w:rFonts w:hint="eastAsia" w:ascii="仿宋_GB2312" w:hAnsi="仿宋_GB2312" w:eastAsia="仿宋_GB2312" w:cs="仿宋_GB2312"/>
                <w:sz w:val="21"/>
                <w:szCs w:val="21"/>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394" w:hRule="atLeast"/>
        </w:trPr>
        <w:tc>
          <w:tcPr>
            <w:tcW w:w="525" w:type="dxa"/>
            <w:vMerge w:val="continue"/>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563" w:type="dxa"/>
            <w:tcBorders>
              <w:top w:val="single" w:color="000000" w:sz="8" w:space="0"/>
              <w:left w:val="single" w:color="000000" w:sz="8" w:space="0"/>
              <w:bottom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联系人</w:t>
            </w:r>
          </w:p>
        </w:tc>
        <w:tc>
          <w:tcPr>
            <w:tcW w:w="3092" w:type="dxa"/>
            <w:gridSpan w:val="2"/>
            <w:tcBorders>
              <w:top w:val="single" w:color="000000" w:sz="8" w:space="0"/>
              <w:left w:val="single" w:color="000000" w:sz="8" w:space="0"/>
              <w:bottom w:val="single" w:color="000000" w:sz="8" w:space="0"/>
              <w:right w:val="single" w:color="000000" w:sz="8" w:space="0"/>
            </w:tcBorders>
            <w:vAlign w:val="top"/>
          </w:tcPr>
          <w:p>
            <w:pPr>
              <w:spacing w:line="280" w:lineRule="exact"/>
              <w:jc w:val="center"/>
              <w:rPr>
                <w:rFonts w:hint="eastAsia" w:ascii="仿宋_GB2312" w:hAnsi="仿宋_GB2312" w:eastAsia="仿宋_GB2312" w:cs="仿宋_GB2312"/>
                <w:sz w:val="21"/>
                <w:szCs w:val="21"/>
              </w:rPr>
            </w:pPr>
          </w:p>
        </w:tc>
        <w:tc>
          <w:tcPr>
            <w:tcW w:w="1759" w:type="dxa"/>
            <w:gridSpan w:val="3"/>
            <w:tcBorders>
              <w:top w:val="single" w:color="000000" w:sz="8" w:space="0"/>
              <w:left w:val="single" w:color="000000" w:sz="8" w:space="0"/>
              <w:bottom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联系人电话</w:t>
            </w:r>
          </w:p>
        </w:tc>
        <w:tc>
          <w:tcPr>
            <w:tcW w:w="2123" w:type="dxa"/>
            <w:tcBorders>
              <w:top w:val="single" w:color="000000" w:sz="8" w:space="0"/>
              <w:left w:val="single" w:color="000000" w:sz="8" w:space="0"/>
              <w:bottom w:val="single" w:color="000000" w:sz="8" w:space="0"/>
              <w:right w:val="single" w:color="000000" w:sz="8" w:space="0"/>
            </w:tcBorders>
            <w:vAlign w:val="top"/>
          </w:tcPr>
          <w:p>
            <w:pPr>
              <w:spacing w:line="280" w:lineRule="exact"/>
              <w:jc w:val="center"/>
              <w:rPr>
                <w:rFonts w:hint="eastAsia" w:ascii="仿宋_GB2312" w:hAnsi="仿宋_GB2312" w:eastAsia="仿宋_GB2312" w:cs="仿宋_GB2312"/>
                <w:sz w:val="21"/>
                <w:szCs w:val="21"/>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509" w:hRule="atLeast"/>
        </w:trPr>
        <w:tc>
          <w:tcPr>
            <w:tcW w:w="525" w:type="dxa"/>
            <w:vMerge w:val="continue"/>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563" w:type="dxa"/>
            <w:tcBorders>
              <w:top w:val="single" w:color="000000" w:sz="8" w:space="0"/>
              <w:left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项目性质</w:t>
            </w:r>
          </w:p>
        </w:tc>
        <w:tc>
          <w:tcPr>
            <w:tcW w:w="3092" w:type="dxa"/>
            <w:gridSpan w:val="2"/>
            <w:tcBorders>
              <w:top w:val="single" w:color="000000" w:sz="8" w:space="0"/>
              <w:left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新建□改建□扩建□</w:t>
            </w:r>
          </w:p>
        </w:tc>
        <w:tc>
          <w:tcPr>
            <w:tcW w:w="1759" w:type="dxa"/>
            <w:gridSpan w:val="3"/>
            <w:tcBorders>
              <w:top w:val="single" w:color="000000" w:sz="8" w:space="0"/>
              <w:left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项目总投资</w:t>
            </w:r>
          </w:p>
        </w:tc>
        <w:tc>
          <w:tcPr>
            <w:tcW w:w="2123" w:type="dxa"/>
            <w:tcBorders>
              <w:top w:val="single" w:color="000000" w:sz="8" w:space="0"/>
              <w:left w:val="single" w:color="000000" w:sz="8" w:space="0"/>
              <w:bottom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lang w:val="en-US" w:eastAsia="zh-CN"/>
              </w:rPr>
              <w:t xml:space="preserve">  </w:t>
            </w:r>
            <w:r>
              <w:rPr>
                <w:rFonts w:hint="eastAsia" w:ascii="仿宋_GB2312" w:hAnsi="仿宋_GB2312" w:eastAsia="仿宋_GB2312" w:cs="仿宋_GB2312"/>
                <w:sz w:val="21"/>
                <w:szCs w:val="21"/>
              </w:rPr>
              <w:t>万元</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499" w:hRule="atLeast"/>
        </w:trPr>
        <w:tc>
          <w:tcPr>
            <w:tcW w:w="525" w:type="dxa"/>
            <w:vMerge w:val="continue"/>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563" w:type="dxa"/>
            <w:tcBorders>
              <w:top w:val="single" w:color="000000" w:sz="8" w:space="0"/>
              <w:left w:val="single" w:color="000000" w:sz="8" w:space="0"/>
              <w:bottom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投资管理类别</w:t>
            </w:r>
          </w:p>
        </w:tc>
        <w:tc>
          <w:tcPr>
            <w:tcW w:w="6974" w:type="dxa"/>
            <w:gridSpan w:val="6"/>
            <w:tcBorders>
              <w:top w:val="single" w:color="000000" w:sz="8" w:space="0"/>
              <w:left w:val="single" w:color="000000" w:sz="8" w:space="0"/>
              <w:bottom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审批□核准□备案□</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439" w:hRule="atLeast"/>
        </w:trPr>
        <w:tc>
          <w:tcPr>
            <w:tcW w:w="525" w:type="dxa"/>
            <w:vMerge w:val="continue"/>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563" w:type="dxa"/>
            <w:tcBorders>
              <w:top w:val="single" w:color="000000" w:sz="8" w:space="0"/>
              <w:left w:val="single" w:color="000000" w:sz="8" w:space="0"/>
              <w:bottom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项目所属行业</w:t>
            </w:r>
          </w:p>
        </w:tc>
        <w:tc>
          <w:tcPr>
            <w:tcW w:w="3092" w:type="dxa"/>
            <w:gridSpan w:val="2"/>
            <w:tcBorders>
              <w:top w:val="single" w:color="000000" w:sz="8" w:space="0"/>
              <w:left w:val="single" w:color="000000" w:sz="8" w:space="0"/>
              <w:bottom w:val="single" w:color="000000" w:sz="8" w:space="0"/>
              <w:right w:val="single" w:color="000000" w:sz="8" w:space="0"/>
            </w:tcBorders>
            <w:vAlign w:val="top"/>
          </w:tcPr>
          <w:p>
            <w:pPr>
              <w:spacing w:line="280" w:lineRule="exact"/>
              <w:jc w:val="center"/>
              <w:rPr>
                <w:rFonts w:hint="eastAsia" w:ascii="仿宋_GB2312" w:hAnsi="仿宋_GB2312" w:eastAsia="仿宋_GB2312" w:cs="仿宋_GB2312"/>
                <w:sz w:val="21"/>
                <w:szCs w:val="21"/>
              </w:rPr>
            </w:pPr>
          </w:p>
        </w:tc>
        <w:tc>
          <w:tcPr>
            <w:tcW w:w="1759" w:type="dxa"/>
            <w:gridSpan w:val="3"/>
            <w:tcBorders>
              <w:top w:val="single" w:color="000000" w:sz="8" w:space="0"/>
              <w:left w:val="single" w:color="000000" w:sz="8" w:space="0"/>
              <w:bottom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分类管理类别</w:t>
            </w:r>
          </w:p>
        </w:tc>
        <w:tc>
          <w:tcPr>
            <w:tcW w:w="2123" w:type="dxa"/>
            <w:tcBorders>
              <w:top w:val="single" w:color="000000" w:sz="8" w:space="0"/>
              <w:left w:val="single" w:color="000000" w:sz="8" w:space="0"/>
              <w:bottom w:val="single" w:color="000000" w:sz="8" w:space="0"/>
              <w:right w:val="single" w:color="000000" w:sz="8" w:space="0"/>
            </w:tcBorders>
            <w:vAlign w:val="top"/>
          </w:tcPr>
          <w:p>
            <w:pPr>
              <w:spacing w:line="280" w:lineRule="exact"/>
              <w:jc w:val="center"/>
              <w:rPr>
                <w:rFonts w:hint="eastAsia" w:ascii="仿宋_GB2312" w:hAnsi="仿宋_GB2312" w:eastAsia="仿宋_GB2312" w:cs="仿宋_GB2312"/>
                <w:sz w:val="21"/>
                <w:szCs w:val="21"/>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1555" w:hRule="atLeast"/>
        </w:trPr>
        <w:tc>
          <w:tcPr>
            <w:tcW w:w="525" w:type="dxa"/>
            <w:vMerge w:val="continue"/>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563" w:type="dxa"/>
            <w:tcBorders>
              <w:top w:val="single" w:color="000000" w:sz="8" w:space="0"/>
              <w:left w:val="single" w:color="000000" w:sz="8" w:space="0"/>
              <w:bottom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建设规模</w:t>
            </w:r>
          </w:p>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及</w:t>
            </w:r>
          </w:p>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主要内容</w:t>
            </w:r>
          </w:p>
        </w:tc>
        <w:tc>
          <w:tcPr>
            <w:tcW w:w="6974" w:type="dxa"/>
            <w:gridSpan w:val="6"/>
            <w:tcBorders>
              <w:top w:val="single" w:color="000000" w:sz="8" w:space="0"/>
              <w:left w:val="single" w:color="000000" w:sz="8" w:space="0"/>
              <w:bottom w:val="single" w:color="000000" w:sz="8" w:space="0"/>
              <w:right w:val="single" w:color="000000" w:sz="8" w:space="0"/>
            </w:tcBorders>
            <w:vAlign w:val="top"/>
          </w:tcPr>
          <w:p>
            <w:pPr>
              <w:spacing w:line="280" w:lineRule="exact"/>
              <w:jc w:val="center"/>
              <w:rPr>
                <w:rFonts w:hint="eastAsia" w:ascii="仿宋_GB2312" w:hAnsi="仿宋_GB2312" w:eastAsia="仿宋_GB2312" w:cs="仿宋_GB2312"/>
                <w:sz w:val="21"/>
                <w:szCs w:val="21"/>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705" w:hRule="atLeast"/>
        </w:trPr>
        <w:tc>
          <w:tcPr>
            <w:tcW w:w="525" w:type="dxa"/>
            <w:vMerge w:val="restart"/>
            <w:tcBorders>
              <w:top w:val="single" w:color="000000" w:sz="8" w:space="0"/>
              <w:left w:val="single" w:color="000000" w:sz="8" w:space="0"/>
              <w:right w:val="single" w:color="000000" w:sz="8" w:space="0"/>
            </w:tcBorders>
            <w:vAlign w:val="center"/>
          </w:tcPr>
          <w:p>
            <w:pPr>
              <w:spacing w:line="280" w:lineRule="exac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污染物排放量</w:t>
            </w:r>
          </w:p>
        </w:tc>
        <w:tc>
          <w:tcPr>
            <w:tcW w:w="2985" w:type="dxa"/>
            <w:gridSpan w:val="2"/>
            <w:tcBorders>
              <w:top w:val="single" w:color="000000" w:sz="8" w:space="0"/>
              <w:left w:val="single" w:color="000000" w:sz="8" w:space="0"/>
              <w:bottom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污染物种类</w:t>
            </w:r>
          </w:p>
        </w:tc>
        <w:tc>
          <w:tcPr>
            <w:tcW w:w="1701" w:type="dxa"/>
            <w:gridSpan w:val="2"/>
            <w:tcBorders>
              <w:top w:val="single" w:color="000000" w:sz="8" w:space="0"/>
              <w:left w:val="single" w:color="000000" w:sz="8" w:space="0"/>
              <w:bottom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原有项目排放量（吨/年）</w:t>
            </w:r>
          </w:p>
        </w:tc>
        <w:tc>
          <w:tcPr>
            <w:tcW w:w="1701" w:type="dxa"/>
            <w:tcBorders>
              <w:top w:val="single" w:color="000000" w:sz="8" w:space="0"/>
              <w:left w:val="single" w:color="000000" w:sz="8" w:space="0"/>
              <w:bottom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新建项目排放量（吨/年）</w:t>
            </w:r>
          </w:p>
        </w:tc>
        <w:tc>
          <w:tcPr>
            <w:tcW w:w="2150" w:type="dxa"/>
            <w:gridSpan w:val="2"/>
            <w:tcBorders>
              <w:top w:val="single" w:color="000000" w:sz="8" w:space="0"/>
              <w:left w:val="single" w:color="000000" w:sz="8" w:space="0"/>
              <w:bottom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排放方式</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397" w:hRule="atLeast"/>
        </w:trPr>
        <w:tc>
          <w:tcPr>
            <w:tcW w:w="525" w:type="dxa"/>
            <w:vMerge w:val="continue"/>
            <w:tcBorders>
              <w:left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p>
        </w:tc>
        <w:tc>
          <w:tcPr>
            <w:tcW w:w="1563" w:type="dxa"/>
            <w:vMerge w:val="restart"/>
            <w:tcBorders>
              <w:top w:val="single" w:color="000000" w:sz="8" w:space="0"/>
              <w:left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废  水</w:t>
            </w:r>
          </w:p>
        </w:tc>
        <w:tc>
          <w:tcPr>
            <w:tcW w:w="1422"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废水量</w:t>
            </w:r>
          </w:p>
        </w:tc>
        <w:tc>
          <w:tcPr>
            <w:tcW w:w="1701" w:type="dxa"/>
            <w:gridSpan w:val="2"/>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701"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2150" w:type="dxa"/>
            <w:gridSpan w:val="2"/>
            <w:vMerge w:val="restart"/>
            <w:tcBorders>
              <w:top w:val="single" w:color="000000" w:sz="8" w:space="0"/>
              <w:left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sym w:font="Wingdings" w:char="F0A8"/>
            </w:r>
            <w:r>
              <w:rPr>
                <w:rFonts w:hint="eastAsia" w:ascii="仿宋_GB2312" w:hAnsi="仿宋_GB2312" w:eastAsia="仿宋_GB2312" w:cs="仿宋_GB2312"/>
                <w:sz w:val="21"/>
                <w:szCs w:val="21"/>
              </w:rPr>
              <w:t>不排放</w:t>
            </w:r>
          </w:p>
          <w:p>
            <w:pPr>
              <w:spacing w:line="280" w:lineRule="exact"/>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sym w:font="Wingdings" w:char="F0A8"/>
            </w:r>
            <w:r>
              <w:rPr>
                <w:rFonts w:hint="eastAsia" w:ascii="仿宋_GB2312" w:hAnsi="仿宋_GB2312" w:eastAsia="仿宋_GB2312" w:cs="仿宋_GB2312"/>
                <w:sz w:val="21"/>
                <w:szCs w:val="21"/>
              </w:rPr>
              <w:t xml:space="preserve">直接排放，受纳水体          </w:t>
            </w:r>
          </w:p>
          <w:p>
            <w:pPr>
              <w:spacing w:line="280" w:lineRule="exact"/>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sym w:font="Wingdings" w:char="F0A8"/>
            </w:r>
            <w:r>
              <w:rPr>
                <w:rFonts w:hint="eastAsia" w:ascii="仿宋_GB2312" w:hAnsi="仿宋_GB2312" w:eastAsia="仿宋_GB2312" w:cs="仿宋_GB2312"/>
                <w:sz w:val="21"/>
                <w:szCs w:val="21"/>
              </w:rPr>
              <w:t>市政管网</w:t>
            </w:r>
          </w:p>
          <w:p>
            <w:pPr>
              <w:spacing w:line="280" w:lineRule="exact"/>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sym w:font="Wingdings" w:char="F0A8"/>
            </w:r>
            <w:r>
              <w:rPr>
                <w:rFonts w:hint="eastAsia" w:ascii="仿宋_GB2312" w:hAnsi="仿宋_GB2312" w:eastAsia="仿宋_GB2312" w:cs="仿宋_GB2312"/>
                <w:sz w:val="21"/>
                <w:szCs w:val="21"/>
              </w:rPr>
              <w:t>集中式工业污水处理厂</w:t>
            </w:r>
          </w:p>
          <w:p>
            <w:pPr>
              <w:spacing w:line="280" w:lineRule="exact"/>
              <w:jc w:val="left"/>
              <w:rPr>
                <w:rFonts w:hint="eastAsia" w:ascii="仿宋_GB2312" w:hAnsi="仿宋_GB2312" w:eastAsia="仿宋_GB2312" w:cs="仿宋_GB2312"/>
                <w:sz w:val="21"/>
                <w:szCs w:val="21"/>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397" w:hRule="atLeast"/>
        </w:trPr>
        <w:tc>
          <w:tcPr>
            <w:tcW w:w="525" w:type="dxa"/>
            <w:vMerge w:val="continue"/>
            <w:tcBorders>
              <w:left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p>
        </w:tc>
        <w:tc>
          <w:tcPr>
            <w:tcW w:w="1563" w:type="dxa"/>
            <w:vMerge w:val="continue"/>
            <w:tcBorders>
              <w:left w:val="single" w:color="000000" w:sz="8" w:space="0"/>
              <w:right w:val="single" w:color="000000" w:sz="8" w:space="0"/>
            </w:tcBorders>
            <w:vAlign w:val="top"/>
          </w:tcPr>
          <w:p>
            <w:pPr>
              <w:spacing w:line="280" w:lineRule="exact"/>
              <w:jc w:val="center"/>
              <w:rPr>
                <w:rFonts w:hint="eastAsia" w:ascii="仿宋_GB2312" w:hAnsi="仿宋_GB2312" w:eastAsia="仿宋_GB2312" w:cs="仿宋_GB2312"/>
                <w:sz w:val="21"/>
                <w:szCs w:val="21"/>
              </w:rPr>
            </w:pPr>
          </w:p>
        </w:tc>
        <w:tc>
          <w:tcPr>
            <w:tcW w:w="1422"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COD</w:t>
            </w:r>
          </w:p>
        </w:tc>
        <w:tc>
          <w:tcPr>
            <w:tcW w:w="1701" w:type="dxa"/>
            <w:gridSpan w:val="2"/>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701"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2150" w:type="dxa"/>
            <w:gridSpan w:val="2"/>
            <w:vMerge w:val="continue"/>
            <w:tcBorders>
              <w:left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397" w:hRule="atLeast"/>
        </w:trPr>
        <w:tc>
          <w:tcPr>
            <w:tcW w:w="525" w:type="dxa"/>
            <w:vMerge w:val="continue"/>
            <w:tcBorders>
              <w:left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p>
        </w:tc>
        <w:tc>
          <w:tcPr>
            <w:tcW w:w="1563" w:type="dxa"/>
            <w:vMerge w:val="continue"/>
            <w:tcBorders>
              <w:left w:val="single" w:color="000000" w:sz="8" w:space="0"/>
              <w:right w:val="single" w:color="000000" w:sz="8" w:space="0"/>
            </w:tcBorders>
            <w:vAlign w:val="top"/>
          </w:tcPr>
          <w:p>
            <w:pPr>
              <w:spacing w:line="280" w:lineRule="exact"/>
              <w:jc w:val="center"/>
              <w:rPr>
                <w:rFonts w:hint="eastAsia" w:ascii="仿宋_GB2312" w:hAnsi="仿宋_GB2312" w:eastAsia="仿宋_GB2312" w:cs="仿宋_GB2312"/>
                <w:sz w:val="21"/>
                <w:szCs w:val="21"/>
              </w:rPr>
            </w:pPr>
          </w:p>
        </w:tc>
        <w:tc>
          <w:tcPr>
            <w:tcW w:w="1422"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氨氮</w:t>
            </w:r>
          </w:p>
        </w:tc>
        <w:tc>
          <w:tcPr>
            <w:tcW w:w="1701" w:type="dxa"/>
            <w:gridSpan w:val="2"/>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701"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2150" w:type="dxa"/>
            <w:gridSpan w:val="2"/>
            <w:vMerge w:val="continue"/>
            <w:tcBorders>
              <w:left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397" w:hRule="atLeast"/>
        </w:trPr>
        <w:tc>
          <w:tcPr>
            <w:tcW w:w="525" w:type="dxa"/>
            <w:vMerge w:val="continue"/>
            <w:tcBorders>
              <w:left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p>
        </w:tc>
        <w:tc>
          <w:tcPr>
            <w:tcW w:w="1563" w:type="dxa"/>
            <w:vMerge w:val="continue"/>
            <w:tcBorders>
              <w:left w:val="single" w:color="000000" w:sz="8" w:space="0"/>
              <w:right w:val="single" w:color="000000" w:sz="8" w:space="0"/>
            </w:tcBorders>
            <w:vAlign w:val="top"/>
          </w:tcPr>
          <w:p>
            <w:pPr>
              <w:spacing w:line="280" w:lineRule="exact"/>
              <w:jc w:val="center"/>
              <w:rPr>
                <w:rFonts w:hint="eastAsia" w:ascii="仿宋_GB2312" w:hAnsi="仿宋_GB2312" w:eastAsia="仿宋_GB2312" w:cs="仿宋_GB2312"/>
                <w:sz w:val="21"/>
                <w:szCs w:val="21"/>
              </w:rPr>
            </w:pPr>
          </w:p>
        </w:tc>
        <w:tc>
          <w:tcPr>
            <w:tcW w:w="1422"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701" w:type="dxa"/>
            <w:gridSpan w:val="2"/>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701"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2150" w:type="dxa"/>
            <w:gridSpan w:val="2"/>
            <w:vMerge w:val="continue"/>
            <w:tcBorders>
              <w:left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397" w:hRule="atLeast"/>
        </w:trPr>
        <w:tc>
          <w:tcPr>
            <w:tcW w:w="525" w:type="dxa"/>
            <w:vMerge w:val="continue"/>
            <w:tcBorders>
              <w:left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p>
        </w:tc>
        <w:tc>
          <w:tcPr>
            <w:tcW w:w="1563" w:type="dxa"/>
            <w:vMerge w:val="continue"/>
            <w:tcBorders>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422"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701" w:type="dxa"/>
            <w:gridSpan w:val="2"/>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701"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2150" w:type="dxa"/>
            <w:gridSpan w:val="2"/>
            <w:vMerge w:val="continue"/>
            <w:tcBorders>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397" w:hRule="atLeast"/>
        </w:trPr>
        <w:tc>
          <w:tcPr>
            <w:tcW w:w="525" w:type="dxa"/>
            <w:vMerge w:val="continue"/>
            <w:tcBorders>
              <w:left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p>
        </w:tc>
        <w:tc>
          <w:tcPr>
            <w:tcW w:w="1563" w:type="dxa"/>
            <w:vMerge w:val="restart"/>
            <w:tcBorders>
              <w:top w:val="single" w:color="000000" w:sz="8" w:space="0"/>
              <w:left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废  气</w:t>
            </w:r>
          </w:p>
        </w:tc>
        <w:tc>
          <w:tcPr>
            <w:tcW w:w="1422"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废气量</w:t>
            </w:r>
          </w:p>
        </w:tc>
        <w:tc>
          <w:tcPr>
            <w:tcW w:w="1701" w:type="dxa"/>
            <w:gridSpan w:val="2"/>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701"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2150" w:type="dxa"/>
            <w:gridSpan w:val="2"/>
            <w:vMerge w:val="restart"/>
            <w:tcBorders>
              <w:top w:val="single" w:color="000000" w:sz="8" w:space="0"/>
              <w:left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397" w:hRule="atLeast"/>
        </w:trPr>
        <w:tc>
          <w:tcPr>
            <w:tcW w:w="525" w:type="dxa"/>
            <w:vMerge w:val="continue"/>
            <w:tcBorders>
              <w:left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p>
        </w:tc>
        <w:tc>
          <w:tcPr>
            <w:tcW w:w="1563" w:type="dxa"/>
            <w:vMerge w:val="continue"/>
            <w:tcBorders>
              <w:left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422"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二氧化硫</w:t>
            </w:r>
          </w:p>
        </w:tc>
        <w:tc>
          <w:tcPr>
            <w:tcW w:w="1701" w:type="dxa"/>
            <w:gridSpan w:val="2"/>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701"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2150" w:type="dxa"/>
            <w:gridSpan w:val="2"/>
            <w:vMerge w:val="continue"/>
            <w:tcBorders>
              <w:left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397" w:hRule="atLeast"/>
        </w:trPr>
        <w:tc>
          <w:tcPr>
            <w:tcW w:w="525" w:type="dxa"/>
            <w:vMerge w:val="continue"/>
            <w:tcBorders>
              <w:left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p>
        </w:tc>
        <w:tc>
          <w:tcPr>
            <w:tcW w:w="1563" w:type="dxa"/>
            <w:vMerge w:val="continue"/>
            <w:tcBorders>
              <w:left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422"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氮氧化物</w:t>
            </w:r>
          </w:p>
        </w:tc>
        <w:tc>
          <w:tcPr>
            <w:tcW w:w="1701" w:type="dxa"/>
            <w:gridSpan w:val="2"/>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701"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2150" w:type="dxa"/>
            <w:gridSpan w:val="2"/>
            <w:vMerge w:val="continue"/>
            <w:tcBorders>
              <w:left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397" w:hRule="atLeast"/>
        </w:trPr>
        <w:tc>
          <w:tcPr>
            <w:tcW w:w="525" w:type="dxa"/>
            <w:vMerge w:val="continue"/>
            <w:tcBorders>
              <w:left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p>
        </w:tc>
        <w:tc>
          <w:tcPr>
            <w:tcW w:w="1563" w:type="dxa"/>
            <w:vMerge w:val="continue"/>
            <w:tcBorders>
              <w:left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422"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颗粒物</w:t>
            </w:r>
          </w:p>
        </w:tc>
        <w:tc>
          <w:tcPr>
            <w:tcW w:w="1701" w:type="dxa"/>
            <w:gridSpan w:val="2"/>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701"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2150" w:type="dxa"/>
            <w:gridSpan w:val="2"/>
            <w:vMerge w:val="continue"/>
            <w:tcBorders>
              <w:left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397" w:hRule="atLeast"/>
        </w:trPr>
        <w:tc>
          <w:tcPr>
            <w:tcW w:w="525" w:type="dxa"/>
            <w:vMerge w:val="continue"/>
            <w:tcBorders>
              <w:left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p>
        </w:tc>
        <w:tc>
          <w:tcPr>
            <w:tcW w:w="1563" w:type="dxa"/>
            <w:vMerge w:val="continue"/>
            <w:tcBorders>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422"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挥发性有机物</w:t>
            </w:r>
          </w:p>
        </w:tc>
        <w:tc>
          <w:tcPr>
            <w:tcW w:w="1701" w:type="dxa"/>
            <w:gridSpan w:val="2"/>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701"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2150" w:type="dxa"/>
            <w:gridSpan w:val="2"/>
            <w:vMerge w:val="continue"/>
            <w:tcBorders>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397" w:hRule="atLeast"/>
        </w:trPr>
        <w:tc>
          <w:tcPr>
            <w:tcW w:w="525" w:type="dxa"/>
            <w:vMerge w:val="continue"/>
            <w:tcBorders>
              <w:left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p>
        </w:tc>
        <w:tc>
          <w:tcPr>
            <w:tcW w:w="1563" w:type="dxa"/>
            <w:vMerge w:val="restart"/>
            <w:tcBorders>
              <w:top w:val="single" w:color="000000" w:sz="8" w:space="0"/>
              <w:left w:val="single" w:color="000000" w:sz="8"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固体废物</w:t>
            </w:r>
          </w:p>
        </w:tc>
        <w:tc>
          <w:tcPr>
            <w:tcW w:w="1422"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危险废物</w:t>
            </w:r>
          </w:p>
        </w:tc>
        <w:tc>
          <w:tcPr>
            <w:tcW w:w="1701" w:type="dxa"/>
            <w:gridSpan w:val="2"/>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701" w:type="dxa"/>
            <w:tcBorders>
              <w:top w:val="single" w:color="000000" w:sz="8" w:space="0"/>
              <w:left w:val="single" w:color="000000" w:sz="8" w:space="0"/>
              <w:bottom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2150" w:type="dxa"/>
            <w:gridSpan w:val="2"/>
            <w:vMerge w:val="restart"/>
            <w:tcBorders>
              <w:top w:val="single" w:color="000000" w:sz="8" w:space="0"/>
              <w:left w:val="single" w:color="000000" w:sz="8"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sym w:font="Wingdings" w:char="F0A8"/>
            </w:r>
            <w:r>
              <w:rPr>
                <w:rFonts w:hint="eastAsia" w:ascii="仿宋_GB2312" w:hAnsi="仿宋_GB2312" w:eastAsia="仿宋_GB2312" w:cs="仿宋_GB2312"/>
                <w:sz w:val="21"/>
                <w:szCs w:val="21"/>
              </w:rPr>
              <w:t>自行处理</w:t>
            </w:r>
          </w:p>
          <w:p>
            <w:pPr>
              <w:spacing w:line="280" w:lineRule="exact"/>
              <w:jc w:val="left"/>
              <w:rPr>
                <w:rFonts w:hint="eastAsia" w:ascii="仿宋_GB2312" w:hAnsi="仿宋_GB2312" w:eastAsia="仿宋_GB2312" w:cs="仿宋_GB2312"/>
                <w:sz w:val="21"/>
                <w:szCs w:val="21"/>
                <w:u w:val="single"/>
              </w:rPr>
            </w:pPr>
            <w:r>
              <w:rPr>
                <w:rFonts w:hint="eastAsia" w:ascii="仿宋_GB2312" w:hAnsi="仿宋_GB2312" w:eastAsia="仿宋_GB2312" w:cs="仿宋_GB2312"/>
                <w:sz w:val="21"/>
                <w:szCs w:val="21"/>
              </w:rPr>
              <w:sym w:font="Wingdings" w:char="F0A8"/>
            </w:r>
            <w:r>
              <w:rPr>
                <w:rFonts w:hint="eastAsia" w:ascii="仿宋_GB2312" w:hAnsi="仿宋_GB2312" w:eastAsia="仿宋_GB2312" w:cs="仿宋_GB2312"/>
                <w:sz w:val="21"/>
                <w:szCs w:val="21"/>
              </w:rPr>
              <w:t xml:space="preserve">委托处理 </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397" w:hRule="atLeast"/>
        </w:trPr>
        <w:tc>
          <w:tcPr>
            <w:tcW w:w="525" w:type="dxa"/>
            <w:vMerge w:val="continue"/>
            <w:tcBorders>
              <w:left w:val="single" w:color="000000" w:sz="8" w:space="0"/>
              <w:bottom w:val="single" w:color="auto" w:sz="4" w:space="0"/>
              <w:right w:val="single" w:color="000000" w:sz="8" w:space="0"/>
            </w:tcBorders>
            <w:vAlign w:val="center"/>
          </w:tcPr>
          <w:p>
            <w:pPr>
              <w:spacing w:line="280" w:lineRule="exact"/>
              <w:jc w:val="center"/>
              <w:rPr>
                <w:rFonts w:hint="eastAsia" w:ascii="仿宋_GB2312" w:hAnsi="仿宋_GB2312" w:eastAsia="仿宋_GB2312" w:cs="仿宋_GB2312"/>
                <w:sz w:val="21"/>
                <w:szCs w:val="21"/>
              </w:rPr>
            </w:pPr>
          </w:p>
        </w:tc>
        <w:tc>
          <w:tcPr>
            <w:tcW w:w="1563" w:type="dxa"/>
            <w:vMerge w:val="continue"/>
            <w:tcBorders>
              <w:left w:val="single" w:color="000000" w:sz="8" w:space="0"/>
              <w:bottom w:val="single" w:color="auto" w:sz="4"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422" w:type="dxa"/>
            <w:tcBorders>
              <w:top w:val="single" w:color="000000" w:sz="8" w:space="0"/>
              <w:left w:val="single" w:color="000000" w:sz="8" w:space="0"/>
              <w:bottom w:val="single" w:color="auto" w:sz="4"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一般固废</w:t>
            </w:r>
          </w:p>
        </w:tc>
        <w:tc>
          <w:tcPr>
            <w:tcW w:w="1701" w:type="dxa"/>
            <w:gridSpan w:val="2"/>
            <w:tcBorders>
              <w:top w:val="single" w:color="000000" w:sz="8" w:space="0"/>
              <w:left w:val="single" w:color="000000" w:sz="8" w:space="0"/>
              <w:bottom w:val="single" w:color="auto" w:sz="4"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1701" w:type="dxa"/>
            <w:tcBorders>
              <w:top w:val="single" w:color="000000" w:sz="8" w:space="0"/>
              <w:left w:val="single" w:color="000000" w:sz="8" w:space="0"/>
              <w:bottom w:val="single" w:color="auto" w:sz="4"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c>
          <w:tcPr>
            <w:tcW w:w="2150" w:type="dxa"/>
            <w:gridSpan w:val="2"/>
            <w:vMerge w:val="continue"/>
            <w:tcBorders>
              <w:left w:val="single" w:color="000000" w:sz="8" w:space="0"/>
              <w:bottom w:val="single" w:color="auto" w:sz="4" w:space="0"/>
              <w:right w:val="single" w:color="000000" w:sz="8" w:space="0"/>
            </w:tcBorders>
            <w:vAlign w:val="top"/>
          </w:tcPr>
          <w:p>
            <w:pPr>
              <w:spacing w:line="280" w:lineRule="exact"/>
              <w:jc w:val="left"/>
              <w:rPr>
                <w:rFonts w:hint="eastAsia" w:ascii="仿宋_GB2312" w:hAnsi="仿宋_GB2312" w:eastAsia="仿宋_GB2312" w:cs="仿宋_GB2312"/>
                <w:sz w:val="21"/>
                <w:szCs w:val="21"/>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3187" w:hRule="atLeast"/>
        </w:trPr>
        <w:tc>
          <w:tcPr>
            <w:tcW w:w="9062" w:type="dxa"/>
            <w:gridSpan w:val="8"/>
            <w:tcBorders>
              <w:top w:val="single" w:color="000000" w:sz="8" w:space="0"/>
              <w:left w:val="single" w:color="000000" w:sz="8" w:space="0"/>
              <w:bottom w:val="single" w:color="auto" w:sz="4" w:space="0"/>
              <w:right w:val="single" w:color="000000" w:sz="8" w:space="0"/>
            </w:tcBorders>
            <w:vAlign w:val="top"/>
          </w:tcPr>
          <w:p>
            <w:pPr>
              <w:spacing w:line="280" w:lineRule="exac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项目“三废”治理措施简述（采用的处理工艺、处理后排放标准）：</w:t>
            </w:r>
          </w:p>
          <w:p>
            <w:pPr>
              <w:spacing w:line="280" w:lineRule="exact"/>
              <w:rPr>
                <w:rFonts w:hint="eastAsia" w:ascii="仿宋_GB2312" w:hAnsi="仿宋_GB2312" w:eastAsia="仿宋_GB2312" w:cs="仿宋_GB2312"/>
                <w:sz w:val="21"/>
                <w:szCs w:val="21"/>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5440" w:hRule="atLeast"/>
        </w:trPr>
        <w:tc>
          <w:tcPr>
            <w:tcW w:w="9062" w:type="dxa"/>
            <w:gridSpan w:val="8"/>
            <w:tcBorders>
              <w:top w:val="single" w:color="auto" w:sz="4" w:space="0"/>
              <w:left w:val="single" w:color="000000" w:sz="8" w:space="0"/>
              <w:bottom w:val="single" w:color="000000" w:sz="8" w:space="0"/>
              <w:right w:val="single" w:color="000000" w:sz="8" w:space="0"/>
            </w:tcBorders>
            <w:vAlign w:val="top"/>
          </w:tcPr>
          <w:p>
            <w:pPr>
              <w:spacing w:line="360" w:lineRule="exac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本单位郑重承诺：</w:t>
            </w:r>
          </w:p>
          <w:p>
            <w:pPr>
              <w:spacing w:line="360" w:lineRule="exact"/>
              <w:ind w:firstLine="420" w:firstLineChars="20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1、本单位所提供的材料及数据真实有效。</w:t>
            </w:r>
          </w:p>
          <w:p>
            <w:pPr>
              <w:spacing w:line="360" w:lineRule="exact"/>
              <w:ind w:firstLine="420" w:firstLineChars="20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2、本项目不属于区域环评确定的负面清单范围。</w:t>
            </w:r>
          </w:p>
          <w:p>
            <w:pPr>
              <w:spacing w:line="360" w:lineRule="exact"/>
              <w:ind w:firstLine="420" w:firstLineChars="20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3、项目建设和运行过程排放污染物符合国家、省规定的污染物排放标准，污染物排放总量符合总量控制要求。</w:t>
            </w:r>
          </w:p>
          <w:p>
            <w:pPr>
              <w:spacing w:line="360" w:lineRule="exact"/>
              <w:ind w:firstLine="420" w:firstLineChars="20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4、建设项目环保设施与主体工程同时设计、同时施工、同时投产使用。</w:t>
            </w:r>
          </w:p>
          <w:p>
            <w:pPr>
              <w:widowControl/>
              <w:spacing w:line="360" w:lineRule="exact"/>
              <w:ind w:firstLine="420" w:firstLineChars="20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5、项目正式投产前，委托第三方机构编制环保设施竣工验收报告，按规范组织环保设施竣工验收，公开验收结果并报</w:t>
            </w:r>
            <w:r>
              <w:rPr>
                <w:rFonts w:hint="eastAsia" w:ascii="仿宋_GB2312" w:hAnsi="仿宋_GB2312" w:eastAsia="仿宋_GB2312" w:cs="仿宋_GB2312"/>
                <w:sz w:val="21"/>
                <w:szCs w:val="21"/>
                <w:lang w:eastAsia="zh-CN"/>
              </w:rPr>
              <w:t>生态环境</w:t>
            </w:r>
            <w:r>
              <w:rPr>
                <w:rFonts w:hint="eastAsia" w:ascii="仿宋_GB2312" w:hAnsi="仿宋_GB2312" w:eastAsia="仿宋_GB2312" w:cs="仿宋_GB2312"/>
                <w:sz w:val="21"/>
                <w:szCs w:val="21"/>
              </w:rPr>
              <w:t>部门备案。</w:t>
            </w:r>
          </w:p>
          <w:p>
            <w:pPr>
              <w:widowControl/>
              <w:spacing w:line="360" w:lineRule="exact"/>
              <w:ind w:firstLine="420" w:firstLineChars="20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6、项目投入生产前，按规定申领（变更）排污许可证，无排污许可证不得排污。</w:t>
            </w:r>
          </w:p>
          <w:p>
            <w:pPr>
              <w:spacing w:line="360" w:lineRule="exact"/>
              <w:ind w:firstLine="420" w:firstLineChars="20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7、本项目实施过程中，将严格遵守国家相关环保法律法规和政策。若违反上述承诺内容，自觉承担相应责任。</w:t>
            </w:r>
          </w:p>
          <w:p>
            <w:pPr>
              <w:spacing w:line="360" w:lineRule="exact"/>
              <w:rPr>
                <w:rFonts w:hint="eastAsia" w:ascii="仿宋_GB2312" w:hAnsi="仿宋_GB2312" w:eastAsia="仿宋_GB2312" w:cs="仿宋_GB2312"/>
                <w:sz w:val="21"/>
                <w:szCs w:val="21"/>
              </w:rPr>
            </w:pPr>
          </w:p>
          <w:p>
            <w:pPr>
              <w:spacing w:line="280" w:lineRule="exact"/>
              <w:rPr>
                <w:rFonts w:hint="eastAsia" w:ascii="仿宋_GB2312" w:hAnsi="仿宋_GB2312" w:eastAsia="仿宋_GB2312" w:cs="仿宋_GB2312"/>
                <w:sz w:val="21"/>
                <w:szCs w:val="21"/>
              </w:rPr>
            </w:pPr>
          </w:p>
          <w:p>
            <w:pPr>
              <w:spacing w:line="280" w:lineRule="exact"/>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 xml:space="preserve">法定代表人（签字）：                          </w:t>
            </w:r>
            <w:r>
              <w:rPr>
                <w:rFonts w:hint="eastAsia" w:ascii="仿宋_GB2312" w:hAnsi="仿宋_GB2312" w:eastAsia="仿宋_GB2312" w:cs="仿宋_GB2312"/>
                <w:sz w:val="21"/>
                <w:szCs w:val="21"/>
                <w:lang w:val="en-US" w:eastAsia="zh-CN"/>
              </w:rPr>
              <w:t xml:space="preserve">                     </w:t>
            </w:r>
            <w:r>
              <w:rPr>
                <w:rFonts w:hint="eastAsia" w:ascii="仿宋_GB2312" w:hAnsi="仿宋_GB2312" w:eastAsia="仿宋_GB2312" w:cs="仿宋_GB2312"/>
                <w:sz w:val="21"/>
                <w:szCs w:val="21"/>
              </w:rPr>
              <w:t xml:space="preserve">  企业（盖章）</w:t>
            </w:r>
          </w:p>
          <w:p>
            <w:pPr>
              <w:spacing w:line="280" w:lineRule="exact"/>
              <w:ind w:firstLine="315" w:firstLineChars="150"/>
              <w:jc w:val="right"/>
              <w:rPr>
                <w:rFonts w:hint="eastAsia" w:ascii="仿宋_GB2312" w:hAnsi="仿宋_GB2312" w:eastAsia="仿宋_GB2312" w:cs="仿宋_GB2312"/>
                <w:sz w:val="21"/>
                <w:szCs w:val="21"/>
              </w:rPr>
            </w:pPr>
          </w:p>
          <w:p>
            <w:pPr>
              <w:wordWrap w:val="0"/>
              <w:spacing w:line="280" w:lineRule="exact"/>
              <w:ind w:right="480" w:firstLine="525" w:firstLineChars="250"/>
              <w:jc w:val="righ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年  月  日</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Ex>
        <w:trPr>
          <w:trHeight w:val="2885" w:hRule="atLeast"/>
        </w:trPr>
        <w:tc>
          <w:tcPr>
            <w:tcW w:w="9062" w:type="dxa"/>
            <w:gridSpan w:val="8"/>
            <w:tcBorders>
              <w:top w:val="single" w:color="000000" w:sz="8" w:space="0"/>
              <w:left w:val="single" w:color="000000" w:sz="8" w:space="0"/>
              <w:bottom w:val="single" w:color="000000" w:sz="8" w:space="0"/>
              <w:right w:val="single" w:color="000000" w:sz="8" w:space="0"/>
            </w:tcBorders>
            <w:vAlign w:val="top"/>
          </w:tcPr>
          <w:p>
            <w:pPr>
              <w:spacing w:line="280" w:lineRule="exact"/>
              <w:rPr>
                <w:rFonts w:hint="eastAsia" w:ascii="仿宋_GB2312" w:hAnsi="仿宋_GB2312" w:eastAsia="仿宋_GB2312" w:cs="仿宋_GB2312"/>
                <w:sz w:val="21"/>
                <w:szCs w:val="21"/>
              </w:rPr>
            </w:pPr>
            <w:r>
              <w:rPr>
                <w:rFonts w:hint="eastAsia" w:ascii="仿宋_GB2312" w:hAnsi="仿宋_GB2312" w:eastAsia="仿宋_GB2312" w:cs="仿宋_GB2312"/>
                <w:sz w:val="21"/>
                <w:szCs w:val="21"/>
                <w:lang w:eastAsia="zh-CN"/>
              </w:rPr>
              <w:t>生态环境</w:t>
            </w:r>
            <w:r>
              <w:rPr>
                <w:rFonts w:hint="eastAsia" w:ascii="仿宋_GB2312" w:hAnsi="仿宋_GB2312" w:eastAsia="仿宋_GB2312" w:cs="仿宋_GB2312"/>
                <w:sz w:val="21"/>
                <w:szCs w:val="21"/>
              </w:rPr>
              <w:t>部门登记备案意见：</w:t>
            </w:r>
          </w:p>
          <w:p>
            <w:pPr>
              <w:spacing w:line="280" w:lineRule="exact"/>
              <w:rPr>
                <w:rFonts w:hint="eastAsia" w:ascii="仿宋_GB2312" w:hAnsi="仿宋_GB2312" w:eastAsia="仿宋_GB2312" w:cs="仿宋_GB2312"/>
                <w:sz w:val="21"/>
                <w:szCs w:val="21"/>
              </w:rPr>
            </w:pPr>
          </w:p>
          <w:p>
            <w:pPr>
              <w:spacing w:line="280" w:lineRule="exact"/>
              <w:rPr>
                <w:rFonts w:hint="eastAsia" w:ascii="仿宋_GB2312" w:hAnsi="仿宋_GB2312" w:eastAsia="仿宋_GB2312" w:cs="仿宋_GB2312"/>
                <w:sz w:val="21"/>
                <w:szCs w:val="21"/>
              </w:rPr>
            </w:pPr>
          </w:p>
          <w:p>
            <w:pPr>
              <w:spacing w:line="280" w:lineRule="exact"/>
              <w:rPr>
                <w:rFonts w:hint="eastAsia" w:ascii="仿宋_GB2312" w:hAnsi="仿宋_GB2312" w:eastAsia="仿宋_GB2312" w:cs="仿宋_GB2312"/>
                <w:sz w:val="21"/>
                <w:szCs w:val="21"/>
              </w:rPr>
            </w:pPr>
          </w:p>
          <w:p>
            <w:pPr>
              <w:spacing w:line="280" w:lineRule="exact"/>
              <w:rPr>
                <w:rFonts w:hint="eastAsia" w:ascii="仿宋_GB2312" w:hAnsi="仿宋_GB2312" w:eastAsia="仿宋_GB2312" w:cs="仿宋_GB2312"/>
                <w:sz w:val="21"/>
                <w:szCs w:val="21"/>
              </w:rPr>
            </w:pPr>
          </w:p>
          <w:p>
            <w:pPr>
              <w:spacing w:line="280" w:lineRule="exact"/>
              <w:rPr>
                <w:rFonts w:hint="eastAsia" w:ascii="仿宋_GB2312" w:hAnsi="仿宋_GB2312" w:eastAsia="仿宋_GB2312" w:cs="仿宋_GB2312"/>
                <w:sz w:val="21"/>
                <w:szCs w:val="21"/>
              </w:rPr>
            </w:pPr>
          </w:p>
          <w:p>
            <w:pPr>
              <w:spacing w:line="280" w:lineRule="exact"/>
              <w:rPr>
                <w:rFonts w:hint="eastAsia" w:ascii="仿宋_GB2312" w:hAnsi="仿宋_GB2312" w:eastAsia="仿宋_GB2312" w:cs="仿宋_GB2312"/>
                <w:sz w:val="21"/>
                <w:szCs w:val="21"/>
              </w:rPr>
            </w:pPr>
          </w:p>
          <w:p>
            <w:pPr>
              <w:spacing w:line="280" w:lineRule="exact"/>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 xml:space="preserve">                                                </w:t>
            </w:r>
            <w:r>
              <w:rPr>
                <w:rFonts w:hint="eastAsia" w:ascii="仿宋_GB2312" w:hAnsi="仿宋_GB2312" w:eastAsia="仿宋_GB2312" w:cs="仿宋_GB2312"/>
                <w:sz w:val="21"/>
                <w:szCs w:val="21"/>
                <w:lang w:val="en-US" w:eastAsia="zh-CN"/>
              </w:rPr>
              <w:t xml:space="preserve">               </w:t>
            </w:r>
            <w:r>
              <w:rPr>
                <w:rFonts w:hint="eastAsia" w:ascii="仿宋_GB2312" w:hAnsi="仿宋_GB2312" w:eastAsia="仿宋_GB2312" w:cs="仿宋_GB2312"/>
                <w:sz w:val="21"/>
                <w:szCs w:val="21"/>
              </w:rPr>
              <w:t>（签章）</w:t>
            </w:r>
          </w:p>
          <w:p>
            <w:pPr>
              <w:spacing w:line="280" w:lineRule="exact"/>
              <w:jc w:val="center"/>
              <w:rPr>
                <w:rFonts w:hint="eastAsia" w:ascii="仿宋_GB2312" w:hAnsi="仿宋_GB2312" w:eastAsia="仿宋_GB2312" w:cs="仿宋_GB2312"/>
                <w:sz w:val="21"/>
                <w:szCs w:val="21"/>
              </w:rPr>
            </w:pPr>
          </w:p>
          <w:p>
            <w:pPr>
              <w:spacing w:line="280" w:lineRule="exact"/>
              <w:ind w:firstLine="7350" w:firstLineChars="3500"/>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年   月   日</w:t>
            </w:r>
          </w:p>
          <w:p>
            <w:pPr>
              <w:spacing w:line="280" w:lineRule="exact"/>
              <w:ind w:firstLine="525" w:firstLineChars="250"/>
              <w:rPr>
                <w:rFonts w:hint="eastAsia" w:ascii="仿宋_GB2312" w:hAnsi="仿宋_GB2312" w:eastAsia="仿宋_GB2312" w:cs="仿宋_GB2312"/>
                <w:sz w:val="21"/>
                <w:szCs w:val="21"/>
              </w:rPr>
            </w:pPr>
          </w:p>
        </w:tc>
      </w:tr>
    </w:tbl>
    <w:p>
      <w:r>
        <w:rPr>
          <w:rFonts w:hint="eastAsia" w:ascii="仿宋_GB2312" w:hAnsi="仿宋_GB2312" w:eastAsia="仿宋_GB2312" w:cs="仿宋_GB2312"/>
          <w:sz w:val="28"/>
          <w:szCs w:val="28"/>
        </w:rPr>
        <w:t>备注：本备案表一式三份。建设单位一份，抄送执法部门一份，留存一份</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09F"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0" w:usb1="00000000" w:usb2="00000000" w:usb3="00000000" w:csb0="00000000" w:csb1="00000000"/>
  </w:font>
  <w:font w:name="仿宋_GB2312">
    <w:panose1 w:val="02010609030101010101"/>
    <w:charset w:val="86"/>
    <w:family w:val="modern"/>
    <w:pitch w:val="default"/>
    <w:sig w:usb0="00000000" w:usb1="00000000" w:usb2="00000000" w:usb3="00000000" w:csb0="00000000" w:csb1="00000000"/>
  </w:font>
  <w:font w:name="楷体_GB2312">
    <w:panose1 w:val="02010609030101010101"/>
    <w:charset w:val="86"/>
    <w:family w:val="auto"/>
    <w:pitch w:val="default"/>
    <w:sig w:usb0="00000000" w:usb1="00000000" w:usb2="00000000" w:usb3="00000000" w:csb0="00000000"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tabs>
        <w:tab w:val="right" w:pos="8844"/>
        <w:tab w:val="clear" w:pos="4153"/>
      </w:tabs>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4"/>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- 1 -</w:t>
                          </w:r>
                          <w:r>
                            <w:rPr>
                              <w:rFonts w:hint="eastAsia" w:ascii="宋体" w:hAnsi="宋体" w:eastAsia="宋体" w:cs="宋体"/>
                              <w:sz w:val="28"/>
                              <w:szCs w:val="2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NPEPrYBAABUAwAADgAAAGRycy9lMm9Eb2MueG1srVPNjtMwEL4j8Q6W&#10;7zRppUUlaroCrRYhIUBa9gFcx24s+U8zbpO+ALwBJy7cea4+B2M36SK4IS7OeGb8zXzfTDa3o7Ps&#10;qABN8C1fLmrOlJehM37f8sfP9y/WnGESvhM2eNXyk0J+u33+bDPERq1CH2yngBGIx2aILe9Tik1V&#10;oeyVE7gIUXkK6gBOJLrCvupADITubLWq65fVEKCLEKRCJO/dJci3BV9rJdNHrVElZltOvaVyQjl3&#10;+ay2G9HsQcTeyKkN8Q9dOGE8Fb1C3Ykk2AHMX1DOSAgYdFrI4KqgtZGqcCA2y/oPNg+9iKpwIXEw&#10;XmXC/wcrPxw/ATMdzY4zLxyN6Pzt6/n7z/OPL2yZ5RkiNpT1ECkvjW/CmFMnP5Izsx41uPwlPozi&#10;JPTpKq4aE5P50Xq1XtcUkhSbL4RTPT2PgOmtCo5lo+VA0yuiiuN7TJfUOSVX8+HeWEt+0VjPhpa/&#10;ulndlAfXCIFbTzUyiUuz2UrjbpwY7EJ3ImIDbUDLPa0oZ/adJ4HzsswGzMZuNg4RzL4v25TLY3x9&#10;SNRNaTJXuMBOhWl0hea0Znk3fr+XrKefYfs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zql5uc8A&#10;AAAFAQAADwAAAAAAAAABACAAAAAiAAAAZHJzL2Rvd25yZXYueG1sUEsBAhQAFAAAAAgAh07iQNzT&#10;xD62AQAAVAMAAA4AAAAAAAAAAQAgAAAAHgEAAGRycy9lMm9Eb2MueG1sUEsFBgAAAAAGAAYAWQEA&#10;AEYFAAAAAA==&#10;">
              <v:fill on="f" focussize="0,0"/>
              <v:stroke on="f"/>
              <v:imagedata o:title=""/>
              <o:lock v:ext="edit" aspectratio="f"/>
              <v:textbox inset="0mm,0mm,0mm,0mm" style="mso-fit-shape-to-text:t;">
                <w:txbxContent>
                  <w:p>
                    <w:pPr>
                      <w:pStyle w:val="4"/>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- 1 -</w:t>
                    </w:r>
                    <w:r>
                      <w:rPr>
                        <w:rFonts w:hint="eastAsia" w:ascii="宋体" w:hAnsi="宋体" w:eastAsia="宋体" w:cs="宋体"/>
                        <w:sz w:val="28"/>
                        <w:szCs w:val="28"/>
                        <w:lang w:eastAsia="zh-CN"/>
                      </w:rPr>
                      <w:fldChar w:fldCharType="end"/>
                    </w:r>
                  </w:p>
                </w:txbxContent>
              </v:textbox>
            </v:shape>
          </w:pict>
        </mc:Fallback>
      </mc:AlternateContent>
    </w:r>
    <w:r>
      <w:rPr>
        <w:rFonts w:hint="eastAsia"/>
        <w:lang w:eastAsia="zh-CN"/>
      </w:rPr>
      <w:tab/>
    </w:r>
    <w:r>
      <w:rPr>
        <w:rFonts w:hint="eastAsia"/>
        <w:lang w:eastAsia="zh-CN"/>
      </w:rPr>
      <w:tab/>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9112D88"/>
    <w:rsid w:val="49112D88"/>
    <w:rsid w:val="770E5D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snapToGrid w:val="0"/>
      <w:spacing w:line="360" w:lineRule="auto"/>
      <w:jc w:val="both"/>
    </w:pPr>
    <w:rPr>
      <w:rFonts w:ascii="Times New Roman" w:hAnsi="Times New Roman" w:eastAsia="宋体" w:cs="Times New Roman"/>
      <w:kern w:val="2"/>
      <w:sz w:val="30"/>
      <w:szCs w:val="30"/>
      <w:lang w:val="en-US" w:eastAsia="zh-CN" w:bidi="ar-SA"/>
    </w:rPr>
  </w:style>
  <w:style w:type="character" w:default="1" w:styleId="5">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Normal Indent"/>
    <w:basedOn w:val="1"/>
    <w:next w:val="3"/>
    <w:qFormat/>
    <w:uiPriority w:val="0"/>
    <w:pPr>
      <w:ind w:firstLine="420" w:firstLineChars="200"/>
    </w:pPr>
    <w:rPr>
      <w:rFonts w:ascii="宋体" w:hAnsi="宋体" w:eastAsia="宋体" w:cs="宋体"/>
      <w:sz w:val="24"/>
    </w:rPr>
  </w:style>
  <w:style w:type="paragraph" w:styleId="3">
    <w:name w:val="Body Text Indent"/>
    <w:basedOn w:val="1"/>
    <w:next w:val="2"/>
    <w:qFormat/>
    <w:uiPriority w:val="0"/>
    <w:pPr>
      <w:spacing w:after="160" w:line="640" w:lineRule="exact"/>
      <w:ind w:firstLine="645"/>
    </w:pPr>
    <w:rPr>
      <w:rFonts w:ascii="Calibri" w:hAnsi="Calibri" w:eastAsia="宋体" w:cs="Times New Roman"/>
      <w:color w:val="000000"/>
      <w:sz w:val="22"/>
    </w:rPr>
  </w:style>
  <w:style w:type="paragraph" w:styleId="4">
    <w:name w:val="footer"/>
    <w:basedOn w:val="1"/>
    <w:qFormat/>
    <w:uiPriority w:val="0"/>
    <w:pPr>
      <w:tabs>
        <w:tab w:val="center" w:pos="4153"/>
        <w:tab w:val="right" w:pos="8306"/>
      </w:tabs>
      <w:spacing w:line="240" w:lineRule="auto"/>
      <w:jc w:val="left"/>
    </w:pPr>
    <w:rPr>
      <w:kern w:val="0"/>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2023-09-04T01:52:00Z</dcterms:created>
  <dc:creator>Administrator</dc:creator>
  <cp:lastModifiedBy>Administrator</cp:lastModifiedBy>
  <dcterms:modified xsi:type="dcterms:W3CDTF">2023-09-04T02:37:17Z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