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D7835">
      <w:pPr>
        <w:jc w:val="center"/>
        <w:rPr>
          <w:rFonts w:ascii="华文中宋" w:hAnsi="华文中宋" w:eastAsia="华文中宋" w:cs="华文中宋"/>
          <w:sz w:val="36"/>
          <w:szCs w:val="36"/>
        </w:rPr>
      </w:pPr>
      <w:bookmarkStart w:id="0" w:name="_GoBack"/>
      <w:r>
        <w:rPr>
          <w:rFonts w:hint="eastAsia" w:ascii="华文中宋" w:hAnsi="华文中宋" w:eastAsia="华文中宋" w:cs="华文中宋"/>
          <w:sz w:val="36"/>
          <w:szCs w:val="36"/>
        </w:rPr>
        <w:t>宁波市重点建设项目管理办法</w:t>
      </w:r>
    </w:p>
    <w:bookmarkEnd w:id="0"/>
    <w:p w14:paraId="3B3D2533">
      <w:pPr>
        <w:jc w:val="center"/>
        <w:rPr>
          <w:rFonts w:ascii="仿宋" w:hAnsi="仿宋" w:eastAsia="仿宋" w:cs="仿宋"/>
          <w:sz w:val="28"/>
          <w:szCs w:val="28"/>
        </w:rPr>
      </w:pPr>
      <w:r>
        <w:rPr>
          <w:rFonts w:hint="eastAsia" w:ascii="仿宋" w:hAnsi="仿宋" w:eastAsia="仿宋" w:cs="仿宋"/>
          <w:sz w:val="28"/>
          <w:szCs w:val="28"/>
        </w:rPr>
        <w:t>（修订草案征求意见稿）</w:t>
      </w:r>
    </w:p>
    <w:p w14:paraId="6E2DA13D">
      <w:pPr>
        <w:ind w:firstLine="560" w:firstLineChars="200"/>
        <w:rPr>
          <w:rFonts w:ascii="仿宋" w:hAnsi="仿宋" w:eastAsia="仿宋" w:cs="仿宋"/>
          <w:sz w:val="28"/>
          <w:szCs w:val="28"/>
        </w:rPr>
      </w:pPr>
    </w:p>
    <w:p w14:paraId="3A2030D1">
      <w:pPr>
        <w:spacing w:line="520" w:lineRule="exact"/>
        <w:jc w:val="center"/>
        <w:rPr>
          <w:rFonts w:ascii="仿宋" w:hAnsi="仿宋" w:eastAsia="仿宋" w:cs="仿宋"/>
          <w:sz w:val="28"/>
          <w:szCs w:val="28"/>
        </w:rPr>
      </w:pPr>
      <w:r>
        <w:rPr>
          <w:rFonts w:hint="eastAsia" w:ascii="黑体" w:hAnsi="黑体" w:eastAsia="黑体" w:cs="黑体"/>
          <w:sz w:val="28"/>
          <w:szCs w:val="28"/>
        </w:rPr>
        <w:t>第一章   总则</w:t>
      </w:r>
    </w:p>
    <w:p w14:paraId="0DE66923">
      <w:pPr>
        <w:spacing w:line="520" w:lineRule="exact"/>
        <w:ind w:firstLine="560" w:firstLineChars="200"/>
        <w:rPr>
          <w:rFonts w:ascii="仿宋" w:hAnsi="仿宋" w:eastAsia="仿宋" w:cs="仿宋"/>
          <w:sz w:val="28"/>
          <w:szCs w:val="28"/>
        </w:rPr>
      </w:pPr>
      <w:r>
        <w:rPr>
          <w:rFonts w:hint="eastAsia" w:ascii="黑体" w:hAnsi="黑体" w:eastAsia="黑体" w:cs="黑体"/>
          <w:sz w:val="28"/>
          <w:szCs w:val="28"/>
        </w:rPr>
        <w:t>第一条</w:t>
      </w:r>
      <w:r>
        <w:rPr>
          <w:rFonts w:hint="eastAsia" w:ascii="仿宋" w:hAnsi="仿宋" w:eastAsia="仿宋" w:cs="仿宋"/>
          <w:sz w:val="28"/>
          <w:szCs w:val="28"/>
        </w:rPr>
        <w:t xml:space="preserve">  为加强和规范重点建设项目管理，扩大有效投资，提高投资效益，推动高质量发展，根据有关法律、法规，结合本市实际，制定本办法。</w:t>
      </w:r>
    </w:p>
    <w:p w14:paraId="7AA04B4A">
      <w:pPr>
        <w:spacing w:line="520" w:lineRule="exact"/>
        <w:ind w:firstLine="560" w:firstLineChars="200"/>
        <w:rPr>
          <w:rFonts w:ascii="仿宋" w:hAnsi="仿宋" w:eastAsia="仿宋" w:cs="仿宋"/>
          <w:sz w:val="28"/>
          <w:szCs w:val="28"/>
        </w:rPr>
      </w:pPr>
      <w:r>
        <w:rPr>
          <w:rFonts w:hint="eastAsia" w:ascii="黑体" w:hAnsi="黑体" w:eastAsia="黑体" w:cs="黑体"/>
          <w:sz w:val="28"/>
          <w:szCs w:val="28"/>
        </w:rPr>
        <w:t>第二条</w:t>
      </w:r>
      <w:r>
        <w:rPr>
          <w:rFonts w:hint="eastAsia" w:ascii="仿宋" w:hAnsi="仿宋" w:eastAsia="仿宋" w:cs="仿宋"/>
          <w:sz w:val="28"/>
          <w:szCs w:val="28"/>
        </w:rPr>
        <w:t xml:space="preserve">  本市行政区域内重点建设项目的确定、协调推进、服务保障和管理，适用本办法。</w:t>
      </w:r>
    </w:p>
    <w:p w14:paraId="76134682">
      <w:pPr>
        <w:spacing w:line="520" w:lineRule="exact"/>
        <w:ind w:firstLine="560" w:firstLineChars="200"/>
        <w:rPr>
          <w:rFonts w:ascii="黑体" w:hAnsi="黑体" w:eastAsia="黑体" w:cs="黑体"/>
          <w:sz w:val="28"/>
          <w:szCs w:val="28"/>
        </w:rPr>
      </w:pPr>
      <w:r>
        <w:rPr>
          <w:rFonts w:hint="eastAsia" w:ascii="仿宋" w:hAnsi="仿宋" w:eastAsia="仿宋" w:cs="仿宋"/>
          <w:sz w:val="28"/>
          <w:szCs w:val="28"/>
        </w:rPr>
        <w:t>宁波前湾新区、宁波国家高新技术产业开发区管理委员会依照本办法执行。</w:t>
      </w:r>
    </w:p>
    <w:p w14:paraId="45C33039">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国务院、省人民政府对本行政区域内的国家重点建设项目、省重大建设项目的管理另有规定的，从其规定。</w:t>
      </w:r>
    </w:p>
    <w:p w14:paraId="13228F77">
      <w:pPr>
        <w:spacing w:line="520" w:lineRule="exact"/>
        <w:ind w:firstLine="560" w:firstLineChars="200"/>
        <w:rPr>
          <w:rFonts w:ascii="仿宋" w:hAnsi="仿宋" w:eastAsia="仿宋" w:cs="仿宋"/>
          <w:sz w:val="28"/>
          <w:szCs w:val="28"/>
        </w:rPr>
      </w:pPr>
      <w:r>
        <w:rPr>
          <w:rFonts w:hint="eastAsia" w:ascii="黑体" w:hAnsi="黑体" w:eastAsia="黑体" w:cs="黑体"/>
          <w:sz w:val="28"/>
          <w:szCs w:val="28"/>
        </w:rPr>
        <w:t>第三条</w:t>
      </w:r>
      <w:r>
        <w:rPr>
          <w:rFonts w:hint="eastAsia" w:ascii="仿宋" w:hAnsi="仿宋" w:eastAsia="仿宋" w:cs="仿宋"/>
          <w:sz w:val="28"/>
          <w:szCs w:val="28"/>
        </w:rPr>
        <w:t xml:space="preserve">  本办法所称重点建设项目，是指市人民政府确定的对本市国民经济和社会发展具有重大影响的农林水利、交通、工业、能源、城市建设、社会发展、服务业等方面的建设项目。</w:t>
      </w:r>
    </w:p>
    <w:p w14:paraId="4DCC7E8A">
      <w:pPr>
        <w:spacing w:line="520" w:lineRule="exact"/>
        <w:ind w:firstLine="560" w:firstLineChars="200"/>
        <w:rPr>
          <w:rFonts w:ascii="仿宋" w:hAnsi="仿宋" w:eastAsia="仿宋" w:cs="仿宋"/>
          <w:sz w:val="28"/>
          <w:szCs w:val="28"/>
        </w:rPr>
      </w:pPr>
      <w:r>
        <w:rPr>
          <w:rFonts w:hint="eastAsia" w:ascii="黑体" w:hAnsi="黑体" w:eastAsia="黑体" w:cs="黑体"/>
          <w:sz w:val="28"/>
          <w:szCs w:val="28"/>
        </w:rPr>
        <w:t>第四条</w:t>
      </w:r>
      <w:r>
        <w:rPr>
          <w:rFonts w:hint="eastAsia" w:ascii="仿宋" w:hAnsi="仿宋" w:eastAsia="仿宋" w:cs="仿宋"/>
          <w:sz w:val="28"/>
          <w:szCs w:val="28"/>
        </w:rPr>
        <w:t xml:space="preserve">  市和</w:t>
      </w:r>
      <w:r>
        <w:rPr>
          <w:rFonts w:hint="eastAsia" w:ascii="仿宋" w:hAnsi="仿宋" w:eastAsia="仿宋" w:cs="仿宋"/>
          <w:sz w:val="28"/>
          <w:szCs w:val="28"/>
          <w:lang w:eastAsia="zh-CN"/>
        </w:rPr>
        <w:t>区（县、市）</w:t>
      </w:r>
      <w:r>
        <w:rPr>
          <w:rFonts w:hint="eastAsia" w:ascii="仿宋" w:hAnsi="仿宋" w:eastAsia="仿宋" w:cs="仿宋"/>
          <w:sz w:val="28"/>
          <w:szCs w:val="28"/>
        </w:rPr>
        <w:t>人民政府应当加强对本行政区域重点建设项目管理工作的领导，组织、协调、解决建设和管理中的重大事项，落实重点建设项目推进工作责任制。</w:t>
      </w:r>
    </w:p>
    <w:p w14:paraId="6CE373DA">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镇（乡）人民政府、街道办事处按照规定职责，做好本辖区内重点建设项目的协调和管理工作。</w:t>
      </w:r>
    </w:p>
    <w:p w14:paraId="67DD2293">
      <w:pPr>
        <w:spacing w:line="520" w:lineRule="exact"/>
        <w:ind w:firstLine="560" w:firstLineChars="200"/>
        <w:rPr>
          <w:rFonts w:ascii="仿宋" w:hAnsi="仿宋" w:eastAsia="仿宋" w:cs="仿宋"/>
          <w:sz w:val="28"/>
          <w:szCs w:val="28"/>
        </w:rPr>
      </w:pPr>
      <w:r>
        <w:rPr>
          <w:rFonts w:hint="eastAsia" w:ascii="黑体" w:hAnsi="黑体" w:eastAsia="黑体" w:cs="黑体"/>
          <w:sz w:val="28"/>
          <w:szCs w:val="28"/>
        </w:rPr>
        <w:t>第五条</w:t>
      </w:r>
      <w:r>
        <w:rPr>
          <w:rFonts w:hint="eastAsia" w:ascii="仿宋" w:hAnsi="仿宋" w:eastAsia="仿宋" w:cs="仿宋"/>
          <w:sz w:val="28"/>
          <w:szCs w:val="28"/>
        </w:rPr>
        <w:t xml:space="preserve">  市和</w:t>
      </w:r>
      <w:r>
        <w:rPr>
          <w:rFonts w:hint="eastAsia" w:ascii="仿宋" w:hAnsi="仿宋" w:eastAsia="仿宋" w:cs="仿宋"/>
          <w:sz w:val="28"/>
          <w:szCs w:val="28"/>
          <w:lang w:eastAsia="zh-CN"/>
        </w:rPr>
        <w:t>区（县、市）</w:t>
      </w:r>
      <w:r>
        <w:rPr>
          <w:rFonts w:hint="eastAsia" w:ascii="仿宋" w:hAnsi="仿宋" w:eastAsia="仿宋" w:cs="仿宋"/>
          <w:sz w:val="28"/>
          <w:szCs w:val="28"/>
        </w:rPr>
        <w:t>发展改革主管部门负责对本行政区域内重点建设项目的综合管理工作。</w:t>
      </w:r>
    </w:p>
    <w:p w14:paraId="50A15C65">
      <w:pPr>
        <w:spacing w:line="520" w:lineRule="exact"/>
        <w:ind w:firstLine="560" w:firstLineChars="200"/>
        <w:rPr>
          <w:rFonts w:ascii="仿宋" w:hAnsi="仿宋" w:eastAsia="仿宋_GB2312" w:cs="仿宋"/>
          <w:sz w:val="28"/>
          <w:szCs w:val="28"/>
        </w:rPr>
      </w:pPr>
      <w:r>
        <w:rPr>
          <w:rFonts w:hint="eastAsia" w:ascii="仿宋" w:hAnsi="仿宋" w:eastAsia="仿宋" w:cs="仿宋"/>
          <w:color w:val="000000"/>
          <w:sz w:val="28"/>
          <w:szCs w:val="28"/>
          <w:shd w:val="clear" w:color="auto" w:fill="FFFFFF"/>
        </w:rPr>
        <w:t>经济和信息化、公安、财政、自然资源和规划、生态环境、住房和城乡建设、交通运输、水利、农业农村、应急管理、审计、国防动员、综合行政执法、地方金融、营商环境等有关部门和单位按照各自职责，做好重点建设项目的相关协调、服务保障和具体管理工作。</w:t>
      </w:r>
    </w:p>
    <w:p w14:paraId="37DB497F">
      <w:pPr>
        <w:spacing w:line="520" w:lineRule="exact"/>
        <w:ind w:firstLine="560" w:firstLineChars="200"/>
        <w:rPr>
          <w:rFonts w:ascii="仿宋" w:hAnsi="仿宋" w:eastAsia="仿宋" w:cs="仿宋"/>
          <w:sz w:val="28"/>
          <w:szCs w:val="28"/>
        </w:rPr>
      </w:pPr>
      <w:r>
        <w:rPr>
          <w:rFonts w:hint="eastAsia" w:ascii="黑体" w:hAnsi="黑体" w:eastAsia="黑体" w:cs="黑体"/>
          <w:sz w:val="28"/>
          <w:szCs w:val="28"/>
        </w:rPr>
        <w:t>第六条</w:t>
      </w:r>
      <w:r>
        <w:rPr>
          <w:rFonts w:hint="eastAsia" w:ascii="仿宋" w:hAnsi="仿宋" w:eastAsia="仿宋" w:cs="仿宋"/>
          <w:sz w:val="28"/>
          <w:szCs w:val="28"/>
        </w:rPr>
        <w:t xml:space="preserve">  发展改革主管部门和其他有关部门应当迭代升级重点建设项目综合监管系统，加强对重点建设项目事前事中事后的全过程监督管理，提高项目管理水平和效率。</w:t>
      </w:r>
    </w:p>
    <w:p w14:paraId="580179DB">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建设单位应当履行重点建设项目管理主体责任，负责项目的筹划和建设，依法建立项目工程质量、安全生产、建设工期等保证体系，确保工程质量和工期全面落实。</w:t>
      </w:r>
    </w:p>
    <w:p w14:paraId="0E87B03E">
      <w:pPr>
        <w:spacing w:line="520" w:lineRule="exact"/>
        <w:ind w:firstLine="560" w:firstLineChars="200"/>
        <w:rPr>
          <w:rFonts w:ascii="仿宋" w:hAnsi="仿宋" w:eastAsia="仿宋" w:cs="仿宋"/>
          <w:sz w:val="28"/>
          <w:szCs w:val="28"/>
        </w:rPr>
      </w:pPr>
      <w:r>
        <w:rPr>
          <w:rFonts w:hint="eastAsia" w:ascii="黑体" w:hAnsi="黑体" w:eastAsia="黑体" w:cs="黑体"/>
          <w:sz w:val="28"/>
          <w:szCs w:val="28"/>
        </w:rPr>
        <w:t>第七条</w:t>
      </w:r>
      <w:r>
        <w:rPr>
          <w:rFonts w:hint="eastAsia" w:ascii="仿宋" w:hAnsi="仿宋" w:eastAsia="仿宋" w:cs="仿宋"/>
          <w:sz w:val="28"/>
          <w:szCs w:val="28"/>
        </w:rPr>
        <w:t xml:space="preserve">  市人民政府建立重点建设项目推进工作年度目标考核制度，</w:t>
      </w:r>
      <w:r>
        <w:rPr>
          <w:rFonts w:hint="eastAsia" w:ascii="仿宋" w:hAnsi="仿宋" w:eastAsia="仿宋" w:cs="仿宋"/>
          <w:sz w:val="28"/>
          <w:szCs w:val="28"/>
          <w:highlight w:val="none"/>
        </w:rPr>
        <w:t>对重点建设项目的建设和管理中作出显著成绩的单位和个人，按相关表彰管理程序和表彰计划给予表彰</w:t>
      </w:r>
      <w:r>
        <w:rPr>
          <w:rFonts w:hint="eastAsia" w:ascii="仿宋" w:hAnsi="仿宋" w:eastAsia="仿宋" w:cs="仿宋"/>
          <w:sz w:val="28"/>
          <w:szCs w:val="28"/>
        </w:rPr>
        <w:t>。</w:t>
      </w:r>
    </w:p>
    <w:p w14:paraId="4B81BD3C">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市发展改革主管部门负责重点建设项目推进工作年度目标考核的组织实施工作。具体的考核办法由市发展改革主管部门另行制定，报市人民政府批准后实施。</w:t>
      </w:r>
    </w:p>
    <w:p w14:paraId="6A449DD2">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鼓励有关部门、单位和行业协会组织、指导建设单位开展重点建设项目立功竞赛活动，营造争先创优氛围，推进重点项目建设。</w:t>
      </w:r>
    </w:p>
    <w:p w14:paraId="0359EA5F">
      <w:pPr>
        <w:spacing w:line="520" w:lineRule="exact"/>
        <w:jc w:val="center"/>
        <w:rPr>
          <w:rFonts w:ascii="黑体" w:hAnsi="黑体" w:eastAsia="黑体" w:cs="黑体"/>
          <w:sz w:val="28"/>
          <w:szCs w:val="28"/>
        </w:rPr>
      </w:pPr>
    </w:p>
    <w:p w14:paraId="67F866DE">
      <w:pPr>
        <w:spacing w:line="520" w:lineRule="exact"/>
        <w:jc w:val="center"/>
        <w:rPr>
          <w:rFonts w:ascii="黑体" w:hAnsi="黑体" w:eastAsia="黑体" w:cs="黑体"/>
          <w:sz w:val="28"/>
          <w:szCs w:val="28"/>
        </w:rPr>
      </w:pPr>
      <w:r>
        <w:rPr>
          <w:rFonts w:hint="eastAsia" w:ascii="黑体" w:hAnsi="黑体" w:eastAsia="黑体" w:cs="黑体"/>
          <w:sz w:val="28"/>
          <w:szCs w:val="28"/>
        </w:rPr>
        <w:t>第二章  项目确定</w:t>
      </w:r>
    </w:p>
    <w:p w14:paraId="5DE0710A">
      <w:pPr>
        <w:spacing w:line="520" w:lineRule="exact"/>
        <w:ind w:firstLine="560" w:firstLineChars="200"/>
        <w:rPr>
          <w:rFonts w:ascii="仿宋" w:hAnsi="仿宋" w:eastAsia="仿宋" w:cs="仿宋"/>
          <w:sz w:val="28"/>
          <w:szCs w:val="28"/>
        </w:rPr>
      </w:pPr>
      <w:r>
        <w:rPr>
          <w:rFonts w:hint="eastAsia" w:ascii="黑体" w:hAnsi="黑体" w:eastAsia="黑体" w:cs="黑体"/>
          <w:sz w:val="28"/>
          <w:szCs w:val="28"/>
        </w:rPr>
        <w:t>第八条</w:t>
      </w:r>
      <w:r>
        <w:rPr>
          <w:rFonts w:hint="eastAsia" w:ascii="仿宋" w:hAnsi="仿宋" w:eastAsia="仿宋" w:cs="仿宋"/>
          <w:sz w:val="28"/>
          <w:szCs w:val="28"/>
        </w:rPr>
        <w:t xml:space="preserve">  重点建设项目应当符合国民经济和社会发展规划以及国家产业政策，符合环境保护、安全生产、节约能源、技术、资源综合利用等标准和要求，主要包括下列项目：</w:t>
      </w:r>
    </w:p>
    <w:p w14:paraId="374ED151">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一）农林水利项目，是指以增强防灾减灾能力、促进水资源保障、优化生态环境、增进农林效益为重点的流域治理、防洪排涝、水库及引水工程和其他水利设施建设、生态林建设、海洋渔业、沿海滩涂围垦、现代农业园区、新农村建设等项目；</w:t>
      </w:r>
    </w:p>
    <w:p w14:paraId="039FCD34">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（二）交通项目，是指以完善综合交通网络体系为主线，以对外运输干线、市域重要通道和重点港口开发为重点的机场、铁路、公路、码头、航道、综合客货运枢纽和公交场站等项目；</w:t>
      </w:r>
    </w:p>
    <w:p w14:paraId="6A617F8E">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（三）工业项目，是指以优化产业链、促进产业转型升级为重点的战略性新兴产业、高新技术产业、先进制造业、临港装备和制造业、重大技术改造、重大企业迁建等项目；</w:t>
      </w:r>
    </w:p>
    <w:p w14:paraId="4506A959">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四）能源项目，是指以保障能源供应、调整优化能源结构、提高能源利用率、保护生态环境，建设资源节约型和环境友好型社会为重点的电网、电源、热电联产、可再生能源综合利用、石油和天然气管网及储运设施、城市燃气和燃煤机组节能减排升级改造等项目；</w:t>
      </w:r>
    </w:p>
    <w:p w14:paraId="532C1E56">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（五）城市建设项目，是指以完善城市功能、优化空间布局，改善城市环境为重点的城市市政设施建设、快速路网、跨江通道、轨道交通、主次干道、城市生态环境改善等项目；</w:t>
      </w:r>
    </w:p>
    <w:p w14:paraId="366CB477">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（六）社会发展项目，是指以实现经济社会协调发展为重点的科技、卫生、教育、文化、体育、民政、风景名胜保护、保障性用房建设和社会服务保障及其他民生保障等项目；</w:t>
      </w:r>
    </w:p>
    <w:p w14:paraId="643E4787">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（七）服务业项目，是指以加快服务业集聚，形成高层次的产业结构为重点的现代商贸、现代金融、现代物流、文化创意、休闲旅游、科技信息、研发设计、高端服务业、城市综合体等项目；</w:t>
      </w:r>
    </w:p>
    <w:p w14:paraId="4C4752D8">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（八）其他项目，是指其他对本市经济社会发展有重大影响的引领性、带动性、辐射性的项目。</w:t>
      </w:r>
    </w:p>
    <w:p w14:paraId="5A9ADD7E">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前款规定的项目确定为重点建设项目的，其总投资额应当达到一定的标准。总投资额标准由市发展改革主管部门另行制定，报市人民政府批准后公布。总投资额标准可以根据本市经济社会发展状况定期作出调整。</w:t>
      </w:r>
    </w:p>
    <w:p w14:paraId="0EDE78AB">
      <w:pPr>
        <w:spacing w:line="520" w:lineRule="exact"/>
        <w:ind w:firstLine="560" w:firstLineChars="200"/>
        <w:rPr>
          <w:rFonts w:ascii="仿宋" w:hAnsi="仿宋" w:eastAsia="仿宋" w:cs="仿宋"/>
          <w:sz w:val="28"/>
          <w:szCs w:val="28"/>
        </w:rPr>
      </w:pPr>
      <w:r>
        <w:rPr>
          <w:rFonts w:hint="eastAsia" w:ascii="黑体" w:hAnsi="黑体" w:eastAsia="黑体" w:cs="黑体"/>
          <w:sz w:val="28"/>
          <w:szCs w:val="28"/>
        </w:rPr>
        <w:t>第九条</w:t>
      </w:r>
      <w:r>
        <w:rPr>
          <w:rFonts w:hint="eastAsia" w:ascii="仿宋" w:hAnsi="仿宋" w:eastAsia="仿宋" w:cs="仿宋"/>
          <w:sz w:val="28"/>
          <w:szCs w:val="28"/>
        </w:rPr>
        <w:t xml:space="preserve">  重点建设项目分为重点实施项目和重点前期项目。</w:t>
      </w:r>
    </w:p>
    <w:p w14:paraId="4E6C5508">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重点实施项目，是指列入上年度重点建设项目实施计划的续建项目以及拟于当年开工的新建项目。</w:t>
      </w:r>
    </w:p>
    <w:p w14:paraId="02B4B3B3">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重点前期项目，是指已经完成方案论证拟进入或者已进入项目审批、核准或者备案程序的项目。</w:t>
      </w:r>
    </w:p>
    <w:p w14:paraId="7956EA7C">
      <w:pPr>
        <w:spacing w:line="520" w:lineRule="exact"/>
        <w:ind w:firstLine="560" w:firstLineChars="200"/>
        <w:rPr>
          <w:rFonts w:ascii="仿宋" w:hAnsi="仿宋" w:eastAsia="仿宋" w:cs="仿宋"/>
          <w:sz w:val="28"/>
          <w:szCs w:val="28"/>
        </w:rPr>
      </w:pPr>
      <w:r>
        <w:rPr>
          <w:rFonts w:hint="eastAsia" w:ascii="黑体" w:hAnsi="黑体" w:eastAsia="黑体" w:cs="黑体"/>
          <w:sz w:val="28"/>
          <w:szCs w:val="28"/>
        </w:rPr>
        <w:t>第十条</w:t>
      </w:r>
      <w:r>
        <w:rPr>
          <w:rFonts w:hint="eastAsia" w:ascii="仿宋" w:hAnsi="仿宋" w:eastAsia="仿宋" w:cs="仿宋"/>
          <w:sz w:val="28"/>
          <w:szCs w:val="28"/>
        </w:rPr>
        <w:t xml:space="preserve">  符合本办法第八条、第九条规定标准和条件的项目，按照下列规定，于每年第四季度提出下一年度的重点实施项目或者重点前期项目申请：</w:t>
      </w:r>
    </w:p>
    <w:p w14:paraId="1A3B2624">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（一）中央和省、部属投资项目，由建设单位向市发展改革主管部门提出申请；</w:t>
      </w:r>
    </w:p>
    <w:p w14:paraId="26CD2676">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（二）市级政府投资项目、市属企业投资项目，由行业主管部门向市发展改革主管部门提出申请；</w:t>
      </w:r>
    </w:p>
    <w:p w14:paraId="06B23C64">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（三）县级政府投资项目、企业投资项目，由建设单位向项目所在地的发展改革主管部门提出申请。</w:t>
      </w:r>
    </w:p>
    <w:p w14:paraId="14550F20">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前款第三项规定的发展改革主管部门应当对本行政区域的申请项目进行汇总，报本级人民政府同意后，转报市发展改革主管部门。</w:t>
      </w:r>
    </w:p>
    <w:p w14:paraId="1DC38A12">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建设单位申请重点实施项目或者重点前期项目，应当提交申请报告。申请报告包括项目基本情况说明、项目前期审批情况及下年度的投资计划或者前期计划等内容，并对申请材料所涉内容的真实性负责，不得隐瞒事实，不得提供虚假申请材料。</w:t>
      </w:r>
    </w:p>
    <w:p w14:paraId="3536843F">
      <w:pPr>
        <w:spacing w:line="520" w:lineRule="exact"/>
        <w:ind w:firstLine="560" w:firstLineChars="200"/>
        <w:rPr>
          <w:rFonts w:ascii="仿宋" w:hAnsi="仿宋" w:eastAsia="仿宋" w:cs="仿宋"/>
          <w:sz w:val="28"/>
          <w:szCs w:val="28"/>
        </w:rPr>
      </w:pPr>
      <w:r>
        <w:rPr>
          <w:rFonts w:hint="eastAsia" w:ascii="黑体" w:hAnsi="黑体" w:eastAsia="黑体" w:cs="黑体"/>
          <w:sz w:val="28"/>
          <w:szCs w:val="28"/>
        </w:rPr>
        <w:t>第十一条</w:t>
      </w:r>
      <w:r>
        <w:rPr>
          <w:rFonts w:hint="eastAsia" w:ascii="仿宋" w:hAnsi="仿宋" w:eastAsia="仿宋" w:cs="仿宋"/>
          <w:sz w:val="28"/>
          <w:szCs w:val="28"/>
        </w:rPr>
        <w:t xml:space="preserve">  市发展改革主管部门负责对申请项目进行汇总，经征求市级有关部门的意见后进行综合平衡，提出重点实施项目和重点前期项目的建议名单，编入年度重点建设项目实施计划和重点建设项目前期计划，报市人民政府批准后公布。</w:t>
      </w:r>
    </w:p>
    <w:p w14:paraId="6C6827E5">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申请列入国家、省的重点（重大）建设项目，由市发展改革主管部门在重点建设项目名单中遴选，经征求市级有关部门意见后按规定上报。</w:t>
      </w:r>
    </w:p>
    <w:p w14:paraId="6B369A72">
      <w:pPr>
        <w:spacing w:line="520" w:lineRule="exact"/>
        <w:ind w:firstLine="560" w:firstLineChars="200"/>
        <w:rPr>
          <w:rFonts w:ascii="仿宋" w:hAnsi="仿宋" w:eastAsia="仿宋" w:cs="仿宋"/>
          <w:sz w:val="28"/>
          <w:szCs w:val="28"/>
        </w:rPr>
      </w:pPr>
      <w:r>
        <w:rPr>
          <w:rFonts w:hint="eastAsia" w:ascii="黑体" w:hAnsi="黑体" w:eastAsia="黑体" w:cs="黑体"/>
          <w:sz w:val="28"/>
          <w:szCs w:val="28"/>
        </w:rPr>
        <w:t>第十二条</w:t>
      </w:r>
      <w:r>
        <w:rPr>
          <w:rFonts w:hint="eastAsia" w:ascii="仿宋" w:hAnsi="仿宋" w:eastAsia="仿宋" w:cs="仿宋"/>
          <w:sz w:val="28"/>
          <w:szCs w:val="28"/>
        </w:rPr>
        <w:t xml:space="preserve">  重点实施项目或者重点前期项目在具体执行过程中，发生投资计划调整、不符合新的产业投资导向等情形，或者因项目前期工作提前完成并符合重点实施项目标准和条件的，由市发展改革主管部门可以根据具体情况对重点实施项目或者重点前期项目名单作相应调整，报市人民政府批准后公布。</w:t>
      </w:r>
    </w:p>
    <w:p w14:paraId="194F0662">
      <w:pPr>
        <w:spacing w:line="520" w:lineRule="exact"/>
        <w:ind w:firstLine="560" w:firstLineChars="200"/>
        <w:rPr>
          <w:rFonts w:ascii="仿宋" w:hAnsi="仿宋" w:eastAsia="仿宋" w:cs="仿宋"/>
          <w:sz w:val="28"/>
          <w:szCs w:val="28"/>
        </w:rPr>
      </w:pPr>
      <w:r>
        <w:rPr>
          <w:rFonts w:hint="eastAsia" w:ascii="黑体" w:hAnsi="黑体" w:eastAsia="黑体" w:cs="黑体"/>
          <w:sz w:val="28"/>
          <w:szCs w:val="28"/>
        </w:rPr>
        <w:t>第十三条</w:t>
      </w:r>
      <w:r>
        <w:rPr>
          <w:rFonts w:hint="eastAsia" w:ascii="仿宋" w:hAnsi="仿宋" w:eastAsia="仿宋" w:cs="仿宋"/>
          <w:sz w:val="28"/>
          <w:szCs w:val="28"/>
        </w:rPr>
        <w:t xml:space="preserve">  市发展改革主管部门应当建立重点建设储备项目库管理制度，将已列入本市国民经济和社会发展规划或者已处于策划、调研、论证阶段的建设项目列入重点建设储备项目库管理。</w:t>
      </w:r>
    </w:p>
    <w:p w14:paraId="0F87240A">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重点建设储备项目实行年度滚动管理，有关单位可以与重点建设项目同步提出申请。</w:t>
      </w:r>
    </w:p>
    <w:p w14:paraId="3B90849A">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列入重点建设储备项目库的项目，达到本办法第八条、第九条规定标准和条件的，可以优先确定为年度重点实施项目或者重点前期项目。</w:t>
      </w:r>
    </w:p>
    <w:p w14:paraId="1C95986D">
      <w:pPr>
        <w:spacing w:line="520" w:lineRule="exact"/>
        <w:jc w:val="center"/>
        <w:rPr>
          <w:rFonts w:ascii="黑体" w:hAnsi="黑体" w:eastAsia="黑体" w:cs="黑体"/>
          <w:sz w:val="28"/>
          <w:szCs w:val="28"/>
        </w:rPr>
      </w:pPr>
    </w:p>
    <w:p w14:paraId="498414AA">
      <w:pPr>
        <w:spacing w:line="520" w:lineRule="exact"/>
        <w:jc w:val="center"/>
        <w:rPr>
          <w:rFonts w:ascii="仿宋" w:hAnsi="仿宋" w:eastAsia="仿宋" w:cs="仿宋"/>
          <w:sz w:val="28"/>
          <w:szCs w:val="28"/>
        </w:rPr>
      </w:pPr>
      <w:r>
        <w:rPr>
          <w:rFonts w:hint="eastAsia" w:ascii="黑体" w:hAnsi="黑体" w:eastAsia="黑体" w:cs="黑体"/>
          <w:sz w:val="28"/>
          <w:szCs w:val="28"/>
        </w:rPr>
        <w:t>第三章  项目推进</w:t>
      </w:r>
    </w:p>
    <w:p w14:paraId="636B5AA8">
      <w:pPr>
        <w:spacing w:line="520" w:lineRule="exact"/>
        <w:ind w:firstLine="560" w:firstLineChars="200"/>
        <w:rPr>
          <w:rFonts w:ascii="仿宋" w:hAnsi="仿宋" w:eastAsia="仿宋" w:cs="仿宋"/>
          <w:sz w:val="28"/>
          <w:szCs w:val="28"/>
        </w:rPr>
      </w:pPr>
      <w:r>
        <w:rPr>
          <w:rFonts w:hint="eastAsia" w:ascii="黑体" w:hAnsi="黑体" w:eastAsia="黑体" w:cs="黑体"/>
          <w:sz w:val="28"/>
          <w:szCs w:val="28"/>
        </w:rPr>
        <w:t>第十四条</w:t>
      </w:r>
      <w:r>
        <w:rPr>
          <w:rFonts w:hint="eastAsia" w:ascii="仿宋" w:hAnsi="仿宋" w:eastAsia="仿宋" w:cs="仿宋"/>
          <w:sz w:val="28"/>
          <w:szCs w:val="28"/>
        </w:rPr>
        <w:t xml:space="preserve">  重点建设项目实施计划和重点建设项目前期计划经批准公布后，由市人民政府与项目管理单位签订年度目标管理责任书，作为市发展改革主管部门检查、指导和考核重点建设项目推进工作的重要依据。</w:t>
      </w:r>
    </w:p>
    <w:p w14:paraId="1A0E47D3">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前款所称项目管理单位，是指重点建设项目实施计划和重点建设项目前期计划确定的</w:t>
      </w:r>
      <w:r>
        <w:rPr>
          <w:rFonts w:hint="eastAsia" w:ascii="仿宋" w:hAnsi="仿宋" w:eastAsia="仿宋" w:cs="仿宋"/>
          <w:sz w:val="28"/>
          <w:szCs w:val="28"/>
          <w:lang w:eastAsia="zh-CN"/>
        </w:rPr>
        <w:t>区（县、市）</w:t>
      </w:r>
      <w:r>
        <w:rPr>
          <w:rFonts w:hint="eastAsia" w:ascii="仿宋" w:hAnsi="仿宋" w:eastAsia="仿宋" w:cs="仿宋"/>
          <w:sz w:val="28"/>
          <w:szCs w:val="28"/>
        </w:rPr>
        <w:t>人民政府、市级有关部门。</w:t>
      </w:r>
    </w:p>
    <w:p w14:paraId="241255F4">
      <w:pPr>
        <w:spacing w:line="520" w:lineRule="exact"/>
        <w:ind w:firstLine="560" w:firstLineChars="200"/>
        <w:rPr>
          <w:rFonts w:ascii="仿宋" w:hAnsi="仿宋" w:eastAsia="仿宋" w:cs="仿宋"/>
          <w:sz w:val="28"/>
          <w:szCs w:val="28"/>
        </w:rPr>
      </w:pPr>
      <w:r>
        <w:rPr>
          <w:rFonts w:hint="eastAsia" w:ascii="黑体" w:hAnsi="黑体" w:eastAsia="黑体" w:cs="黑体"/>
          <w:sz w:val="28"/>
          <w:szCs w:val="28"/>
        </w:rPr>
        <w:t>第十五条</w:t>
      </w:r>
      <w:r>
        <w:rPr>
          <w:rFonts w:hint="eastAsia" w:ascii="仿宋" w:hAnsi="仿宋" w:eastAsia="仿宋" w:cs="仿宋"/>
          <w:sz w:val="28"/>
          <w:szCs w:val="28"/>
        </w:rPr>
        <w:t xml:space="preserve">  项目管理单位应当履行下列职责：</w:t>
      </w:r>
    </w:p>
    <w:p w14:paraId="2FE973A2">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（一）按照年度重点建设项目推进工作目标管理责任书确定的目标、任务，制定项目推进计划；</w:t>
      </w:r>
    </w:p>
    <w:p w14:paraId="136B6A76">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（二）及时协调解决影响项目实施或者项目前期推进工作的问题；</w:t>
      </w:r>
    </w:p>
    <w:p w14:paraId="40329409">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（三）督促建设单位制定和落实项目工程质量、安全生产、工程进度等控制措施；</w:t>
      </w:r>
    </w:p>
    <w:p w14:paraId="639236F9">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（四）向市发展改革主管部门报告项目推进情况或者难以协调的重大问题。</w:t>
      </w:r>
    </w:p>
    <w:p w14:paraId="363D9820">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市发展改革主管部门应当定期或者不定期召开重点建设项目推进、协调会议，研究解决影响项目推进的重大问题；对难以协调解决或者项目推进中存在的普遍性问题，应当及时报市人民政府协调处理。</w:t>
      </w:r>
    </w:p>
    <w:p w14:paraId="65BE785E">
      <w:pPr>
        <w:spacing w:line="520" w:lineRule="exact"/>
        <w:ind w:firstLine="560" w:firstLineChars="200"/>
        <w:rPr>
          <w:rFonts w:ascii="仿宋" w:hAnsi="仿宋" w:eastAsia="仿宋" w:cs="仿宋"/>
          <w:sz w:val="28"/>
          <w:szCs w:val="28"/>
        </w:rPr>
      </w:pPr>
      <w:r>
        <w:rPr>
          <w:rFonts w:hint="eastAsia" w:ascii="黑体" w:hAnsi="黑体" w:eastAsia="黑体" w:cs="黑体"/>
          <w:sz w:val="28"/>
          <w:szCs w:val="28"/>
        </w:rPr>
        <w:t>第十六条</w:t>
      </w:r>
      <w:r>
        <w:rPr>
          <w:rFonts w:hint="eastAsia" w:ascii="仿宋" w:hAnsi="仿宋" w:eastAsia="仿宋" w:cs="仿宋"/>
          <w:sz w:val="28"/>
          <w:szCs w:val="28"/>
        </w:rPr>
        <w:t xml:space="preserve">  建设单位应当遵守法律、法规和规章规定的基本建设程序，依法办理项目审批、核准或者备案手续；依法落实项目法人、工程招标投标、工程监理、合同管理、设计变更、概算调整、安全生产、环境保护、文明施工等规定，保证工程质量、安全生产和建设工期。</w:t>
      </w:r>
    </w:p>
    <w:p w14:paraId="35972DB7">
      <w:pPr>
        <w:spacing w:line="520" w:lineRule="exact"/>
        <w:rPr>
          <w:rFonts w:ascii="仿宋" w:hAnsi="仿宋" w:eastAsia="仿宋" w:cs="仿宋"/>
          <w:sz w:val="28"/>
          <w:szCs w:val="28"/>
        </w:rPr>
      </w:pPr>
      <w:r>
        <w:rPr>
          <w:rFonts w:hint="eastAsia" w:ascii="仿宋" w:hAnsi="仿宋" w:eastAsia="仿宋" w:cs="仿宋"/>
          <w:sz w:val="28"/>
          <w:szCs w:val="28"/>
        </w:rPr>
        <w:t xml:space="preserve">    鼓励采用全过程工程咨询服务、应用数字化技术开展项目实施、施工管理和运行维护。</w:t>
      </w:r>
    </w:p>
    <w:p w14:paraId="3905CDC0">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重点实施项目建设工程完工后，应当按照法律、法规和规章的规定组织初步验收和竣工验收。</w:t>
      </w:r>
    </w:p>
    <w:p w14:paraId="1AD2C783">
      <w:pPr>
        <w:spacing w:line="520" w:lineRule="exact"/>
        <w:ind w:firstLine="560" w:firstLineChars="200"/>
        <w:rPr>
          <w:rFonts w:ascii="仿宋" w:hAnsi="仿宋" w:eastAsia="仿宋" w:cs="仿宋"/>
          <w:sz w:val="28"/>
          <w:szCs w:val="28"/>
        </w:rPr>
      </w:pPr>
      <w:r>
        <w:rPr>
          <w:rFonts w:hint="eastAsia" w:ascii="黑体" w:hAnsi="黑体" w:eastAsia="黑体" w:cs="黑体"/>
          <w:sz w:val="28"/>
          <w:szCs w:val="28"/>
        </w:rPr>
        <w:t>第十七条</w:t>
      </w:r>
      <w:r>
        <w:rPr>
          <w:rFonts w:hint="eastAsia" w:ascii="仿宋" w:hAnsi="仿宋" w:eastAsia="仿宋" w:cs="仿宋"/>
          <w:sz w:val="28"/>
          <w:szCs w:val="28"/>
        </w:rPr>
        <w:t xml:space="preserve">  有关部门应当对重点建设项目前期工作、工程进度、建设管理、安全生产以及合同履行等情况进行监督检查，及时纠正检查中发现的问题，依法查处违法行为。</w:t>
      </w:r>
    </w:p>
    <w:p w14:paraId="1D5ED793">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财政部门应当依法对政府投资的重点实施项目的资金使用、管理情况和财务状况进行监督检查。</w:t>
      </w:r>
    </w:p>
    <w:p w14:paraId="1F264866">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审计机关依法对政府投资的重点建设项目的预算执行情况和决算进行审计监督。</w:t>
      </w:r>
    </w:p>
    <w:p w14:paraId="4D12DA0C">
      <w:pPr>
        <w:spacing w:line="520" w:lineRule="exact"/>
        <w:ind w:firstLine="560" w:firstLineChars="200"/>
        <w:rPr>
          <w:rFonts w:ascii="仿宋" w:hAnsi="仿宋" w:eastAsia="仿宋" w:cs="仿宋"/>
          <w:sz w:val="28"/>
          <w:szCs w:val="28"/>
        </w:rPr>
      </w:pPr>
      <w:r>
        <w:rPr>
          <w:rFonts w:hint="eastAsia" w:ascii="黑体" w:hAnsi="黑体" w:eastAsia="黑体" w:cs="黑体"/>
          <w:sz w:val="28"/>
          <w:szCs w:val="28"/>
        </w:rPr>
        <w:t>第十八条</w:t>
      </w:r>
      <w:r>
        <w:rPr>
          <w:rFonts w:hint="eastAsia" w:ascii="仿宋" w:hAnsi="仿宋" w:eastAsia="仿宋" w:cs="仿宋"/>
          <w:sz w:val="28"/>
          <w:szCs w:val="28"/>
        </w:rPr>
        <w:t xml:space="preserve">  发展改革主管部门应当制定稽察计划、方案，采取跟踪项目进展、开展现场检查、复查整改等方式，依法实施对政府投资的重点建设项目从批准项目建议书到项目竣工的全过程稽察。稽察报告报本级人民政府。</w:t>
      </w:r>
    </w:p>
    <w:p w14:paraId="37174204">
      <w:pPr>
        <w:spacing w:line="520" w:lineRule="exact"/>
        <w:ind w:firstLine="560" w:firstLineChars="200"/>
        <w:rPr>
          <w:rFonts w:ascii="仿宋" w:hAnsi="仿宋" w:eastAsia="仿宋" w:cs="仿宋"/>
          <w:sz w:val="28"/>
          <w:szCs w:val="28"/>
        </w:rPr>
      </w:pPr>
      <w:r>
        <w:rPr>
          <w:rFonts w:hint="eastAsia" w:ascii="黑体" w:hAnsi="黑体" w:eastAsia="黑体" w:cs="黑体"/>
          <w:sz w:val="28"/>
          <w:szCs w:val="28"/>
        </w:rPr>
        <w:t>第十九条</w:t>
      </w:r>
      <w:r>
        <w:rPr>
          <w:rFonts w:hint="eastAsia" w:ascii="仿宋" w:hAnsi="仿宋" w:eastAsia="仿宋" w:cs="仿宋"/>
          <w:sz w:val="28"/>
          <w:szCs w:val="28"/>
        </w:rPr>
        <w:t xml:space="preserve">  市发展改革主管部门应当制定重点实施项目后评估实施细则，会同有关部门对政府投资的重点实施项目的前期工作、实施情况、工程质量、投资效益、环境效益、社会效益等方面进行评估。评估报告报市人民政府。</w:t>
      </w:r>
    </w:p>
    <w:p w14:paraId="4782885D">
      <w:pPr>
        <w:spacing w:line="520" w:lineRule="exact"/>
        <w:jc w:val="center"/>
        <w:rPr>
          <w:rFonts w:ascii="黑体" w:hAnsi="黑体" w:eastAsia="黑体" w:cs="黑体"/>
          <w:sz w:val="28"/>
          <w:szCs w:val="28"/>
        </w:rPr>
      </w:pPr>
    </w:p>
    <w:p w14:paraId="3B560BEB">
      <w:pPr>
        <w:spacing w:line="520" w:lineRule="exact"/>
        <w:jc w:val="center"/>
        <w:rPr>
          <w:rFonts w:ascii="黑体" w:hAnsi="黑体" w:eastAsia="黑体" w:cs="黑体"/>
          <w:sz w:val="28"/>
          <w:szCs w:val="28"/>
        </w:rPr>
      </w:pPr>
      <w:r>
        <w:rPr>
          <w:rFonts w:hint="eastAsia" w:ascii="黑体" w:hAnsi="黑体" w:eastAsia="黑体" w:cs="黑体"/>
          <w:sz w:val="28"/>
          <w:szCs w:val="28"/>
        </w:rPr>
        <w:t>第四章  服务保障</w:t>
      </w:r>
    </w:p>
    <w:p w14:paraId="20ACB1CF">
      <w:pPr>
        <w:spacing w:line="520" w:lineRule="exact"/>
        <w:ind w:firstLine="560" w:firstLineChars="200"/>
        <w:rPr>
          <w:rFonts w:ascii="仿宋" w:hAnsi="仿宋" w:eastAsia="仿宋" w:cs="仿宋"/>
          <w:sz w:val="28"/>
          <w:szCs w:val="28"/>
        </w:rPr>
      </w:pPr>
      <w:r>
        <w:rPr>
          <w:rFonts w:hint="eastAsia" w:ascii="黑体" w:hAnsi="黑体" w:eastAsia="黑体" w:cs="黑体"/>
          <w:sz w:val="28"/>
          <w:szCs w:val="28"/>
        </w:rPr>
        <w:t>第二十条</w:t>
      </w:r>
      <w:r>
        <w:rPr>
          <w:rFonts w:hint="eastAsia" w:ascii="仿宋" w:hAnsi="仿宋" w:eastAsia="仿宋" w:cs="仿宋"/>
          <w:sz w:val="28"/>
          <w:szCs w:val="28"/>
        </w:rPr>
        <w:t xml:space="preserve">  实行市领导干部联系重点建设项目制度。负责联系重点建设项目的领导干部应当组织协调、帮助解决联系项目建设和管理中的重要问题。</w:t>
      </w:r>
    </w:p>
    <w:p w14:paraId="6B770DEC">
      <w:pPr>
        <w:spacing w:line="520" w:lineRule="exact"/>
        <w:ind w:firstLine="560" w:firstLineChars="200"/>
        <w:rPr>
          <w:rFonts w:hint="eastAsia" w:ascii="仿宋" w:hAnsi="仿宋" w:eastAsia="仿宋" w:cs="仿宋"/>
          <w:sz w:val="28"/>
          <w:szCs w:val="28"/>
        </w:rPr>
      </w:pPr>
      <w:r>
        <w:rPr>
          <w:rFonts w:ascii="仿宋" w:hAnsi="仿宋" w:eastAsia="仿宋" w:cs="仿宋"/>
          <w:sz w:val="28"/>
          <w:szCs w:val="28"/>
        </w:rPr>
        <w:t>市发展改革行政主管部门应当在年度重点建设项目中选择部分投资规模大、社会影响广、施工技术复杂的项目作为领导干部联系项目，商市有关职能部门确定领导干部联系名单，</w:t>
      </w:r>
      <w:r>
        <w:rPr>
          <w:rFonts w:hint="eastAsia" w:ascii="仿宋" w:hAnsi="仿宋" w:eastAsia="仿宋" w:cs="仿宋"/>
          <w:sz w:val="28"/>
          <w:szCs w:val="28"/>
        </w:rPr>
        <w:t>经</w:t>
      </w:r>
      <w:r>
        <w:rPr>
          <w:rFonts w:ascii="仿宋" w:hAnsi="仿宋" w:eastAsia="仿宋" w:cs="仿宋"/>
          <w:sz w:val="28"/>
          <w:szCs w:val="28"/>
        </w:rPr>
        <w:t>批准</w:t>
      </w:r>
      <w:r>
        <w:rPr>
          <w:rFonts w:hint="eastAsia" w:ascii="仿宋" w:hAnsi="仿宋" w:eastAsia="仿宋" w:cs="仿宋"/>
          <w:sz w:val="28"/>
          <w:szCs w:val="28"/>
        </w:rPr>
        <w:t>后实施</w:t>
      </w:r>
      <w:r>
        <w:rPr>
          <w:rFonts w:ascii="仿宋" w:hAnsi="仿宋" w:eastAsia="仿宋" w:cs="仿宋"/>
          <w:sz w:val="28"/>
          <w:szCs w:val="28"/>
        </w:rPr>
        <w:t>。</w:t>
      </w:r>
    </w:p>
    <w:p w14:paraId="7AF84F57">
      <w:pPr>
        <w:spacing w:line="520" w:lineRule="exact"/>
        <w:ind w:firstLine="560" w:firstLineChars="200"/>
        <w:rPr>
          <w:rFonts w:ascii="仿宋" w:hAnsi="仿宋" w:eastAsia="仿宋" w:cs="仿宋"/>
          <w:sz w:val="28"/>
          <w:szCs w:val="28"/>
        </w:rPr>
      </w:pPr>
      <w:r>
        <w:rPr>
          <w:rFonts w:hint="eastAsia" w:ascii="黑体" w:hAnsi="黑体" w:eastAsia="黑体" w:cs="黑体"/>
          <w:sz w:val="28"/>
          <w:szCs w:val="28"/>
        </w:rPr>
        <w:t>第二十一条</w:t>
      </w:r>
      <w:r>
        <w:rPr>
          <w:rFonts w:hint="eastAsia" w:ascii="仿宋" w:hAnsi="仿宋" w:eastAsia="仿宋" w:cs="仿宋"/>
          <w:sz w:val="28"/>
          <w:szCs w:val="28"/>
        </w:rPr>
        <w:t xml:space="preserve">  实行干部挂职重点实施项目制度。干部挂职应当协同有关部门、建设单位协调、处理项目推进中的有关问题。</w:t>
      </w:r>
    </w:p>
    <w:p w14:paraId="0A4F483A">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干部挂职重点实施项目和挂职干部名单，由市发展改革主管部门会同有关职能部门确定并公布。</w:t>
      </w:r>
    </w:p>
    <w:p w14:paraId="4A91EAF4">
      <w:pPr>
        <w:spacing w:line="520" w:lineRule="exact"/>
        <w:ind w:firstLine="560" w:firstLineChars="200"/>
        <w:rPr>
          <w:rFonts w:ascii="仿宋" w:hAnsi="仿宋" w:eastAsia="仿宋" w:cs="仿宋"/>
          <w:sz w:val="28"/>
          <w:szCs w:val="28"/>
        </w:rPr>
      </w:pPr>
      <w:r>
        <w:rPr>
          <w:rFonts w:hint="eastAsia" w:ascii="黑体" w:hAnsi="黑体" w:eastAsia="黑体" w:cs="黑体"/>
          <w:sz w:val="28"/>
          <w:szCs w:val="28"/>
        </w:rPr>
        <w:t>第二十二条</w:t>
      </w:r>
      <w:r>
        <w:rPr>
          <w:rFonts w:hint="eastAsia" w:ascii="仿宋" w:hAnsi="仿宋" w:eastAsia="仿宋" w:cs="仿宋"/>
          <w:sz w:val="28"/>
          <w:szCs w:val="28"/>
        </w:rPr>
        <w:t xml:space="preserve">  年度重点实施项目确定后，有关部门应当根据实际需要，组织项目建设、施工、监理单位和挂职干部，与项目所在地的镇（乡）人民政府、街道办事处及社区居（村）民委员会建立重点实施项目基层联络组织。</w:t>
      </w:r>
    </w:p>
    <w:p w14:paraId="5B127EE5">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基层联络组织应当采取多种形式，加强内部联系、沟通，通报施工计划、项目进度，收集建设工地周边群众的意见；协调解决安全生产、文明施工、社会稳定风险等方面的问题；发现影响项目推进的重大问题或者潜在风险的，及时向同级发展改革主管部门报告。</w:t>
      </w:r>
    </w:p>
    <w:p w14:paraId="0F7EBE52">
      <w:pPr>
        <w:spacing w:line="520" w:lineRule="exact"/>
        <w:ind w:firstLine="560" w:firstLineChars="200"/>
        <w:rPr>
          <w:rFonts w:ascii="仿宋" w:hAnsi="仿宋" w:eastAsia="仿宋" w:cs="仿宋"/>
          <w:sz w:val="28"/>
          <w:szCs w:val="28"/>
        </w:rPr>
      </w:pPr>
      <w:r>
        <w:rPr>
          <w:rFonts w:hint="eastAsia" w:ascii="黑体" w:hAnsi="黑体" w:eastAsia="黑体" w:cs="黑体"/>
          <w:sz w:val="28"/>
          <w:szCs w:val="28"/>
        </w:rPr>
        <w:t>第二十三条</w:t>
      </w:r>
      <w:r>
        <w:rPr>
          <w:rFonts w:hint="eastAsia" w:ascii="仿宋" w:hAnsi="仿宋" w:eastAsia="仿宋" w:cs="仿宋"/>
          <w:sz w:val="28"/>
          <w:szCs w:val="28"/>
        </w:rPr>
        <w:t xml:space="preserve">  发展改革、经济和信息化、自然资源和规划、住房和城乡建设、生态环境等部门应当加强对重点建设项目的政务服务，优化审批流程，缩短审批时限，提高审批效率。任何单位和个人不得擅自增加审批事项或者环节。</w:t>
      </w:r>
    </w:p>
    <w:p w14:paraId="4F368971">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除法律、行政法规规定的前置审批事项外，其他审批、审查或者评价事项实行并联办理。</w:t>
      </w:r>
    </w:p>
    <w:p w14:paraId="7CCE46E8">
      <w:pPr>
        <w:spacing w:line="520" w:lineRule="exact"/>
        <w:ind w:firstLine="560" w:firstLineChars="200"/>
        <w:rPr>
          <w:rFonts w:ascii="仿宋" w:hAnsi="仿宋" w:eastAsia="仿宋" w:cs="仿宋"/>
          <w:sz w:val="28"/>
          <w:szCs w:val="28"/>
        </w:rPr>
      </w:pPr>
      <w:r>
        <w:rPr>
          <w:rFonts w:hint="eastAsia" w:ascii="黑体" w:hAnsi="黑体" w:eastAsia="黑体" w:cs="黑体"/>
          <w:sz w:val="28"/>
          <w:szCs w:val="28"/>
        </w:rPr>
        <w:t>第二十四条</w:t>
      </w:r>
      <w:r>
        <w:rPr>
          <w:rFonts w:hint="eastAsia" w:ascii="仿宋" w:hAnsi="仿宋" w:eastAsia="仿宋" w:cs="仿宋"/>
          <w:sz w:val="28"/>
          <w:szCs w:val="28"/>
        </w:rPr>
        <w:t xml:space="preserve">  自然资源和规划部门应当做好重点建设工程规划选址、集体所有土地征收工作；按规定保障重点建设项目所需的新增建设用地计划指标、</w:t>
      </w:r>
      <w:r>
        <w:rPr>
          <w:rFonts w:hint="eastAsia" w:ascii="仿宋" w:hAnsi="仿宋" w:eastAsia="仿宋" w:cs="仿宋"/>
          <w:color w:val="000000"/>
          <w:sz w:val="28"/>
          <w:szCs w:val="28"/>
          <w:shd w:val="clear" w:color="auto" w:fill="FFFFFF"/>
        </w:rPr>
        <w:t>耕地占补平衡指标等，保障</w:t>
      </w:r>
      <w:r>
        <w:rPr>
          <w:rFonts w:hint="eastAsia" w:ascii="仿宋" w:hAnsi="仿宋" w:eastAsia="仿宋" w:cs="仿宋"/>
          <w:sz w:val="28"/>
          <w:szCs w:val="28"/>
        </w:rPr>
        <w:t>重点建设项目用地的供应。</w:t>
      </w:r>
    </w:p>
    <w:p w14:paraId="5227D254">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财政部门应当按照</w:t>
      </w:r>
      <w:r>
        <w:rPr>
          <w:rFonts w:hint="eastAsia" w:ascii="仿宋" w:hAnsi="仿宋" w:eastAsia="仿宋" w:cs="仿宋"/>
          <w:color w:val="000000"/>
          <w:sz w:val="28"/>
          <w:szCs w:val="28"/>
          <w:shd w:val="clear" w:color="auto" w:fill="FFFFFF"/>
        </w:rPr>
        <w:t>预算和国库管理制度的有关规定</w:t>
      </w:r>
      <w:r>
        <w:rPr>
          <w:rFonts w:hint="eastAsia" w:ascii="仿宋" w:hAnsi="仿宋" w:eastAsia="仿宋" w:cs="仿宋"/>
          <w:sz w:val="28"/>
          <w:szCs w:val="28"/>
        </w:rPr>
        <w:t>安排政府投资的重点建设项目资金。</w:t>
      </w:r>
    </w:p>
    <w:p w14:paraId="04885E1C">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有关部门可以为重点建设项目的建设单位和金融机构搭建合作平台，提供多渠道融资服务。</w:t>
      </w:r>
    </w:p>
    <w:p w14:paraId="4FF054D1">
      <w:pPr>
        <w:spacing w:line="520" w:lineRule="exact"/>
        <w:ind w:firstLine="560" w:firstLineChars="200"/>
        <w:rPr>
          <w:rFonts w:ascii="仿宋" w:hAnsi="仿宋" w:eastAsia="仿宋" w:cs="仿宋"/>
          <w:sz w:val="28"/>
          <w:szCs w:val="28"/>
        </w:rPr>
      </w:pPr>
      <w:r>
        <w:rPr>
          <w:rFonts w:hint="eastAsia" w:ascii="黑体" w:hAnsi="黑体" w:eastAsia="黑体" w:cs="黑体"/>
          <w:sz w:val="28"/>
          <w:szCs w:val="28"/>
        </w:rPr>
        <w:t>第二十五条</w:t>
      </w:r>
      <w:r>
        <w:rPr>
          <w:rFonts w:hint="eastAsia" w:ascii="仿宋" w:hAnsi="仿宋" w:eastAsia="仿宋" w:cs="仿宋"/>
          <w:sz w:val="28"/>
          <w:szCs w:val="28"/>
        </w:rPr>
        <w:t xml:space="preserve">  区（县、市）人民政府及有关部门建立重点实施项目联合监管机制，综合运用现场检查、非现场检查和信息共享、网络核验等监督手段，依法、规范实施行政检查，合理控制检查频次，避免多头检查、重复检查，减轻建设单位负担。</w:t>
      </w:r>
    </w:p>
    <w:p w14:paraId="0B2A6E38">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区（县、市）人民政府及有关部门应当建立跨部门联合帮扶机构，加强对重点实施项目的行政指导，适时帮助建设单位、施工企业提高防范工程质量、安全生产、劳动用工、生态环境等风险的能力。</w:t>
      </w:r>
    </w:p>
    <w:p w14:paraId="68743467">
      <w:pPr>
        <w:spacing w:line="520" w:lineRule="exact"/>
        <w:ind w:firstLine="560" w:firstLineChars="200"/>
        <w:rPr>
          <w:rFonts w:ascii="黑体" w:hAnsi="黑体" w:eastAsia="仿宋" w:cs="黑体"/>
          <w:sz w:val="28"/>
          <w:szCs w:val="28"/>
        </w:rPr>
      </w:pPr>
      <w:r>
        <w:rPr>
          <w:rFonts w:hint="eastAsia" w:ascii="仿宋" w:hAnsi="仿宋" w:eastAsia="仿宋" w:cs="仿宋"/>
          <w:sz w:val="28"/>
          <w:szCs w:val="28"/>
        </w:rPr>
        <w:t>供电、供水、供热、供气、网络等公用事业单位应当依法履行合同约定的义务，为重点建设项目建设活动提供安全、便捷、稳定和价格合理的服务。</w:t>
      </w:r>
    </w:p>
    <w:p w14:paraId="0497A308">
      <w:pPr>
        <w:spacing w:line="520" w:lineRule="exact"/>
        <w:jc w:val="center"/>
        <w:rPr>
          <w:rFonts w:ascii="黑体" w:hAnsi="黑体" w:eastAsia="黑体" w:cs="黑体"/>
          <w:sz w:val="28"/>
          <w:szCs w:val="28"/>
        </w:rPr>
      </w:pPr>
      <w:r>
        <w:rPr>
          <w:rFonts w:hint="eastAsia" w:ascii="黑体" w:hAnsi="黑体" w:eastAsia="黑体" w:cs="黑体"/>
          <w:sz w:val="28"/>
          <w:szCs w:val="28"/>
        </w:rPr>
        <w:t>第五章  法律责任</w:t>
      </w:r>
    </w:p>
    <w:p w14:paraId="2BA58422">
      <w:pPr>
        <w:spacing w:line="520" w:lineRule="exact"/>
        <w:ind w:firstLine="560" w:firstLineChars="200"/>
        <w:rPr>
          <w:rFonts w:ascii="仿宋" w:hAnsi="仿宋" w:eastAsia="仿宋" w:cs="仿宋"/>
          <w:sz w:val="28"/>
          <w:szCs w:val="28"/>
        </w:rPr>
      </w:pPr>
      <w:r>
        <w:rPr>
          <w:rFonts w:hint="eastAsia" w:ascii="黑体" w:hAnsi="黑体" w:eastAsia="黑体" w:cs="黑体"/>
          <w:sz w:val="28"/>
          <w:szCs w:val="28"/>
        </w:rPr>
        <w:t>第二十六条</w:t>
      </w:r>
      <w:r>
        <w:rPr>
          <w:rFonts w:hint="eastAsia" w:ascii="仿宋" w:hAnsi="仿宋" w:eastAsia="仿宋" w:cs="仿宋"/>
          <w:sz w:val="28"/>
          <w:szCs w:val="28"/>
        </w:rPr>
        <w:t xml:space="preserve">  违反本办法规定的行为，法律、法规对法律责任已有规定的，从其规定。</w:t>
      </w:r>
    </w:p>
    <w:p w14:paraId="45AC71F4">
      <w:pPr>
        <w:spacing w:line="520" w:lineRule="exact"/>
        <w:ind w:firstLine="560" w:firstLineChars="200"/>
        <w:rPr>
          <w:rFonts w:ascii="仿宋" w:hAnsi="仿宋" w:eastAsia="仿宋" w:cs="仿宋"/>
          <w:sz w:val="28"/>
          <w:szCs w:val="28"/>
        </w:rPr>
      </w:pPr>
      <w:r>
        <w:rPr>
          <w:rFonts w:hint="eastAsia" w:ascii="黑体" w:hAnsi="黑体" w:eastAsia="黑体" w:cs="黑体"/>
          <w:sz w:val="28"/>
          <w:szCs w:val="28"/>
        </w:rPr>
        <w:t xml:space="preserve">第二十七条  </w:t>
      </w:r>
      <w:r>
        <w:rPr>
          <w:rFonts w:hint="eastAsia" w:ascii="仿宋" w:hAnsi="仿宋" w:eastAsia="仿宋" w:cs="仿宋"/>
          <w:sz w:val="28"/>
          <w:szCs w:val="28"/>
        </w:rPr>
        <w:t>违反本办法第十条第三款规定，建设单位隐瞒事实或者提供虚假申请材料的，由发展改革主管部门责令限期改正；逾期不改的，不予受理；已列入重点实施项目或者重点前期项目名单的，由市发展改革主管部门予以撤销。</w:t>
      </w:r>
    </w:p>
    <w:p w14:paraId="364F4F94">
      <w:pPr>
        <w:spacing w:line="520" w:lineRule="exact"/>
        <w:ind w:firstLine="560" w:firstLineChars="200"/>
        <w:rPr>
          <w:rFonts w:ascii="仿宋" w:hAnsi="仿宋" w:eastAsia="仿宋" w:cs="仿宋"/>
          <w:sz w:val="28"/>
          <w:szCs w:val="28"/>
        </w:rPr>
      </w:pPr>
      <w:r>
        <w:rPr>
          <w:rFonts w:hint="eastAsia" w:ascii="黑体" w:hAnsi="黑体" w:eastAsia="黑体" w:cs="黑体"/>
          <w:sz w:val="28"/>
          <w:szCs w:val="28"/>
        </w:rPr>
        <w:t>第二十八条</w:t>
      </w:r>
      <w:r>
        <w:rPr>
          <w:rFonts w:hint="eastAsia" w:ascii="仿宋" w:hAnsi="仿宋" w:eastAsia="仿宋" w:cs="仿宋"/>
          <w:sz w:val="28"/>
          <w:szCs w:val="28"/>
        </w:rPr>
        <w:t xml:space="preserve">  违反本办法第十五条规定，项目管理单位未按规定履行职责的，由市人民政府责令改正；造成严重后果的，对直接负责的主管人员和其他直接责任人员，依法给予处分。</w:t>
      </w:r>
    </w:p>
    <w:p w14:paraId="7C299449">
      <w:pPr>
        <w:spacing w:line="520" w:lineRule="exact"/>
        <w:ind w:firstLine="560" w:firstLineChars="200"/>
        <w:rPr>
          <w:rFonts w:ascii="仿宋" w:hAnsi="仿宋" w:eastAsia="仿宋" w:cs="仿宋"/>
          <w:sz w:val="28"/>
          <w:szCs w:val="28"/>
        </w:rPr>
      </w:pPr>
      <w:r>
        <w:rPr>
          <w:rFonts w:hint="eastAsia" w:ascii="黑体" w:hAnsi="黑体" w:eastAsia="黑体" w:cs="黑体"/>
          <w:sz w:val="28"/>
          <w:szCs w:val="28"/>
        </w:rPr>
        <w:t xml:space="preserve">第二十九条 </w:t>
      </w:r>
      <w:r>
        <w:rPr>
          <w:rFonts w:hint="eastAsia" w:ascii="仿宋" w:hAnsi="仿宋" w:eastAsia="仿宋" w:cs="仿宋"/>
          <w:sz w:val="28"/>
          <w:szCs w:val="28"/>
        </w:rPr>
        <w:t xml:space="preserve"> 违反本办法规定，有关部门及其工作人员、挂职干部、代办经理人等未履行规定职责的，由市人民政府责令改正；严重影响重点建设项目推进工作的，由有权机关按照管理权限给予处分。</w:t>
      </w:r>
    </w:p>
    <w:p w14:paraId="65320235">
      <w:pPr>
        <w:spacing w:line="520" w:lineRule="exact"/>
        <w:jc w:val="center"/>
        <w:rPr>
          <w:rFonts w:ascii="黑体" w:hAnsi="黑体" w:eastAsia="黑体" w:cs="黑体"/>
          <w:sz w:val="28"/>
          <w:szCs w:val="28"/>
        </w:rPr>
      </w:pPr>
    </w:p>
    <w:p w14:paraId="2706CF75">
      <w:pPr>
        <w:spacing w:line="520" w:lineRule="exact"/>
        <w:jc w:val="center"/>
        <w:rPr>
          <w:rFonts w:ascii="黑体" w:hAnsi="黑体" w:eastAsia="黑体" w:cs="黑体"/>
          <w:sz w:val="28"/>
          <w:szCs w:val="28"/>
        </w:rPr>
      </w:pPr>
      <w:r>
        <w:rPr>
          <w:rFonts w:hint="eastAsia" w:ascii="黑体" w:hAnsi="黑体" w:eastAsia="黑体" w:cs="黑体"/>
          <w:sz w:val="28"/>
          <w:szCs w:val="28"/>
        </w:rPr>
        <w:t>第六章  附则</w:t>
      </w:r>
    </w:p>
    <w:p w14:paraId="2EB784C8">
      <w:pPr>
        <w:spacing w:line="520" w:lineRule="exact"/>
        <w:ind w:firstLine="560" w:firstLineChars="200"/>
        <w:rPr>
          <w:rFonts w:hint="eastAsia" w:ascii="仿宋" w:hAnsi="仿宋" w:eastAsia="仿宋" w:cs="仿宋"/>
          <w:sz w:val="28"/>
          <w:szCs w:val="28"/>
        </w:rPr>
      </w:pPr>
      <w:r>
        <w:rPr>
          <w:rFonts w:hint="eastAsia" w:ascii="黑体" w:hAnsi="黑体" w:eastAsia="黑体" w:cs="黑体"/>
          <w:sz w:val="28"/>
          <w:szCs w:val="28"/>
        </w:rPr>
        <w:t>第三十条</w:t>
      </w:r>
      <w:r>
        <w:rPr>
          <w:rFonts w:hint="eastAsia" w:ascii="仿宋" w:hAnsi="仿宋" w:eastAsia="仿宋" w:cs="仿宋"/>
          <w:sz w:val="28"/>
          <w:szCs w:val="28"/>
        </w:rPr>
        <w:t xml:space="preserve">  本办法自2025年  月  日起施行。</w:t>
      </w:r>
    </w:p>
    <w:p w14:paraId="3E18758C">
      <w:pPr>
        <w:spacing w:line="520" w:lineRule="exact"/>
        <w:rPr>
          <w:rFonts w:ascii="仿宋" w:hAnsi="仿宋" w:eastAsia="仿宋" w:cs="仿宋"/>
          <w:sz w:val="28"/>
          <w:szCs w:val="28"/>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6F301">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1BD0CD">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A1BD0CD">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8"/>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DE1B9F"/>
    <w:rsid w:val="001264D9"/>
    <w:rsid w:val="00127C1F"/>
    <w:rsid w:val="00153862"/>
    <w:rsid w:val="002003D7"/>
    <w:rsid w:val="00361A17"/>
    <w:rsid w:val="003760BB"/>
    <w:rsid w:val="00474003"/>
    <w:rsid w:val="00566CE4"/>
    <w:rsid w:val="005B3AF5"/>
    <w:rsid w:val="0060252B"/>
    <w:rsid w:val="00712630"/>
    <w:rsid w:val="00836951"/>
    <w:rsid w:val="00847180"/>
    <w:rsid w:val="00997B45"/>
    <w:rsid w:val="009C6397"/>
    <w:rsid w:val="00C16787"/>
    <w:rsid w:val="00C41570"/>
    <w:rsid w:val="00F14595"/>
    <w:rsid w:val="00F23662"/>
    <w:rsid w:val="00F34F00"/>
    <w:rsid w:val="00FC0346"/>
    <w:rsid w:val="01B6046E"/>
    <w:rsid w:val="079B43A1"/>
    <w:rsid w:val="0B1123B1"/>
    <w:rsid w:val="0B344073"/>
    <w:rsid w:val="0BDE1B9F"/>
    <w:rsid w:val="11CF603B"/>
    <w:rsid w:val="1450631F"/>
    <w:rsid w:val="1537924F"/>
    <w:rsid w:val="155D5C05"/>
    <w:rsid w:val="15C451DE"/>
    <w:rsid w:val="176F4B0E"/>
    <w:rsid w:val="21AD14CA"/>
    <w:rsid w:val="2EC75E50"/>
    <w:rsid w:val="3454154D"/>
    <w:rsid w:val="3511057E"/>
    <w:rsid w:val="377055AA"/>
    <w:rsid w:val="37C7E625"/>
    <w:rsid w:val="3FB4FCE1"/>
    <w:rsid w:val="4562185E"/>
    <w:rsid w:val="475F3D89"/>
    <w:rsid w:val="4EEF1D4F"/>
    <w:rsid w:val="4F1771C0"/>
    <w:rsid w:val="532C3E2B"/>
    <w:rsid w:val="535B3F9E"/>
    <w:rsid w:val="54F58C88"/>
    <w:rsid w:val="55162BFB"/>
    <w:rsid w:val="5AA421CB"/>
    <w:rsid w:val="5E4F97EB"/>
    <w:rsid w:val="5FBDAEBA"/>
    <w:rsid w:val="62BE2B26"/>
    <w:rsid w:val="64656A2B"/>
    <w:rsid w:val="6A834FCD"/>
    <w:rsid w:val="75CB1FD1"/>
    <w:rsid w:val="76384846"/>
    <w:rsid w:val="77B9031C"/>
    <w:rsid w:val="77ED7203"/>
    <w:rsid w:val="77FFECAF"/>
    <w:rsid w:val="7BFDCA3B"/>
    <w:rsid w:val="7DE900E7"/>
    <w:rsid w:val="7E7C1EC0"/>
    <w:rsid w:val="7E9B070D"/>
    <w:rsid w:val="7FFD86E4"/>
    <w:rsid w:val="BF7A6524"/>
    <w:rsid w:val="D09CC6EA"/>
    <w:rsid w:val="D94D59C3"/>
    <w:rsid w:val="DE7D416F"/>
    <w:rsid w:val="EDF8C1B9"/>
    <w:rsid w:val="EF7D3CF9"/>
    <w:rsid w:val="F1CB00AB"/>
    <w:rsid w:val="FF8AE066"/>
    <w:rsid w:val="FFF3C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样式 样式 首行缩进:  2 字符 + 首行缩进:  2 字符"/>
    <w:basedOn w:val="9"/>
    <w:qFormat/>
    <w:uiPriority w:val="0"/>
    <w:pPr>
      <w:spacing w:line="360" w:lineRule="auto"/>
      <w:ind w:firstLine="600"/>
    </w:pPr>
  </w:style>
  <w:style w:type="paragraph" w:customStyle="1" w:styleId="9">
    <w:name w:val="样式 首行缩进:  2 字符"/>
    <w:basedOn w:val="1"/>
    <w:qFormat/>
    <w:uiPriority w:val="0"/>
    <w:pPr>
      <w:ind w:firstLine="560"/>
    </w:pPr>
    <w:rPr>
      <w:rFonts w:cs="宋体"/>
      <w:sz w:val="30"/>
      <w:szCs w:val="20"/>
    </w:rPr>
  </w:style>
  <w:style w:type="paragraph" w:customStyle="1" w:styleId="10">
    <w:name w:val="修订1"/>
    <w:hidden/>
    <w:unhideWhenUsed/>
    <w:qFormat/>
    <w:uiPriority w:val="99"/>
    <w:pPr>
      <w:spacing w:after="160" w:line="278" w:lineRule="auto"/>
    </w:pPr>
    <w:rPr>
      <w:rFonts w:asciiTheme="minorHAnsi" w:hAnsiTheme="minorHAnsi" w:eastAsiaTheme="minorEastAsia" w:cstheme="minorBidi"/>
      <w:kern w:val="2"/>
      <w:sz w:val="21"/>
      <w:szCs w:val="24"/>
      <w:lang w:val="en-US" w:eastAsia="zh-CN" w:bidi="ar-SA"/>
    </w:rPr>
  </w:style>
  <w:style w:type="paragraph" w:customStyle="1" w:styleId="11">
    <w:name w:val="Revision"/>
    <w:hidden/>
    <w:unhideWhenUsed/>
    <w:qFormat/>
    <w:uiPriority w:val="99"/>
    <w:pPr>
      <w:spacing w:after="0" w:line="240" w:lineRule="auto"/>
    </w:pPr>
    <w:rPr>
      <w:rFonts w:asciiTheme="minorHAnsi" w:hAnsiTheme="minorHAnsi" w:eastAsiaTheme="minorEastAsia" w:cstheme="minorBidi"/>
      <w:kern w:val="2"/>
      <w:sz w:val="21"/>
      <w:szCs w:val="24"/>
      <w:lang w:val="en-US" w:eastAsia="zh-CN" w:bidi="ar-SA"/>
    </w:rPr>
  </w:style>
  <w:style w:type="paragraph" w:customStyle="1" w:styleId="12">
    <w:name w:val="through-content"/>
    <w:basedOn w:val="1"/>
    <w:qFormat/>
    <w:uiPriority w:val="0"/>
    <w:pPr>
      <w:widowControl/>
      <w:spacing w:before="100" w:beforeAutospacing="1" w:after="100" w:afterAutospacing="1" w:line="240" w:lineRule="auto"/>
      <w:jc w:val="left"/>
    </w:pPr>
    <w:rPr>
      <w:rFonts w:ascii="宋体" w:hAnsi="宋体" w:eastAsia="宋体" w:cs="宋体"/>
      <w:kern w:val="0"/>
      <w:sz w:val="24"/>
    </w:rPr>
  </w:style>
  <w:style w:type="character" w:customStyle="1" w:styleId="13">
    <w:name w:val="content"/>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浙江海泰律师事务所</Company>
  <Pages>10</Pages>
  <Words>18752</Words>
  <Characters>18789</Characters>
  <Lines>144</Lines>
  <Paragraphs>40</Paragraphs>
  <TotalTime>12</TotalTime>
  <ScaleCrop>false</ScaleCrop>
  <LinksUpToDate>false</LinksUpToDate>
  <CharactersWithSpaces>18939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2025-05-26T10:17:00Z</dcterms:created>
  <dc:creator>ZWU</dc:creator>
  <cp:lastModifiedBy>小菜园</cp:lastModifiedBy>
  <cp:lastPrinted>2025-05-21T00:01:00Z</cp:lastPrinted>
  <dcterms:modified xsi:type="dcterms:W3CDTF">2025-06-04T02:00:46Z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332870382C2B454B913AABEDC714013D_13</vt:lpwstr>
  </property>
  <property fmtid="{D5CDD505-2E9C-101B-9397-08002B2CF9AE}" pid="4" name="KSOTemplateDocerSaveRecord">
    <vt:lpwstr>eyJoZGlkIjoiNjFiNjdmMTBiMzI0ZGFjYzkyMmFmNDMyMDg1YTg5ZDIiLCJ1c2VySWQiOiIxMTczOTUzMTI3In0=</vt:lpwstr>
  </property>
</Properties>
</file>