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《关于进一步推动慈善信托高质量发展的实施意见》起草说明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一、文件制定的背景及必要性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党的二十大报告明确提出“构建初次分配、再分配、第三次分配协调配套的制度体系”，慈善信托作为第三次分配的重要工具，是推动共同富裕示范区建设的关键载体。杭州市作为全国慈善信托高质量发展观察点，亟需通过深化体制机制改革，进一步激发慈善信托活力，提升其在社会财富分配、公益资源整合中的效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当前，我市慈善信托发展仍面临善财体量不足、治理结构待优化、创新动力不足等问题。为落实《中华人民共和国慈善法》《慈善信托管理办法》等法律法规，响应《浙江省高质量发展建设共同富裕示范区实施方案》要求，</w:t>
      </w:r>
      <w:r>
        <w:rPr>
          <w:rFonts w:hint="eastAsia" w:ascii="仿宋" w:hAnsi="仿宋" w:eastAsia="仿宋"/>
          <w:sz w:val="32"/>
          <w:szCs w:val="32"/>
        </w:rPr>
        <w:t>有必要</w:t>
      </w:r>
      <w:r>
        <w:rPr>
          <w:rFonts w:ascii="仿宋" w:hAnsi="仿宋" w:eastAsia="仿宋"/>
          <w:sz w:val="32"/>
          <w:szCs w:val="32"/>
        </w:rPr>
        <w:t>出台专项政策，明确目标路径、强化制度保障、优化监管体系，推动慈善信托从“增量发展”向“量质并重”转型升级，为全国提供可复制的杭州经验。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二、主要依据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《中华人民共和国慈善法》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《浙江省实施〈中华人民共和国慈善法〉办法》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《慈善信托管理办法》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《关于加强监管防范风险推动信托业高质量发展的若干意见》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三、制定程序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</w:t>
      </w:r>
      <w:r>
        <w:rPr>
          <w:rFonts w:ascii="仿宋" w:hAnsi="仿宋" w:eastAsia="仿宋"/>
          <w:sz w:val="32"/>
          <w:szCs w:val="32"/>
        </w:rPr>
        <w:t>成立专项工作组，结合杭州市慈善信托发展现状，围绕政策框架、核心任务、保障机制等开展专题调研，形成初步草案</w:t>
      </w:r>
      <w:r>
        <w:rPr>
          <w:rFonts w:hint="eastAsia" w:ascii="仿宋" w:hAnsi="仿宋" w:eastAsia="仿宋"/>
          <w:sz w:val="32"/>
          <w:szCs w:val="32"/>
        </w:rPr>
        <w:t>，并</w:t>
      </w:r>
      <w:r>
        <w:rPr>
          <w:rFonts w:ascii="仿宋" w:hAnsi="仿宋" w:eastAsia="仿宋"/>
          <w:sz w:val="32"/>
          <w:szCs w:val="32"/>
        </w:rPr>
        <w:t>向各区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县（市）民政部门、金融机构、慈善组织及法律专家征求意见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此后，在杭州市民政局门户网站向社会公开征求意见。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四、文件主要内容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《实施意见》围绕“高质量发展”主线，提出“三大目标”“四项任务”“三项保障”，构建覆盖全链条的政策体系：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ascii="仿宋" w:hAnsi="仿宋" w:eastAsia="仿宋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规模增长目标：至2035年慈善信托备案规模突破25亿元，形成全国领先的善财体量。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监管效能目标：建立数字化全流程监管机制，实现运行数据实时化、支出管理精细化。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创新驱动目标：打造5个以上聚焦共同富裕的慈善信托品牌，强化慈善造血能力。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ascii="仿宋" w:hAnsi="仿宋" w:eastAsia="仿宋"/>
          <w:sz w:val="32"/>
          <w:szCs w:val="32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做大善财体量：通过战略慈善服务团、股权慈善信托等举措，引导企业、高净值人群参与。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科学治理结构：强化委托人意愿管理、受托人专业管理、执行人闭环管理，确保慈善信托规范运行。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创新发展动力：推动“慈善信托+政府主导”“慈善信托+基层治理”等融合模式，探索公益金融创新。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优化外部环境：依托区块链技术完善数字化平台，引入社会监督力量提升公信力。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组织保障：明确民政部门牵头责任，定期召开全市推进会。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宣传引导：通过媒体矩阵、白皮书发布等增强社会认知。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创新激励：鼓励区县（市）探索非现金慈善信托登记、数字化监管等改革试点。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</w:rPr>
        <w:t>过渡期安排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对施行前已备案的慈善信托设置2年过渡期，逐步衔接新规要求，确保政策平稳落地。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EE"/>
    <w:rsid w:val="00020BEE"/>
    <w:rsid w:val="001772D1"/>
    <w:rsid w:val="002D27AF"/>
    <w:rsid w:val="0046275A"/>
    <w:rsid w:val="00553759"/>
    <w:rsid w:val="006244D2"/>
    <w:rsid w:val="00931DC7"/>
    <w:rsid w:val="009A2B4E"/>
    <w:rsid w:val="00EA70DB"/>
    <w:rsid w:val="00FD5636"/>
    <w:rsid w:val="07FA0658"/>
    <w:rsid w:val="DC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</Words>
  <Characters>1171</Characters>
  <Lines>9</Lines>
  <Paragraphs>2</Paragraphs>
  <TotalTime>15</TotalTime>
  <ScaleCrop>false</ScaleCrop>
  <LinksUpToDate>false</LinksUpToDate>
  <CharactersWithSpaces>1374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2025-03-26T10:36:00Z</dcterms:created>
  <dc:creator>kane who</dc:creator>
  <cp:lastModifiedBy>user</cp:lastModifiedBy>
  <dcterms:modified xsi:type="dcterms:W3CDTF">2025-03-26T11:00:30Z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