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pStyle w:val="3"/>
        <w:spacing w:after="0" w:line="660" w:lineRule="exact"/>
        <w:ind w:left="0" w:leftChars="0" w:firstLine="0" w:firstLineChars="0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  <w:highlight w:val="none"/>
          <w:u w:val="none"/>
          <w:lang w:val="en-US" w:eastAsia="zh-CN"/>
        </w:rPr>
        <w:t>关于深化改革创新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  <w:highlight w:val="none"/>
          <w:u w:val="none"/>
          <w:lang w:val="en-US" w:eastAsia="zh-CN"/>
        </w:rPr>
        <w:t>加快推进建筑业高质量发展的若干意见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u w:val="none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征求意见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u w:val="none"/>
        </w:rPr>
        <w:t>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贯彻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落实省委、省政府关于促进建筑业高质量发展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部署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深化改革创新，加快推进建筑业高质量发展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提出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下意见。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</w:rPr>
        <w:t>一、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总体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到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u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u w:val="none"/>
        </w:rPr>
        <w:t>年，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建筑业科技创新体系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得到完善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，智能建造提质扩面，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建筑业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新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质生产力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得到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发展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，企业综合实力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稳步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提升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</w:rPr>
        <w:t>累计培育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</w:rPr>
        <w:t>全国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有影响力龙头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建筑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业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企业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</w:rPr>
        <w:t>家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建筑业“链主”企业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0家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打造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</w:rPr>
        <w:t>住建领域省级科创平台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</w:rPr>
        <w:t>个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建筑业支柱产业地位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得到巩固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  <w:highlight w:val="none"/>
          <w:u w:val="none"/>
        </w:rPr>
        <w:t>到20</w:t>
      </w:r>
      <w:r>
        <w:rPr>
          <w:rFonts w:hint="eastAsia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  <w:highlight w:val="none"/>
          <w:u w:val="none"/>
        </w:rPr>
        <w:t>年，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以智能建造为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重点的建筑业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新质生产力全面推进，建筑业科技创新水平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走在前列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，企业综合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竞争力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显著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增强，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</w:rPr>
        <w:t>累计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培育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</w:rPr>
        <w:t>全国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有影响力龙头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建筑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业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企业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家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建筑业“链主”企业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家，打造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</w:rPr>
        <w:t>住建领域省级科创平台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</w:rPr>
        <w:t>个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建筑业发展质量居全国前列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，打造“浙江建造”升级版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</w:rPr>
        <w:t>、重点任务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2" w:firstLineChars="200"/>
        <w:jc w:val="both"/>
        <w:textAlignment w:val="auto"/>
        <w:rPr>
          <w:rFonts w:hint="eastAsia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（一）实施产业强链推进工程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培育建筑业“链主”企业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加快构建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设计、生产、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施工、运维全产业链协作机制，加强与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设备制造、建筑材料等企业产业协同，打造建筑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全产业链体系。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发挥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“链主”企业引领作用，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建立建筑业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“链主”企业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培育机制，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支持“链主”企业组建产业联合体、创新联合体实施强链补链工程，推动产业链创新链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融合。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开展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建筑业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“十链百场万企”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系列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对接活动，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推进建筑业企业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在技术创新、产品配套、市场开拓、供应链协作等方面融通协作。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鼓励金融机构围绕建筑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业全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产业链，提供全生命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期金融服务。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2" w:firstLineChars="200"/>
        <w:jc w:val="both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推进一流企业建设。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实施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建筑业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“新雁阵”培育计划，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搭建“金字塔型”企业培育梯队，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建立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建筑业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点骨干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企业培育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名录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推进勘察设计企业技术创新、数字赋能，每年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服务企业1000家以上，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培育特级、一级建筑业企业50家以上。各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地可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首次取得施工总承包特级资质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取得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多领域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一级总承包资质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企业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给予奖励。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加快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建筑业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一流企业建设，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健全现代企业制度，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推进企业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技术创新与制度创新“双轮驱动”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完善助企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纾困政策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，重点对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改革发展、转型升级中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遇到困难的骨干企业“输血补气”。围绕推进城市更新，引导建筑业企业积极参与更新建设。</w:t>
      </w:r>
    </w:p>
    <w:p>
      <w:pPr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line="660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3.加大专业领域拓展。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支持建筑业骨干企业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在公路、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港口航道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、水利等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专业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领域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以承诺制方式申请资质，参与工程项目建设，推进企业跨领域发展。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各地可在年度基础设施建设计划中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安排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一定比例项目，支持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建筑业企业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采用联合体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方式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参与投标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竣工验收合格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的联合体项目，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可作为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联合体各方在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资质申报、项目投标的业绩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使用。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60" w:lineRule="exact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加快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“走出去”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发展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完善省外建筑业企业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服务联络点，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依托省外浙江商会建立建筑业分会，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建立省域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交流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合作机制，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引导企业“走出去”。大力拓展境外市场，组织对外投资合作对接、境外国际工程展等活动，为企业“牵线搭桥”。完善海外综合服务体系，为企业出海拓市提供专业服务。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支持省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内建筑业企业申报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援外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资格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参与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国家“两优”、重大援建项目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对符合外经政策条件境外承包工程项目的保函手续费、人员相关境外保险等给予补贴支持。对承建的境外工程，可作为企业业绩用于资质申报、项目投标，可作为个人业绩用于资质申报、个人职称申请。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u w:val="none"/>
          <w:lang w:val="en-US" w:eastAsia="zh-CN"/>
        </w:rPr>
        <w:t>支持境外优质工程纳入省级优质工程认定范围。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2" w:firstLineChars="200"/>
        <w:jc w:val="both"/>
        <w:textAlignment w:val="auto"/>
        <w:rPr>
          <w:rFonts w:hint="eastAsia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（二）实施转型发展协同工程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推进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智能建造提质扩面。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开展智能建造提质扩面三年行动，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健全标准体系，拓展应用场景，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编制评价导则，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强化人才培育，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打造智能建造产业园。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发布智能建造技术产品应用目录，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开展建筑机器人技术标准、建筑产业互联网平台架构等共性标准研究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，培育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省级智能建造试点企业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试点项目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并予以信用激励，试点项目在评优评杯中予以支持。将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智能建造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纳入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首台（套）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重大技术装备产品目录，支持企业开发智能建造装备、建筑机器人产品。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引导高校设立智能建造专业，共同推进校企共建建筑产业实习实训基地。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6.提升建筑工业化质量。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加强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预制构件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等建筑产品质量监管，建立产品质量联合监管机制。</w:t>
      </w:r>
      <w:r>
        <w:rPr>
          <w:rFonts w:hint="eastAsia" w:ascii="Times New Roman" w:hAnsi="Times New Roman" w:eastAsia="仿宋_GB2312" w:cs="Times New Roman"/>
          <w:strike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科学谋划建筑工业化</w:t>
      </w:r>
      <w:r>
        <w:rPr>
          <w:rFonts w:hint="default" w:ascii="Times New Roman" w:hAnsi="Times New Roman" w:eastAsia="仿宋_GB2312" w:cs="Times New Roman"/>
          <w:strike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产业</w:t>
      </w:r>
      <w:r>
        <w:rPr>
          <w:rFonts w:hint="eastAsia" w:ascii="Times New Roman" w:hAnsi="Times New Roman" w:eastAsia="仿宋_GB2312" w:cs="Times New Roman"/>
          <w:strike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基地</w:t>
      </w:r>
      <w:r>
        <w:rPr>
          <w:rFonts w:hint="default" w:ascii="Times New Roman" w:hAnsi="Times New Roman" w:eastAsia="仿宋_GB2312" w:cs="Times New Roman"/>
          <w:strike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布局</w:t>
      </w:r>
      <w:r>
        <w:rPr>
          <w:rFonts w:hint="eastAsia" w:ascii="Times New Roman" w:hAnsi="Times New Roman" w:eastAsia="仿宋_GB2312" w:cs="Times New Roman"/>
          <w:strike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统筹省建筑业碳达峰碳中和奖补资金，支持建筑工业化产业基地和项目建设。推进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模数化、标准化、集成化设计，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完善建筑工业化计价依据。严格落实绿色建筑专项规划，对规划范围内要求实施装配式建造的项目，在项目立项审批、土地出让（或划拨）环节严格把关。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鼓励新建公共建筑采用钢结构装配式建造。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2" w:firstLineChars="200"/>
        <w:jc w:val="both"/>
        <w:textAlignment w:val="auto"/>
        <w:rPr>
          <w:rFonts w:hint="default" w:ascii="Times New Roman" w:hAnsi="Times New Roman" w:eastAsia="楷体_GB2312" w:cs="Times New Roman"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推进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绿色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建筑发展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建立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</w:rPr>
        <w:t>全生命周期绿色建造管理制度体系和技术标准体系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，推动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</w:rPr>
        <w:t>绿色建造关键核心技术攻关和产业化应用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扩大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政府采购支持绿色建材促进建筑品质提升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政策实施范围，对医院、学校、场馆、保障性住房等政府采购工程项目，优先采购和使用符合相关标准的绿色建材。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鼓励金融机构推出绿色金融产品，支持绿色建筑发展。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</w:rPr>
        <w:t>鼓励创建“无废工地”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eastAsia="zh-CN"/>
        </w:rPr>
        <w:t>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</w:rPr>
        <w:t>纳入“无废城市”“无废细胞”评价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eastAsia="zh-CN"/>
        </w:rPr>
        <w:t>，推广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建筑垃圾综合利用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</w:rPr>
        <w:t>，推动施工现场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eastAsia="zh-CN"/>
        </w:rPr>
        <w:t>建筑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</w:rPr>
        <w:t>垃圾减量。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2" w:firstLineChars="200"/>
        <w:jc w:val="both"/>
        <w:textAlignment w:val="auto"/>
        <w:rPr>
          <w:rFonts w:hint="eastAsia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（三）实施科技创新赋能工程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推进企业科技创新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优化省级企业技术中心评价指标体系，开展建筑业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“专精特新”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中小企业培育行动。支持建筑业企业与高校、科研院所开展产学研合作和联合技术攻关，对纳入省“尖兵”“领雁”科技计划项目、省重点实验室给予财政支持。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开展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建设领域科技创新平台建设，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建立新技术、新材料应用技术论证机制，加强建筑业技术示范管理。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深化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数字化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改革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迭代升级“浙里建”系统，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强化“互联网+监管+服务”，推进建筑市场与工程项目审批、工程项目现场管理数字化监管联动。探索建筑信息模型（BIM）技术在工程建设全过程集成应用，研究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BIM建模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交付标准，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试点推进BIM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辅助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报建审批和施工图BIM审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查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。积极推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广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DeepSeek应用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，推进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AI技术融合，培育一批行业级、企业级、项目级建筑产业互联网平台。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2" w:firstLineChars="200"/>
        <w:jc w:val="both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加强人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才队伍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推进工匠学院体系建设，培育省级建设领域工匠学院。持续推进“双提升行动”，提升建筑领域农民工学历技能。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推进建筑业现代化产业学院建设，培育建筑劳务产业园、建筑工人服务园。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将建筑业技能竞赛列入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省级职业技能竞赛。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开展建筑业领域新生代企业家“浙商青蓝接力”工程，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推动建筑业企业家队伍薪火传承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。完善职业技能培训差异化补贴制度，鼓励各地提高建筑领域急需紧缺工种培训补贴标准。全面落实将建筑业高技能人才列入地方高层次人才支持计划，按规定落实各项优惠政策。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line="660" w:lineRule="exact"/>
        <w:ind w:firstLine="642" w:firstLineChars="200"/>
        <w:jc w:val="both"/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（四）实施营商环境优化工程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2" w:firstLineChars="200"/>
        <w:jc w:val="both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11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.深化工程招投标改革。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统筹推进招投标领域治理改革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统一管理体制，统一交易平台，构建全过程全链条监管体系。完善房建市政工程设计、施工、监理招标文件示范文本，优化评标办法。规范“评定分离”，防止因“评定分离”产生的地方保护。加强标后履约监管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项目经理、总监理工程师中标后不得擅自更换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。探索施工合同“网签”。加大招投标违法违规行为打击力度。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12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推进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统一大市场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建设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持续开展破除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市场分割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地方保护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等问题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专项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整治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，清理废除妨碍统一市场和公平竞争的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规章制度，积极建设统一大市场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加强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外进浙企业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管理。</w:t>
      </w:r>
      <w:r>
        <w:rPr>
          <w:rFonts w:hint="eastAsia" w:ascii="Times New Roman" w:hAnsi="Times New Roman" w:eastAsia="仿宋_GB2312" w:cs="Times New Roman"/>
          <w:strike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健全建筑业总产值“在地统计”制度。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推进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建筑业预防性合规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体系建设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编制企业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合规指引，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提升增值服务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2" w:firstLineChars="200"/>
        <w:jc w:val="both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13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健全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信用体系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建设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建立健全建筑施工、勘察设计、工程监理、招标代理、工程造价等企业信用评价机制，加快建立工程建设类注册执业资格人员信用档案。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严格省市县三级信用审核机制，信用评价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结果全面应用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招投标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领域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加强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建筑市场信用信息归集共享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，实施信用差异化监管和评价，对信用优良企业开辟“绿色通道”。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60" w:lineRule="exact"/>
        <w:ind w:firstLine="642" w:firstLineChars="200"/>
        <w:jc w:val="left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14.规范工程价款结算。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规范建设单位执行工程预付款、工资款、进度款和竣工结算制度，不得将未完成结算审计作为工程延期结算、拖欠工程款理由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不得强制或变相强制以审计机关审计结果作为工程价款结算依据。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加强工程造价咨询企业管理，规范审价行为。推行工程无争议价款先行结算支付制度。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2" w:firstLineChars="200"/>
        <w:jc w:val="both"/>
        <w:textAlignment w:val="auto"/>
        <w:rPr>
          <w:rFonts w:hint="eastAsia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（五）实施行业支撑保障工程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60" w:lineRule="exact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15.加强金融支持。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鼓励银行机构创新符合建筑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企业特点的供应链金融产品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帮助企业优化债务结构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推动贷款期限与建筑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企业经营周期匹配。引导银行机构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结合市场环境合理确定信用评级，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在风险可控前提下加强建筑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企业融资保障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，对生产经营正常、资金流动性暂时遇到困难的骨干企业不得盲目抽贷、压贷。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立建筑业企业转贷资金管理制度。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优化“无还本续贷”政策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支持建筑业中小企业发展。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60" w:lineRule="exact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16.减轻企业负担。</w:t>
      </w: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细化施工总承包企业“一市一账户，全市通用”农民工工资专用账户管理和农民工工资保证金差异化缴存制度，简化农民工工资专用账户开销户手续。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深化建设工程领域保险、保函替代保证金改革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将安责险列入建筑工程安全文明施工措施费，不得作为竞争性费用。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鼓励合理降低建设工程质量保证金预留比例，工程项目已提供履约担保或竣工前已缴纳履约保证金的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建设单位可不再预留工程质量保证金。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加力推进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清理拖欠企业账款工作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，增加政府专项债券用于清理拖欠工程款等欠款。国有企业带头发挥清欠作用，对拖欠建筑业企业账款做到“应付快付、应付尽付”。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  <w:lang w:val="en-US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</w:rPr>
        <w:t>、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组织实施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eastAsia="zh-CN" w:bidi="ar"/>
        </w:rPr>
        <w:t>各地、各部门要建立健全建筑业高质量发展统筹协调机制，全面落实民营企业座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eastAsia="zh-CN" w:bidi="ar"/>
        </w:rPr>
        <w:t>谈会精神，持续优化建筑业发展环境，大力弘扬“六干”作风，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抓实抓好各项工作，不断提升建筑品质和企业质量，为奋力谱写中国式现代化浙江新篇章作出建筑业更大贡献。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5207F"/>
    <w:rsid w:val="3075207F"/>
    <w:rsid w:val="6FFBFC6E"/>
    <w:rsid w:val="D7ED38B0"/>
    <w:rsid w:val="DF5E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left="0" w:leftChars="0" w:firstLine="420"/>
    </w:pPr>
    <w:rPr>
      <w:rFonts w:asci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2025-03-13T21:38:00Z</dcterms:created>
  <dc:creator>‍‍‍Tina&amp;Tia</dc:creator>
  <cp:lastModifiedBy>user</cp:lastModifiedBy>
  <dcterms:modified xsi:type="dcterms:W3CDTF">2025-03-13T17:25:48Z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5E9CD9EF5FBF44798CE90E2244C61816_11</vt:lpwstr>
  </property>
  <property fmtid="{D5CDD505-2E9C-101B-9397-08002B2CF9AE}" pid="4" name="KSOTemplateDocerSaveRecord">
    <vt:lpwstr>eyJoZGlkIjoiMmJkY2RhODNlOTg4YzQxM2Q5M2U5ZjYyMjU0MjUxN2UiLCJ1c2VySWQiOiI2MDA5MTA0NzMifQ==</vt:lpwstr>
  </property>
</Properties>
</file>