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C7C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</w:rPr>
        <w:t>关于调整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  <w:t>东沙镇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</w:rPr>
        <w:t>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</w:rPr>
        <w:t>个乡镇综合行政执法事项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  <w:t>的公告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》</w:t>
      </w:r>
    </w:p>
    <w:p w14:paraId="1C0FC21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起草说明</w:t>
      </w:r>
    </w:p>
    <w:p w14:paraId="5668C75E">
      <w:pPr>
        <w:pStyle w:val="2"/>
        <w:spacing w:after="0" w:line="600" w:lineRule="exact"/>
        <w:jc w:val="center"/>
      </w:pPr>
    </w:p>
    <w:p w14:paraId="6DF3552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起草背景</w:t>
      </w:r>
    </w:p>
    <w:p w14:paraId="34D8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为纵深推进“大综合一体化”行政执法改革，提升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赋权事项的精准性，根据各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对事项调整的申请，全面评估了赋权事项实施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发现在实际运行中，有部分事项乡镇不适宜承接，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同时依据法律立改废的相关情况，决定对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开展事项调整工作，主要围绕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实际执法需求和承接能力两个维度，选择迫切需要且高频多发、易发现易处置、专业要求适宜，并能凸显区域特色、产业结构的行政执法事项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关于调整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东沙镇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个乡镇综合行政执法事项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征求意见稿）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2EDB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二、起草过程</w:t>
      </w:r>
    </w:p>
    <w:p w14:paraId="2E3D6809">
      <w:pPr>
        <w:pStyle w:val="2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根据《中华人民共和国行政处罚法》《浙江省综合行政执法条例》及《浙江省人民政府办公厅关于推进乡镇（街道）综合行政执法工作的通知》（浙政办发〔2021〕51号）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等有关文件要求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，结合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东沙镇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等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woUserID w:val="1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乡镇赋权后实际运行情况，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实地分发问卷调查，多次召集相关部门研究讨论赋权事项调整，并听取相关的意见和建议。</w:t>
      </w:r>
    </w:p>
    <w:p w14:paraId="780E6F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主要内容</w:t>
      </w:r>
    </w:p>
    <w:p w14:paraId="64A1564C">
      <w:pPr>
        <w:pStyle w:val="2"/>
        <w:spacing w:after="0" w:line="600" w:lineRule="exact"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东沙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镇综合行政执法事项，其中保留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项，收回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项，取消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项，新增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项，调整后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东沙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镇在其行政区域内以自身名义行使公安、建设、水利、生态环境、农业农村、消防救援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6个领域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28项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30555417">
      <w:pPr>
        <w:pStyle w:val="2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岱西镇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保留26项，收回182项，取消37项，新增2项，调整后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岱西镇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在其行政区域内以自身名义行使公安、民宗、建设、水利、生态环境、农业农村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6个领域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28项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632DF385">
      <w:pPr>
        <w:pStyle w:val="2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岱东镇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保留23项，收回168项，取消17项，新增10项，调整后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岱东镇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在其行政区域内以自身名义行使公安、建设、林业、水利、生态环境、农业农村、消防救援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7个领域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33项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31978407">
      <w:pPr>
        <w:pStyle w:val="2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长涂镇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其中保留18项，收回62项，取消17项，新增11项，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长涂镇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在其行政区域内以自身名义行使建设、生态环境、公安、水利、农业农村、消防救援等6个领域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29项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5A28BBE7">
      <w:pPr>
        <w:pStyle w:val="2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秀山乡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保留21项，收回480项，取消143项，新增11项，调整后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秀山乡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在其行政区域内以自身名义行使建设、生态环境、消防救援、公安、水利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5个领域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32项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127EA784">
      <w:pPr>
        <w:pStyle w:val="2"/>
        <w:spacing w:after="0" w:line="600" w:lineRule="exact"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衢山镇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综合行政执法事项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其中保留15项，收回65项，取消17项，新增19项，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调整后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衢山镇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在其行政区域内以自身名义行使公安、生态环境、建设、农业农村、林业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消防救援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民宗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7个领域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34项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法律、法规、规章规定的全部或部分行政处罚权。</w:t>
      </w:r>
    </w:p>
    <w:p w14:paraId="7450EE79">
      <w:pPr>
        <w:pStyle w:val="2"/>
        <w:numPr>
          <w:numId w:val="0"/>
        </w:numPr>
        <w:rPr>
          <w:rFonts w:hint="eastAsia"/>
        </w:rPr>
      </w:pPr>
    </w:p>
    <w:p w14:paraId="1C5CF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E0361"/>
    <w:multiLevelType w:val="singleLevel"/>
    <w:tmpl w:val="AEBE03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GRlMjBlMzc4MWFjOGUwYjcwZTI5Nzg5NTliMDQifQ=="/>
  </w:docVars>
  <w:rsids>
    <w:rsidRoot w:val="7443294C"/>
    <w:rsid w:val="744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2025-01-24T00:48:00Z</dcterms:created>
  <dc:creator>虞涵</dc:creator>
  <cp:lastModifiedBy>虞涵</cp:lastModifiedBy>
  <dcterms:modified xsi:type="dcterms:W3CDTF">2025-01-24T01:07:54Z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9072ED46BA1E465EAAB31C9BD2EECA65_11</vt:lpwstr>
  </property>
</Properties>
</file>