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F89D4">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14:paraId="72216D16">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嘉兴市新型研发机构管理办法</w:t>
      </w:r>
    </w:p>
    <w:p w14:paraId="0BC26770">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0" w:after="0" w:afterLines="0" w:line="560" w:lineRule="exact"/>
        <w:jc w:val="center"/>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14:paraId="46E2D5B9">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880" w:firstLineChars="200"/>
        <w:jc w:val="center"/>
        <w:textAlignment w:val="auto"/>
        <w:outlineLvl w:val="9"/>
        <w:rPr>
          <w:rFonts w:hint="eastAsia" w:ascii="方正小标宋简体" w:hAnsi="方正小标宋简体" w:eastAsia="方正小标宋简体" w:cs="方正小标宋简体"/>
          <w:sz w:val="44"/>
          <w:szCs w:val="44"/>
          <w:lang w:val="en-US" w:eastAsia="zh-CN"/>
        </w:rPr>
      </w:pPr>
    </w:p>
    <w:p w14:paraId="5F9700F5">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14:paraId="6C3AB1AF">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640" w:firstLineChars="200"/>
        <w:jc w:val="both"/>
        <w:textAlignment w:val="auto"/>
        <w:outlineLvl w:val="9"/>
        <w:rPr>
          <w:rFonts w:hint="eastAsia" w:ascii="仿宋_GB2312" w:eastAsia="仿宋_GB2312"/>
          <w:sz w:val="32"/>
          <w:szCs w:val="32"/>
          <w:lang w:val="en-US" w:eastAsia="zh-CN"/>
        </w:rPr>
      </w:pPr>
      <w:r>
        <w:rPr>
          <w:rFonts w:hint="eastAsia" w:ascii="黑体" w:hAnsi="黑体" w:eastAsia="黑体" w:cs="黑体"/>
          <w:b w:val="0"/>
          <w:bCs w:val="0"/>
          <w:sz w:val="32"/>
          <w:szCs w:val="32"/>
          <w:lang w:val="en-US" w:eastAsia="zh-CN"/>
        </w:rPr>
        <w:t>第一条</w:t>
      </w:r>
      <w:r>
        <w:rPr>
          <w:rFonts w:hint="eastAsia" w:ascii="仿宋_GB2312" w:eastAsia="仿宋_GB2312"/>
          <w:sz w:val="32"/>
          <w:szCs w:val="32"/>
          <w:lang w:val="en-US" w:eastAsia="zh-CN"/>
        </w:rPr>
        <w:t xml:space="preserve"> 为深入贯彻落实《科技部关于促进新型研发机构发展的指导意见》（国科发政〔2019〕313号）《浙江省人民政府办公厅关于加快建设高水平新型研发机构的若干意见》（浙政办发〔2020〕34号）《</w:t>
      </w:r>
      <w:r>
        <w:rPr>
          <w:rFonts w:hint="eastAsia" w:ascii="仿宋_GB2312" w:eastAsia="仿宋_GB2312"/>
          <w:sz w:val="32"/>
          <w:szCs w:val="32"/>
        </w:rPr>
        <w:t>嘉兴市人民政府办公室关于促进新型研发机构高质量发展的意见</w:t>
      </w:r>
      <w:r>
        <w:rPr>
          <w:rFonts w:hint="eastAsia" w:ascii="仿宋_GB2312" w:eastAsia="仿宋_GB2312"/>
          <w:sz w:val="32"/>
          <w:szCs w:val="32"/>
          <w:lang w:val="en-US" w:eastAsia="zh-CN"/>
        </w:rPr>
        <w:t>》（</w:t>
      </w:r>
      <w:r>
        <w:rPr>
          <w:rFonts w:hint="eastAsia" w:ascii="仿宋_GB2312" w:eastAsia="仿宋_GB2312"/>
          <w:sz w:val="32"/>
          <w:szCs w:val="32"/>
        </w:rPr>
        <w:t>嘉政办发〔2024〕6号</w:t>
      </w:r>
      <w:r>
        <w:rPr>
          <w:rFonts w:hint="eastAsia" w:ascii="仿宋_GB2312" w:eastAsia="仿宋_GB2312"/>
          <w:sz w:val="32"/>
          <w:szCs w:val="32"/>
          <w:lang w:val="en-US" w:eastAsia="zh-CN"/>
        </w:rPr>
        <w:t xml:space="preserve">）等文件精神，进一步提升全市新型研发机构建设发展质效，为全面建设高水平创新型城市提供有力平台支撑，结合我市实际，制定本办法。 </w:t>
      </w:r>
    </w:p>
    <w:p w14:paraId="43E8068A">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640" w:firstLineChars="200"/>
        <w:jc w:val="both"/>
        <w:textAlignment w:val="auto"/>
        <w:outlineLvl w:val="9"/>
        <w:rPr>
          <w:rFonts w:hint="eastAsia" w:ascii="仿宋_GB2312" w:eastAsia="仿宋_GB2312"/>
          <w:sz w:val="32"/>
          <w:szCs w:val="32"/>
          <w:lang w:val="en-US" w:eastAsia="zh-CN"/>
        </w:rPr>
      </w:pPr>
      <w:r>
        <w:rPr>
          <w:rFonts w:hint="eastAsia" w:ascii="黑体" w:hAnsi="黑体" w:eastAsia="黑体" w:cs="黑体"/>
          <w:b w:val="0"/>
          <w:bCs w:val="0"/>
          <w:sz w:val="32"/>
          <w:szCs w:val="32"/>
          <w:lang w:val="en-US" w:eastAsia="zh-CN"/>
        </w:rPr>
        <w:t>第二条</w:t>
      </w:r>
      <w:r>
        <w:rPr>
          <w:rFonts w:hint="eastAsia" w:ascii="仿宋_GB2312" w:eastAsia="仿宋_GB2312"/>
          <w:sz w:val="32"/>
          <w:szCs w:val="32"/>
          <w:lang w:val="en-US" w:eastAsia="zh-CN"/>
        </w:rPr>
        <w:t xml:space="preserve"> 本办法所称新型研发机构是指聚焦我市传统产业优化、新兴产业壮大和未来产业布局方向，主要从事科学研究、技术创新、研发服务、成果转化，投资主体多元化、运行机制市场化、管理制度现代化、用人机制灵活的独立法人机构，可依法注册为事业单位、科技类民办非企业单位和企业。</w:t>
      </w:r>
    </w:p>
    <w:p w14:paraId="392FA68B">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640" w:firstLineChars="200"/>
        <w:jc w:val="both"/>
        <w:textAlignment w:val="auto"/>
        <w:outlineLvl w:val="9"/>
        <w:rPr>
          <w:rFonts w:hint="default" w:ascii="仿宋_GB2312" w:eastAsia="仿宋_GB2312"/>
          <w:sz w:val="32"/>
          <w:szCs w:val="32"/>
          <w:lang w:val="en-US" w:eastAsia="zh-CN"/>
        </w:rPr>
      </w:pPr>
      <w:r>
        <w:rPr>
          <w:rFonts w:hint="eastAsia" w:ascii="黑体" w:hAnsi="黑体" w:eastAsia="黑体" w:cs="黑体"/>
          <w:b w:val="0"/>
          <w:bCs w:val="0"/>
          <w:sz w:val="32"/>
          <w:szCs w:val="32"/>
          <w:lang w:val="en-US" w:eastAsia="zh-CN"/>
        </w:rPr>
        <w:t>第三条</w:t>
      </w:r>
      <w:r>
        <w:rPr>
          <w:rFonts w:hint="eastAsia" w:ascii="仿宋_GB2312" w:eastAsia="仿宋_GB2312"/>
          <w:b w:val="0"/>
          <w:bCs w:val="0"/>
          <w:sz w:val="32"/>
          <w:szCs w:val="32"/>
          <w:lang w:val="en-US" w:eastAsia="zh-CN"/>
        </w:rPr>
        <w:t xml:space="preserve"> 新型研发机构应坚持“为用而研、研而有用”价值导向，以赋能产业创新发展为主要功能定位，不断提升技术供给水平，促进科技成果转化应用，加快推动教育科技人才一体发展，强化科技创新和产业创新深度融合，助推新质生产力发展。</w:t>
      </w:r>
    </w:p>
    <w:p w14:paraId="7664AE9A">
      <w:pPr>
        <w:keepNext w:val="0"/>
        <w:keepLines w:val="0"/>
        <w:pageBreakBefore w:val="0"/>
        <w:widowControl w:val="0"/>
        <w:numPr>
          <w:ilvl w:val="-1"/>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outlineLvl w:val="9"/>
        <w:rPr>
          <w:rFonts w:hint="eastAsia" w:ascii="仿宋_GB2312" w:eastAsia="仿宋_GB2312"/>
          <w:b w:val="0"/>
          <w:bCs w:val="0"/>
          <w:sz w:val="32"/>
          <w:szCs w:val="32"/>
          <w:lang w:val="en-US" w:eastAsia="zh-CN"/>
        </w:rPr>
      </w:pPr>
      <w:r>
        <w:rPr>
          <w:rFonts w:hint="eastAsia" w:ascii="黑体" w:hAnsi="黑体" w:eastAsia="黑体" w:cs="黑体"/>
          <w:b w:val="0"/>
          <w:bCs w:val="0"/>
          <w:sz w:val="32"/>
          <w:szCs w:val="32"/>
          <w:lang w:val="en-US" w:eastAsia="zh-CN"/>
        </w:rPr>
        <w:t>第四条</w:t>
      </w:r>
      <w:r>
        <w:rPr>
          <w:rFonts w:hint="eastAsia" w:ascii="仿宋_GB2312" w:eastAsia="仿宋_GB2312"/>
          <w:b w:val="0"/>
          <w:bCs w:val="0"/>
          <w:sz w:val="32"/>
          <w:szCs w:val="32"/>
          <w:lang w:val="en-US" w:eastAsia="zh-CN"/>
        </w:rPr>
        <w:t xml:space="preserve"> 新型研发机构遵循“分类建设、列统管理、动态调整”的管理原则。嘉兴市科学技术局（以下简称“市科技局”）负责统筹指导全市新型研发机构建设，组织开展</w:t>
      </w:r>
      <w:r>
        <w:rPr>
          <w:rFonts w:hint="eastAsia" w:ascii="仿宋_GB2312" w:eastAsia="仿宋_GB2312"/>
          <w:sz w:val="32"/>
          <w:szCs w:val="32"/>
          <w:lang w:val="en-US" w:eastAsia="zh-CN"/>
        </w:rPr>
        <w:t>“嘉兴市新型研发机构”列统、评价、监督等工作</w:t>
      </w:r>
      <w:r>
        <w:rPr>
          <w:rFonts w:hint="eastAsia" w:ascii="仿宋_GB2312" w:eastAsia="仿宋_GB2312"/>
          <w:b w:val="0"/>
          <w:bCs w:val="0"/>
          <w:sz w:val="32"/>
          <w:szCs w:val="32"/>
          <w:lang w:val="en-US" w:eastAsia="zh-CN"/>
        </w:rPr>
        <w:t>。</w:t>
      </w:r>
      <w:r>
        <w:rPr>
          <w:rFonts w:hint="eastAsia" w:ascii="仿宋_GB2312" w:eastAsia="仿宋_GB2312"/>
          <w:sz w:val="32"/>
          <w:szCs w:val="32"/>
          <w:lang w:val="en-US" w:eastAsia="zh-CN"/>
        </w:rPr>
        <w:t>各县（市、区）科技行政主管部门负责本地区新型研发机构的培育、支持和跟踪管理工作</w:t>
      </w:r>
      <w:r>
        <w:rPr>
          <w:rFonts w:hint="eastAsia" w:ascii="仿宋_GB2312" w:eastAsia="仿宋_GB2312"/>
          <w:b w:val="0"/>
          <w:bCs w:val="0"/>
          <w:sz w:val="32"/>
          <w:szCs w:val="32"/>
          <w:lang w:val="en-US" w:eastAsia="zh-CN"/>
        </w:rPr>
        <w:t>。</w:t>
      </w:r>
    </w:p>
    <w:p w14:paraId="7E6D57B7">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jc w:val="center"/>
        <w:textAlignment w:val="auto"/>
        <w:outlineLvl w:val="9"/>
        <w:rPr>
          <w:rFonts w:hint="eastAsia" w:ascii="黑体" w:hAnsi="黑体" w:eastAsia="黑体" w:cs="黑体"/>
          <w:sz w:val="32"/>
          <w:szCs w:val="32"/>
          <w:lang w:val="en-US" w:eastAsia="zh-CN"/>
        </w:rPr>
      </w:pPr>
    </w:p>
    <w:p w14:paraId="728C330F">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jc w:val="center"/>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第二章　 分类建设</w:t>
      </w:r>
    </w:p>
    <w:p w14:paraId="15D91F0B">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640" w:firstLineChars="200"/>
        <w:jc w:val="both"/>
        <w:textAlignment w:val="auto"/>
        <w:outlineLvl w:val="9"/>
        <w:rPr>
          <w:rFonts w:hint="eastAsia" w:ascii="仿宋_GB2312" w:eastAsia="仿宋_GB2312"/>
          <w:b w:val="0"/>
          <w:bCs w:val="0"/>
          <w:sz w:val="32"/>
          <w:szCs w:val="32"/>
          <w:highlight w:val="none"/>
          <w:lang w:val="en-US" w:eastAsia="zh-CN"/>
        </w:rPr>
      </w:pPr>
      <w:r>
        <w:rPr>
          <w:rFonts w:hint="eastAsia" w:ascii="黑体" w:hAnsi="黑体" w:eastAsia="黑体" w:cs="黑体"/>
          <w:b w:val="0"/>
          <w:bCs w:val="0"/>
          <w:sz w:val="32"/>
          <w:szCs w:val="32"/>
          <w:lang w:val="en-US" w:eastAsia="zh-CN"/>
        </w:rPr>
        <w:t>第五条</w:t>
      </w:r>
      <w:r>
        <w:rPr>
          <w:rFonts w:hint="eastAsia" w:ascii="仿宋_GB2312" w:eastAsia="仿宋_GB2312"/>
          <w:b w:val="0"/>
          <w:bCs w:val="0"/>
          <w:sz w:val="32"/>
          <w:szCs w:val="32"/>
          <w:lang w:val="en-US" w:eastAsia="zh-CN"/>
        </w:rPr>
        <w:t xml:space="preserve"> </w:t>
      </w:r>
      <w:r>
        <w:rPr>
          <w:rFonts w:hint="eastAsia" w:ascii="仿宋_GB2312" w:eastAsia="仿宋_GB2312"/>
          <w:sz w:val="32"/>
          <w:szCs w:val="32"/>
          <w:highlight w:val="none"/>
          <w:lang w:val="en-US" w:eastAsia="zh-CN"/>
        </w:rPr>
        <w:t>根据建设模式，新型研发机构</w:t>
      </w:r>
      <w:r>
        <w:rPr>
          <w:rFonts w:hint="eastAsia" w:ascii="仿宋_GB2312" w:eastAsia="仿宋_GB2312"/>
          <w:b w:val="0"/>
          <w:bCs w:val="0"/>
          <w:sz w:val="32"/>
          <w:szCs w:val="32"/>
          <w:highlight w:val="none"/>
          <w:lang w:val="en-US" w:eastAsia="zh-CN"/>
        </w:rPr>
        <w:t>分为合作共建类、独立法人企业类两类。合作共建类是指由政府或政府派出机构与大院名校等签约共建的新型科研机构；独立法人企业类是指企业牵头建立以市场需求为导向的新型科研机构。</w:t>
      </w:r>
    </w:p>
    <w:p w14:paraId="0DA336C7">
      <w:pPr>
        <w:keepNext w:val="0"/>
        <w:keepLines w:val="0"/>
        <w:pageBreakBefore w:val="0"/>
        <w:widowControl w:val="0"/>
        <w:numPr>
          <w:ilvl w:val="-1"/>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outlineLvl w:val="9"/>
        <w:rPr>
          <w:rFonts w:hint="default" w:ascii="仿宋_GB2312" w:eastAsia="仿宋_GB2312"/>
          <w:sz w:val="32"/>
          <w:szCs w:val="32"/>
          <w:lang w:val="en-US" w:eastAsia="zh-CN"/>
        </w:rPr>
      </w:pPr>
      <w:r>
        <w:rPr>
          <w:rFonts w:hint="eastAsia" w:ascii="黑体" w:hAnsi="黑体" w:eastAsia="黑体" w:cs="黑体"/>
          <w:b w:val="0"/>
          <w:bCs w:val="0"/>
          <w:sz w:val="32"/>
          <w:szCs w:val="32"/>
          <w:lang w:val="en-US" w:eastAsia="zh-CN"/>
        </w:rPr>
        <w:t xml:space="preserve">第六条 </w:t>
      </w:r>
      <w:r>
        <w:rPr>
          <w:rFonts w:hint="eastAsia" w:ascii="仿宋_GB2312" w:eastAsia="仿宋_GB2312"/>
          <w:b w:val="0"/>
          <w:bCs w:val="0"/>
          <w:sz w:val="32"/>
          <w:szCs w:val="32"/>
          <w:lang w:val="en-US" w:eastAsia="zh-CN"/>
        </w:rPr>
        <w:t>合作共建类新型研发机构</w:t>
      </w:r>
      <w:r>
        <w:rPr>
          <w:rFonts w:hint="eastAsia" w:ascii="仿宋_GB2312" w:eastAsia="仿宋_GB2312"/>
          <w:sz w:val="32"/>
          <w:szCs w:val="32"/>
          <w:lang w:val="en-US" w:eastAsia="zh-CN"/>
        </w:rPr>
        <w:t>原则上应符合以下条件：</w:t>
      </w:r>
    </w:p>
    <w:p w14:paraId="6D1C0273">
      <w:pPr>
        <w:keepNext w:val="0"/>
        <w:keepLines w:val="0"/>
        <w:pageBreakBefore w:val="0"/>
        <w:widowControl w:val="0"/>
        <w:numPr>
          <w:ilvl w:val="-1"/>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outlineLvl w:val="9"/>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（一）具有明确的共建主体，其中非</w:t>
      </w:r>
      <w:r>
        <w:rPr>
          <w:rFonts w:hint="eastAsia" w:ascii="仿宋_GB2312" w:eastAsia="仿宋_GB2312"/>
          <w:sz w:val="32"/>
          <w:szCs w:val="32"/>
        </w:rPr>
        <w:t>政府</w:t>
      </w:r>
      <w:r>
        <w:rPr>
          <w:rFonts w:hint="eastAsia" w:ascii="仿宋_GB2312" w:eastAsia="仿宋_GB2312"/>
          <w:sz w:val="32"/>
          <w:szCs w:val="32"/>
          <w:lang w:val="en-US" w:eastAsia="zh-CN"/>
        </w:rPr>
        <w:t>方的</w:t>
      </w:r>
      <w:r>
        <w:rPr>
          <w:rFonts w:hint="eastAsia" w:ascii="仿宋_GB2312" w:eastAsia="仿宋_GB2312"/>
          <w:sz w:val="32"/>
          <w:szCs w:val="32"/>
        </w:rPr>
        <w:t>共建</w:t>
      </w:r>
      <w:r>
        <w:rPr>
          <w:rFonts w:hint="eastAsia" w:ascii="仿宋_GB2312" w:eastAsia="仿宋_GB2312"/>
          <w:sz w:val="32"/>
          <w:szCs w:val="32"/>
          <w:lang w:val="en-US" w:eastAsia="zh-CN"/>
        </w:rPr>
        <w:t>主体应具有国内外领先的创新资源和研发实力</w:t>
      </w:r>
      <w:r>
        <w:rPr>
          <w:rFonts w:hint="eastAsia" w:ascii="仿宋_GB2312" w:eastAsia="仿宋_GB2312"/>
          <w:sz w:val="32"/>
          <w:szCs w:val="32"/>
          <w:lang w:eastAsia="zh-CN"/>
        </w:rPr>
        <w:t>。</w:t>
      </w:r>
    </w:p>
    <w:p w14:paraId="26FD467F">
      <w:pPr>
        <w:keepNext w:val="0"/>
        <w:keepLines w:val="0"/>
        <w:pageBreakBefore w:val="0"/>
        <w:widowControl w:val="0"/>
        <w:numPr>
          <w:ilvl w:val="-1"/>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outlineLvl w:val="9"/>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（二）具备组织开展科研攻关、推进成果转化、整合创新资源等能力，研究领域符合我市产业发展方向，对提升区域创新能力有较大推动作用。</w:t>
      </w:r>
    </w:p>
    <w:p w14:paraId="5E85B1C2">
      <w:pPr>
        <w:keepNext w:val="0"/>
        <w:keepLines w:val="0"/>
        <w:pageBreakBefore w:val="0"/>
        <w:widowControl w:val="0"/>
        <w:numPr>
          <w:ilvl w:val="-1"/>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outlineLvl w:val="9"/>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（三）具有完善的管理运行机制，探索以实现自我造血功能为导向的发展模式。</w:t>
      </w:r>
    </w:p>
    <w:p w14:paraId="151992BA">
      <w:pPr>
        <w:keepNext w:val="0"/>
        <w:keepLines w:val="0"/>
        <w:pageBreakBefore w:val="0"/>
        <w:widowControl w:val="0"/>
        <w:numPr>
          <w:ilvl w:val="-1"/>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outlineLvl w:val="9"/>
        <w:rPr>
          <w:rFonts w:hint="eastAsia" w:ascii="仿宋_GB2312" w:eastAsia="仿宋_GB2312"/>
          <w:b w:val="0"/>
          <w:bCs w:val="0"/>
          <w:sz w:val="32"/>
          <w:szCs w:val="32"/>
          <w:lang w:val="en-US" w:eastAsia="zh-CN"/>
        </w:rPr>
      </w:pPr>
      <w:r>
        <w:rPr>
          <w:rFonts w:hint="eastAsia" w:ascii="黑体" w:hAnsi="黑体" w:eastAsia="黑体" w:cs="黑体"/>
          <w:b w:val="0"/>
          <w:bCs w:val="0"/>
          <w:sz w:val="32"/>
          <w:szCs w:val="32"/>
          <w:lang w:val="en-US" w:eastAsia="zh-CN"/>
        </w:rPr>
        <w:t xml:space="preserve">第七条 </w:t>
      </w:r>
      <w:r>
        <w:rPr>
          <w:rFonts w:hint="eastAsia" w:ascii="仿宋_GB2312" w:eastAsia="仿宋_GB2312"/>
          <w:b w:val="0"/>
          <w:bCs w:val="0"/>
          <w:sz w:val="32"/>
          <w:szCs w:val="32"/>
          <w:lang w:val="en-US" w:eastAsia="zh-CN"/>
        </w:rPr>
        <w:t>合作共建类新型研发机新建应履行以下程序：</w:t>
      </w:r>
    </w:p>
    <w:p w14:paraId="24943ED4">
      <w:pPr>
        <w:keepNext w:val="0"/>
        <w:keepLines w:val="0"/>
        <w:pageBreakBefore w:val="0"/>
        <w:widowControl w:val="0"/>
        <w:numPr>
          <w:ilvl w:val="-1"/>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outlineLvl w:val="9"/>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（一）制定方案。立足地方产业发展实际，与共建方开展对接洽谈，</w:t>
      </w:r>
      <w:r>
        <w:rPr>
          <w:rFonts w:hint="eastAsia" w:ascii="仿宋_GB2312" w:eastAsia="仿宋_GB2312"/>
          <w:sz w:val="32"/>
          <w:szCs w:val="32"/>
        </w:rPr>
        <w:t>明确建设目标、组织架构、投入模式、经费预算、进度安排、考核指标等</w:t>
      </w:r>
      <w:r>
        <w:rPr>
          <w:rFonts w:hint="eastAsia" w:ascii="仿宋_GB2312" w:eastAsia="仿宋_GB2312"/>
          <w:sz w:val="32"/>
          <w:szCs w:val="32"/>
          <w:lang w:val="en-US" w:eastAsia="zh-CN"/>
        </w:rPr>
        <w:t>内容</w:t>
      </w:r>
      <w:r>
        <w:rPr>
          <w:rFonts w:hint="eastAsia" w:ascii="仿宋_GB2312" w:eastAsia="仿宋_GB2312"/>
          <w:sz w:val="32"/>
          <w:szCs w:val="32"/>
        </w:rPr>
        <w:t>。</w:t>
      </w:r>
    </w:p>
    <w:p w14:paraId="20B299F4">
      <w:pPr>
        <w:keepNext w:val="0"/>
        <w:keepLines w:val="0"/>
        <w:pageBreakBefore w:val="0"/>
        <w:widowControl w:val="0"/>
        <w:numPr>
          <w:ilvl w:val="-1"/>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outlineLvl w:val="9"/>
        <w:rPr>
          <w:rFonts w:hint="default" w:ascii="仿宋_GB2312" w:eastAsia="仿宋_GB2312"/>
          <w:sz w:val="32"/>
          <w:szCs w:val="32"/>
          <w:lang w:val="en-US" w:eastAsia="zh-CN"/>
        </w:rPr>
      </w:pPr>
      <w:r>
        <w:rPr>
          <w:rFonts w:hint="eastAsia" w:ascii="仿宋_GB2312" w:eastAsia="仿宋_GB2312"/>
          <w:b w:val="0"/>
          <w:bCs w:val="0"/>
          <w:sz w:val="32"/>
          <w:szCs w:val="32"/>
          <w:lang w:val="en-US" w:eastAsia="zh-CN"/>
        </w:rPr>
        <w:t>（二）组织论证。</w:t>
      </w:r>
      <w:r>
        <w:rPr>
          <w:rFonts w:hint="eastAsia" w:ascii="仿宋_GB2312" w:eastAsia="仿宋_GB2312"/>
          <w:sz w:val="32"/>
          <w:szCs w:val="32"/>
          <w:lang w:val="en-US" w:eastAsia="zh-CN"/>
        </w:rPr>
        <w:t>市科技局会同</w:t>
      </w:r>
      <w:r>
        <w:rPr>
          <w:rFonts w:hint="eastAsia" w:ascii="仿宋_GB2312" w:eastAsia="仿宋_GB2312"/>
          <w:b w:val="0"/>
          <w:bCs w:val="0"/>
          <w:sz w:val="32"/>
          <w:szCs w:val="32"/>
          <w:lang w:val="en-US" w:eastAsia="zh-CN"/>
        </w:rPr>
        <w:t>相关行业主管部门、</w:t>
      </w:r>
      <w:r>
        <w:rPr>
          <w:rFonts w:hint="eastAsia" w:ascii="仿宋_GB2312" w:eastAsia="仿宋_GB2312"/>
          <w:sz w:val="32"/>
          <w:szCs w:val="32"/>
          <w:lang w:val="en-US" w:eastAsia="zh-CN"/>
        </w:rPr>
        <w:t>所在</w:t>
      </w:r>
      <w:r>
        <w:rPr>
          <w:rFonts w:hint="eastAsia" w:ascii="仿宋_GB2312" w:eastAsia="仿宋_GB2312"/>
          <w:sz w:val="32"/>
          <w:szCs w:val="32"/>
        </w:rPr>
        <w:t>县（市、区）科技行政</w:t>
      </w:r>
      <w:r>
        <w:rPr>
          <w:rFonts w:hint="eastAsia" w:ascii="仿宋_GB2312" w:eastAsia="仿宋_GB2312"/>
          <w:sz w:val="32"/>
          <w:szCs w:val="32"/>
          <w:lang w:val="en-US" w:eastAsia="zh-CN"/>
        </w:rPr>
        <w:t>主管</w:t>
      </w:r>
      <w:r>
        <w:rPr>
          <w:rFonts w:hint="eastAsia" w:ascii="仿宋_GB2312" w:eastAsia="仿宋_GB2312"/>
          <w:sz w:val="32"/>
          <w:szCs w:val="32"/>
        </w:rPr>
        <w:t>部门</w:t>
      </w:r>
      <w:r>
        <w:rPr>
          <w:rFonts w:hint="eastAsia" w:ascii="仿宋_GB2312" w:eastAsia="仿宋_GB2312"/>
          <w:sz w:val="32"/>
          <w:szCs w:val="32"/>
          <w:lang w:eastAsia="zh-CN"/>
        </w:rPr>
        <w:t>等，</w:t>
      </w:r>
      <w:r>
        <w:rPr>
          <w:rFonts w:hint="eastAsia" w:ascii="仿宋_GB2312" w:eastAsia="仿宋_GB2312"/>
          <w:sz w:val="32"/>
          <w:szCs w:val="32"/>
          <w:lang w:val="en-US" w:eastAsia="zh-CN"/>
        </w:rPr>
        <w:t>组织相关领域专家或委托第三方机构对共建方案的</w:t>
      </w:r>
      <w:r>
        <w:rPr>
          <w:rFonts w:hint="eastAsia" w:ascii="仿宋_GB2312" w:eastAsia="仿宋_GB2312"/>
          <w:sz w:val="32"/>
          <w:szCs w:val="32"/>
        </w:rPr>
        <w:t>可行性、</w:t>
      </w:r>
      <w:r>
        <w:rPr>
          <w:rFonts w:hint="eastAsia" w:ascii="仿宋_GB2312" w:eastAsia="仿宋_GB2312"/>
          <w:sz w:val="32"/>
          <w:szCs w:val="32"/>
          <w:lang w:val="en-US" w:eastAsia="zh-CN"/>
        </w:rPr>
        <w:t>研究领域的匹配性</w:t>
      </w:r>
      <w:r>
        <w:rPr>
          <w:rFonts w:hint="eastAsia" w:ascii="仿宋_GB2312" w:eastAsia="仿宋_GB2312"/>
          <w:sz w:val="32"/>
          <w:szCs w:val="32"/>
          <w:lang w:eastAsia="zh-CN"/>
        </w:rPr>
        <w:t>、</w:t>
      </w:r>
      <w:r>
        <w:rPr>
          <w:rFonts w:hint="eastAsia" w:ascii="仿宋_GB2312" w:eastAsia="仿宋_GB2312"/>
          <w:sz w:val="32"/>
          <w:szCs w:val="32"/>
        </w:rPr>
        <w:t>技术水平的先进性、建设资金和场地面积的合理性</w:t>
      </w:r>
      <w:r>
        <w:rPr>
          <w:rFonts w:hint="eastAsia" w:ascii="仿宋_GB2312" w:eastAsia="仿宋_GB2312"/>
          <w:sz w:val="32"/>
          <w:szCs w:val="32"/>
          <w:lang w:val="en-US" w:eastAsia="zh-CN"/>
        </w:rPr>
        <w:t>等</w:t>
      </w:r>
      <w:r>
        <w:rPr>
          <w:rFonts w:hint="eastAsia" w:ascii="仿宋_GB2312" w:eastAsia="仿宋_GB2312"/>
          <w:sz w:val="32"/>
          <w:szCs w:val="32"/>
        </w:rPr>
        <w:t>进行论证。</w:t>
      </w:r>
    </w:p>
    <w:p w14:paraId="1EDE716E">
      <w:pPr>
        <w:keepNext w:val="0"/>
        <w:keepLines w:val="0"/>
        <w:pageBreakBefore w:val="0"/>
        <w:widowControl w:val="0"/>
        <w:numPr>
          <w:ilvl w:val="-1"/>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outlineLvl w:val="9"/>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（三）签订协议。论证通过的，由共建双方签订合作共建协议，并报市科技局备案。</w:t>
      </w:r>
    </w:p>
    <w:p w14:paraId="6A2C0D3F">
      <w:pPr>
        <w:keepNext w:val="0"/>
        <w:keepLines w:val="0"/>
        <w:pageBreakBefore w:val="0"/>
        <w:widowControl w:val="0"/>
        <w:numPr>
          <w:ilvl w:val="-1"/>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outlineLvl w:val="9"/>
        <w:rPr>
          <w:rFonts w:hint="eastAsia" w:ascii="仿宋_GB2312" w:eastAsia="仿宋_GB2312"/>
          <w:b w:val="0"/>
          <w:bCs w:val="0"/>
          <w:sz w:val="32"/>
          <w:szCs w:val="32"/>
          <w:lang w:val="en-US" w:eastAsia="zh-CN"/>
        </w:rPr>
      </w:pPr>
      <w:r>
        <w:rPr>
          <w:rFonts w:hint="eastAsia" w:ascii="黑体" w:hAnsi="黑体" w:eastAsia="黑体" w:cs="黑体"/>
          <w:b w:val="0"/>
          <w:bCs w:val="0"/>
          <w:sz w:val="32"/>
          <w:szCs w:val="32"/>
          <w:lang w:val="en-US" w:eastAsia="zh-CN"/>
        </w:rPr>
        <w:t>第八条</w:t>
      </w:r>
      <w:r>
        <w:rPr>
          <w:rFonts w:hint="eastAsia" w:ascii="仿宋_GB2312" w:eastAsia="仿宋_GB2312"/>
          <w:b w:val="0"/>
          <w:bCs w:val="0"/>
          <w:sz w:val="32"/>
          <w:szCs w:val="32"/>
          <w:lang w:val="en-US" w:eastAsia="zh-CN"/>
        </w:rPr>
        <w:t xml:space="preserve"> 本办法出台前由我市各级政府或政府派出机构与大院名校等共建的新型科研机构（协议期、政策期内）直接纳入合作共建类。</w:t>
      </w:r>
    </w:p>
    <w:p w14:paraId="0E583539">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jc w:val="center"/>
        <w:textAlignment w:val="auto"/>
        <w:outlineLvl w:val="9"/>
        <w:rPr>
          <w:rFonts w:hint="eastAsia" w:ascii="黑体" w:hAnsi="黑体" w:eastAsia="黑体" w:cs="黑体"/>
          <w:sz w:val="32"/>
          <w:szCs w:val="32"/>
          <w:lang w:val="en-US" w:eastAsia="zh-CN"/>
        </w:rPr>
      </w:pPr>
    </w:p>
    <w:p w14:paraId="05269FE1">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jc w:val="center"/>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第三章　 列统管理</w:t>
      </w:r>
    </w:p>
    <w:p w14:paraId="6F8A9D37">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640" w:firstLineChars="200"/>
        <w:jc w:val="both"/>
        <w:textAlignment w:val="auto"/>
        <w:outlineLvl w:val="9"/>
        <w:rPr>
          <w:rFonts w:hint="eastAsia" w:ascii="仿宋_GB2312" w:eastAsia="仿宋_GB2312"/>
          <w:b w:val="0"/>
          <w:bCs w:val="0"/>
          <w:sz w:val="32"/>
          <w:szCs w:val="32"/>
          <w:lang w:val="en-US" w:eastAsia="zh-CN"/>
        </w:rPr>
      </w:pPr>
      <w:r>
        <w:rPr>
          <w:rFonts w:hint="eastAsia" w:ascii="黑体" w:hAnsi="黑体" w:eastAsia="黑体" w:cs="黑体"/>
          <w:b w:val="0"/>
          <w:bCs w:val="0"/>
          <w:sz w:val="32"/>
          <w:szCs w:val="32"/>
          <w:lang w:val="en-US" w:eastAsia="zh-CN"/>
        </w:rPr>
        <w:t>第九条</w:t>
      </w:r>
      <w:r>
        <w:rPr>
          <w:rFonts w:hint="eastAsia" w:ascii="仿宋_GB2312" w:eastAsia="仿宋_GB2312"/>
          <w:b/>
          <w:bCs/>
          <w:sz w:val="32"/>
          <w:szCs w:val="32"/>
          <w:lang w:val="en-US" w:eastAsia="zh-CN"/>
        </w:rPr>
        <w:t xml:space="preserve"> </w:t>
      </w:r>
      <w:r>
        <w:rPr>
          <w:rFonts w:hint="eastAsia" w:ascii="仿宋_GB2312" w:eastAsia="仿宋_GB2312"/>
          <w:b w:val="0"/>
          <w:bCs w:val="0"/>
          <w:sz w:val="32"/>
          <w:szCs w:val="32"/>
          <w:lang w:val="en-US" w:eastAsia="zh-CN"/>
        </w:rPr>
        <w:t>申请列统的新型研发机构应符合以下基本条件：</w:t>
      </w:r>
    </w:p>
    <w:p w14:paraId="12241ADD">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640" w:firstLineChars="200"/>
        <w:jc w:val="both"/>
        <w:textAlignment w:val="auto"/>
        <w:outlineLvl w:val="9"/>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（一）具备独立法人资格，在嘉兴注册和运营。</w:t>
      </w:r>
    </w:p>
    <w:p w14:paraId="27795E4D">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640" w:firstLineChars="200"/>
        <w:jc w:val="both"/>
        <w:textAlignment w:val="auto"/>
        <w:outlineLvl w:val="9"/>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（二）</w:t>
      </w:r>
      <w:r>
        <w:rPr>
          <w:rFonts w:hint="eastAsia" w:ascii="仿宋_GB2312" w:eastAsia="仿宋_GB2312"/>
          <w:sz w:val="32"/>
          <w:szCs w:val="32"/>
        </w:rPr>
        <w:t>具有</w:t>
      </w:r>
      <w:r>
        <w:rPr>
          <w:rFonts w:hint="eastAsia" w:ascii="仿宋_GB2312" w:eastAsia="仿宋_GB2312"/>
          <w:sz w:val="32"/>
          <w:szCs w:val="32"/>
          <w:lang w:val="en-US" w:eastAsia="zh-CN"/>
        </w:rPr>
        <w:t>明确的建设目标和功能定位，以开展基础研究、应用基础研究、关键核心技术攻关、产业共性技术研发与服务为核心业务</w:t>
      </w:r>
      <w:r>
        <w:rPr>
          <w:rFonts w:hint="eastAsia" w:ascii="仿宋_GB2312" w:eastAsia="仿宋_GB2312"/>
          <w:sz w:val="32"/>
          <w:szCs w:val="32"/>
        </w:rPr>
        <w:t>。</w:t>
      </w:r>
    </w:p>
    <w:p w14:paraId="6EDB0DE5">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640" w:firstLineChars="200"/>
        <w:jc w:val="both"/>
        <w:textAlignment w:val="auto"/>
        <w:outlineLvl w:val="9"/>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（三）具有结构相对合理稳定、研发能力及市场运营能力较强的人才队伍</w:t>
      </w:r>
      <w:r>
        <w:rPr>
          <w:rFonts w:hint="eastAsia" w:ascii="仿宋_GB2312" w:eastAsia="仿宋_GB2312"/>
          <w:sz w:val="32"/>
          <w:szCs w:val="32"/>
          <w:lang w:eastAsia="zh-CN"/>
        </w:rPr>
        <w:t>。</w:t>
      </w:r>
    </w:p>
    <w:p w14:paraId="29F036DC">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640" w:firstLineChars="200"/>
        <w:jc w:val="both"/>
        <w:textAlignment w:val="auto"/>
        <w:outlineLvl w:val="9"/>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（四）具备必备的研发条件，拥有进行研究、开发和试验所需的科研仪器设备和固定场地等基础设施。</w:t>
      </w:r>
    </w:p>
    <w:p w14:paraId="23C6FA35">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640" w:firstLineChars="200"/>
        <w:jc w:val="both"/>
        <w:textAlignment w:val="auto"/>
        <w:outlineLvl w:val="9"/>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（五）具有较好的资产规模和相对稳定的收入来源，主要包括出资方投入、“五技”服务收入、政府购买服务收入、技术股权投资收益以及承接科研项目获得的经费等。</w:t>
      </w:r>
    </w:p>
    <w:p w14:paraId="7BEF15A2">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640" w:firstLineChars="200"/>
        <w:jc w:val="both"/>
        <w:textAlignment w:val="auto"/>
        <w:outlineLvl w:val="9"/>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（六）具有</w:t>
      </w:r>
      <w:r>
        <w:rPr>
          <w:rFonts w:hint="eastAsia" w:ascii="仿宋_GB2312" w:eastAsia="仿宋_GB2312"/>
          <w:sz w:val="32"/>
          <w:szCs w:val="32"/>
          <w:lang w:val="en-US" w:eastAsia="zh-CN"/>
        </w:rPr>
        <w:t>灵活的体制机制</w:t>
      </w:r>
      <w:r>
        <w:rPr>
          <w:rFonts w:hint="eastAsia" w:ascii="仿宋_GB2312" w:eastAsia="仿宋_GB2312"/>
          <w:b w:val="0"/>
          <w:bCs w:val="0"/>
          <w:sz w:val="32"/>
          <w:szCs w:val="32"/>
          <w:lang w:val="en-US" w:eastAsia="zh-CN"/>
        </w:rPr>
        <w:t>，在机构运行、研发投入、科研管理、人才引育和成果转化等方面建有相关管理制度。</w:t>
      </w:r>
    </w:p>
    <w:p w14:paraId="5403C31E">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640" w:firstLineChars="200"/>
        <w:jc w:val="both"/>
        <w:textAlignment w:val="auto"/>
        <w:outlineLvl w:val="9"/>
        <w:rPr>
          <w:rFonts w:hint="default" w:ascii="仿宋_GB2312" w:eastAsia="仿宋_GB2312"/>
          <w:sz w:val="32"/>
          <w:szCs w:val="32"/>
          <w:lang w:val="en-US" w:eastAsia="zh-CN"/>
        </w:rPr>
      </w:pPr>
      <w:r>
        <w:rPr>
          <w:rFonts w:hint="eastAsia" w:ascii="黑体" w:hAnsi="黑体" w:eastAsia="黑体" w:cs="黑体"/>
          <w:b w:val="0"/>
          <w:bCs w:val="0"/>
          <w:sz w:val="32"/>
          <w:szCs w:val="32"/>
          <w:lang w:val="en-US" w:eastAsia="zh-CN"/>
        </w:rPr>
        <w:t>第十条</w:t>
      </w:r>
      <w:r>
        <w:rPr>
          <w:rFonts w:hint="eastAsia" w:ascii="仿宋_GB2312" w:eastAsia="仿宋_GB2312"/>
          <w:b w:val="0"/>
          <w:bCs w:val="0"/>
          <w:sz w:val="32"/>
          <w:szCs w:val="32"/>
          <w:lang w:val="en-US" w:eastAsia="zh-CN"/>
        </w:rPr>
        <w:t xml:space="preserve"> 申请</w:t>
      </w:r>
      <w:r>
        <w:rPr>
          <w:rFonts w:hint="eastAsia" w:ascii="仿宋_GB2312" w:eastAsia="仿宋_GB2312"/>
          <w:sz w:val="32"/>
          <w:szCs w:val="32"/>
          <w:lang w:val="en-US" w:eastAsia="zh-CN"/>
        </w:rPr>
        <w:t>机构根据通知要求，提交申请材料；</w:t>
      </w:r>
      <w:r>
        <w:rPr>
          <w:rFonts w:hint="eastAsia" w:ascii="仿宋_GB2312" w:eastAsia="仿宋_GB2312"/>
          <w:sz w:val="32"/>
          <w:szCs w:val="32"/>
        </w:rPr>
        <w:t>县（市、区）科技</w:t>
      </w:r>
      <w:r>
        <w:rPr>
          <w:rFonts w:hint="eastAsia" w:ascii="仿宋_GB2312" w:eastAsia="仿宋_GB2312"/>
          <w:sz w:val="32"/>
          <w:szCs w:val="32"/>
          <w:lang w:val="en-US" w:eastAsia="zh-CN"/>
        </w:rPr>
        <w:t>行政主管</w:t>
      </w:r>
      <w:r>
        <w:rPr>
          <w:rFonts w:hint="eastAsia" w:ascii="仿宋_GB2312" w:eastAsia="仿宋_GB2312"/>
          <w:sz w:val="32"/>
          <w:szCs w:val="32"/>
        </w:rPr>
        <w:t>部门</w:t>
      </w:r>
      <w:r>
        <w:rPr>
          <w:rFonts w:hint="eastAsia" w:ascii="仿宋_GB2312" w:eastAsia="仿宋_GB2312"/>
          <w:sz w:val="32"/>
          <w:szCs w:val="32"/>
          <w:lang w:val="en-US" w:eastAsia="zh-CN"/>
        </w:rPr>
        <w:t>对申请机构的运营状态和材料的真实性、有效性进行审核，提出推荐意见；市科技局组织专家或第三方机构对推荐的申请机构进行评审，对符合条件的机构，经公示无异议后列入“嘉兴市新型研发机构”管理序列。</w:t>
      </w:r>
    </w:p>
    <w:p w14:paraId="468F9204">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640" w:firstLineChars="200"/>
        <w:jc w:val="both"/>
        <w:textAlignment w:val="auto"/>
        <w:outlineLvl w:val="9"/>
        <w:rPr>
          <w:rFonts w:hint="eastAsia" w:ascii="仿宋_GB2312" w:eastAsia="仿宋_GB2312"/>
          <w:sz w:val="32"/>
          <w:szCs w:val="32"/>
          <w:lang w:val="en-US" w:eastAsia="zh-CN"/>
        </w:rPr>
      </w:pPr>
      <w:r>
        <w:rPr>
          <w:rFonts w:hint="eastAsia" w:ascii="黑体" w:hAnsi="黑体" w:eastAsia="黑体" w:cs="黑体"/>
          <w:b w:val="0"/>
          <w:bCs w:val="0"/>
          <w:sz w:val="32"/>
          <w:szCs w:val="32"/>
          <w:lang w:val="en-US" w:eastAsia="zh-CN"/>
        </w:rPr>
        <w:t>第十一条</w:t>
      </w:r>
      <w:r>
        <w:rPr>
          <w:rFonts w:hint="eastAsia" w:ascii="仿宋_GB2312" w:eastAsia="仿宋_GB2312"/>
          <w:b w:val="0"/>
          <w:bCs w:val="0"/>
          <w:sz w:val="32"/>
          <w:szCs w:val="32"/>
          <w:lang w:val="en-US" w:eastAsia="zh-CN"/>
        </w:rPr>
        <w:t xml:space="preserve"> 市科技局按年度公布</w:t>
      </w:r>
      <w:r>
        <w:rPr>
          <w:rFonts w:hint="eastAsia" w:ascii="仿宋_GB2312" w:eastAsia="仿宋_GB2312"/>
          <w:sz w:val="32"/>
          <w:szCs w:val="32"/>
          <w:lang w:val="en-US" w:eastAsia="zh-CN"/>
        </w:rPr>
        <w:t>“嘉兴市新型研发机构”列统管理名单。</w:t>
      </w:r>
      <w:r>
        <w:rPr>
          <w:rFonts w:hint="eastAsia" w:ascii="仿宋_GB2312" w:eastAsia="仿宋_GB2312"/>
          <w:b w:val="0"/>
          <w:bCs w:val="0"/>
          <w:sz w:val="32"/>
          <w:szCs w:val="32"/>
          <w:lang w:val="en-US" w:eastAsia="zh-CN"/>
        </w:rPr>
        <w:t>省新型研发机构、市新型研发机构、合作共建类新型研发机构（协议期、政策期内）直接列入</w:t>
      </w:r>
      <w:r>
        <w:rPr>
          <w:rFonts w:hint="eastAsia" w:ascii="仿宋_GB2312" w:eastAsia="仿宋_GB2312"/>
          <w:sz w:val="32"/>
          <w:szCs w:val="32"/>
          <w:lang w:val="en-US" w:eastAsia="zh-CN"/>
        </w:rPr>
        <w:t>。</w:t>
      </w:r>
    </w:p>
    <w:p w14:paraId="49A2EF64">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jc w:val="center"/>
        <w:textAlignment w:val="auto"/>
        <w:outlineLvl w:val="9"/>
        <w:rPr>
          <w:rFonts w:hint="eastAsia" w:ascii="黑体" w:hAnsi="黑体" w:eastAsia="黑体" w:cs="黑体"/>
          <w:sz w:val="32"/>
          <w:szCs w:val="32"/>
          <w:lang w:val="en-US" w:eastAsia="zh-CN"/>
        </w:rPr>
      </w:pPr>
    </w:p>
    <w:p w14:paraId="24141F6D">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绩效考核</w:t>
      </w:r>
    </w:p>
    <w:p w14:paraId="57EA5D0A">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640" w:firstLineChars="200"/>
        <w:jc w:val="both"/>
        <w:textAlignment w:val="auto"/>
        <w:outlineLvl w:val="9"/>
        <w:rPr>
          <w:rFonts w:hint="eastAsia" w:ascii="仿宋_GB2312" w:eastAsia="仿宋_GB2312"/>
          <w:b w:val="0"/>
          <w:bCs w:val="0"/>
          <w:sz w:val="32"/>
          <w:szCs w:val="32"/>
          <w:lang w:val="en-US" w:eastAsia="zh-CN"/>
        </w:rPr>
      </w:pPr>
      <w:r>
        <w:rPr>
          <w:rFonts w:hint="eastAsia" w:ascii="黑体" w:hAnsi="黑体" w:eastAsia="黑体" w:cs="黑体"/>
          <w:b w:val="0"/>
          <w:bCs w:val="0"/>
          <w:sz w:val="32"/>
          <w:szCs w:val="32"/>
          <w:lang w:val="en-US" w:eastAsia="zh-CN"/>
        </w:rPr>
        <w:t xml:space="preserve">第十二条 </w:t>
      </w:r>
      <w:r>
        <w:rPr>
          <w:rFonts w:hint="eastAsia" w:ascii="仿宋_GB2312" w:eastAsia="仿宋_GB2312"/>
          <w:b w:val="0"/>
          <w:bCs w:val="0"/>
          <w:sz w:val="32"/>
          <w:szCs w:val="32"/>
          <w:lang w:val="en-US" w:eastAsia="zh-CN"/>
        </w:rPr>
        <w:t>市科技局每年对列统管理的“嘉兴市新型研发机构”开展年度绩效考核，根据新型研发机构类别和功能定位，以质量、实效、贡献为导向，围绕成果质量、创新价值和实际贡献等，分类设置绩效考核指标体系。</w:t>
      </w:r>
    </w:p>
    <w:p w14:paraId="5F876F78">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640" w:firstLineChars="200"/>
        <w:jc w:val="both"/>
        <w:textAlignment w:val="auto"/>
        <w:outlineLvl w:val="9"/>
        <w:rPr>
          <w:rFonts w:hint="eastAsia" w:ascii="仿宋_GB2312" w:eastAsia="仿宋_GB2312"/>
          <w:b w:val="0"/>
          <w:bCs w:val="0"/>
          <w:sz w:val="32"/>
          <w:szCs w:val="32"/>
          <w:lang w:val="en-US" w:eastAsia="zh-CN"/>
        </w:rPr>
      </w:pPr>
      <w:r>
        <w:rPr>
          <w:rFonts w:hint="eastAsia" w:ascii="黑体" w:hAnsi="黑体" w:eastAsia="黑体" w:cs="黑体"/>
          <w:b w:val="0"/>
          <w:bCs w:val="0"/>
          <w:sz w:val="32"/>
          <w:szCs w:val="32"/>
          <w:lang w:val="en-US" w:eastAsia="zh-CN"/>
        </w:rPr>
        <w:t>第十三条</w:t>
      </w:r>
      <w:r>
        <w:rPr>
          <w:rFonts w:hint="eastAsia" w:ascii="仿宋_GB2312" w:eastAsia="仿宋_GB2312"/>
          <w:b/>
          <w:bCs/>
          <w:sz w:val="32"/>
          <w:szCs w:val="32"/>
          <w:lang w:val="en-US" w:eastAsia="zh-CN"/>
        </w:rPr>
        <w:t xml:space="preserve"> </w:t>
      </w:r>
      <w:r>
        <w:rPr>
          <w:rFonts w:hint="eastAsia" w:ascii="仿宋_GB2312" w:eastAsia="仿宋_GB2312"/>
          <w:b w:val="0"/>
          <w:bCs w:val="0"/>
          <w:sz w:val="32"/>
          <w:szCs w:val="32"/>
          <w:lang w:val="en-US" w:eastAsia="zh-CN"/>
        </w:rPr>
        <w:t>绩效考核结果分为“优秀、良好、合格、不合格”4个等级，按照考核结果实行优奖劣汰、动态管理。其中，“优秀”“良好”的数量比例不超过当年参加考核机构总数的15%、25%。</w:t>
      </w:r>
    </w:p>
    <w:p w14:paraId="6828D01D">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640" w:firstLineChars="200"/>
        <w:jc w:val="both"/>
        <w:textAlignment w:val="auto"/>
        <w:outlineLvl w:val="9"/>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（一）考核结果为“优秀”和“良好”的，根据等级给予绩效奖励，继续列入管理序列。</w:t>
      </w:r>
    </w:p>
    <w:p w14:paraId="6A4E4F2B">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640" w:firstLineChars="200"/>
        <w:jc w:val="both"/>
        <w:textAlignment w:val="auto"/>
        <w:outlineLvl w:val="9"/>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（二）考核结果为“合格”的，继续列入管理序列。</w:t>
      </w:r>
    </w:p>
    <w:p w14:paraId="2E415E86">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640" w:firstLineChars="200"/>
        <w:jc w:val="both"/>
        <w:textAlignment w:val="auto"/>
        <w:outlineLvl w:val="9"/>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（三）考核结果为“不合格”的，不再列入管理序列。</w:t>
      </w:r>
    </w:p>
    <w:p w14:paraId="16819B54">
      <w:pPr>
        <w:keepNext w:val="0"/>
        <w:keepLines w:val="0"/>
        <w:pageBreakBefore w:val="0"/>
        <w:widowControl w:val="0"/>
        <w:numPr>
          <w:ilvl w:val="-1"/>
          <w:numId w:val="0"/>
        </w:numPr>
        <w:kinsoku/>
        <w:wordWrap/>
        <w:overflowPunct/>
        <w:topLinePunct w:val="0"/>
        <w:autoSpaceDE/>
        <w:autoSpaceDN/>
        <w:bidi w:val="0"/>
        <w:adjustRightInd w:val="0"/>
        <w:snapToGrid/>
        <w:spacing w:beforeLines="0" w:afterLines="0" w:line="560" w:lineRule="exact"/>
        <w:ind w:firstLine="640" w:firstLineChars="200"/>
        <w:jc w:val="both"/>
        <w:textAlignment w:val="auto"/>
        <w:outlineLvl w:val="9"/>
        <w:rPr>
          <w:rFonts w:hint="default" w:ascii="仿宋_GB2312" w:eastAsia="仿宋_GB2312"/>
          <w:b w:val="0"/>
          <w:bCs w:val="0"/>
          <w:sz w:val="32"/>
          <w:szCs w:val="32"/>
          <w:lang w:val="en-US" w:eastAsia="zh-CN"/>
        </w:rPr>
      </w:pPr>
      <w:r>
        <w:rPr>
          <w:rFonts w:hint="eastAsia" w:ascii="黑体" w:hAnsi="黑体" w:eastAsia="黑体" w:cs="黑体"/>
          <w:b w:val="0"/>
          <w:bCs w:val="0"/>
          <w:sz w:val="32"/>
          <w:szCs w:val="32"/>
          <w:lang w:val="en-US" w:eastAsia="zh-CN"/>
        </w:rPr>
        <w:t>第十四条</w:t>
      </w:r>
      <w:r>
        <w:rPr>
          <w:rFonts w:hint="eastAsia" w:ascii="仿宋_GB2312" w:eastAsia="仿宋_GB2312"/>
          <w:b w:val="0"/>
          <w:bCs w:val="0"/>
          <w:sz w:val="32"/>
          <w:szCs w:val="32"/>
          <w:lang w:val="en-US" w:eastAsia="zh-CN"/>
        </w:rPr>
        <w:t xml:space="preserve"> 合作共建类新型研发机构（协议期、政策期内）实施单列考核，以协议（政策）约定目标任务为基础，结合年度工作实际，由所在地科技行政主管部门提出“一院一表”</w:t>
      </w:r>
      <w:r>
        <w:rPr>
          <w:rFonts w:hint="eastAsia" w:ascii="仿宋_GB2312" w:eastAsia="仿宋_GB2312"/>
          <w:sz w:val="32"/>
          <w:szCs w:val="32"/>
        </w:rPr>
        <w:t>年度指标体系</w:t>
      </w:r>
      <w:r>
        <w:rPr>
          <w:rFonts w:hint="eastAsia" w:ascii="仿宋_GB2312" w:eastAsia="仿宋_GB2312"/>
          <w:sz w:val="32"/>
          <w:szCs w:val="32"/>
          <w:lang w:eastAsia="zh-CN"/>
        </w:rPr>
        <w:t>，</w:t>
      </w:r>
      <w:r>
        <w:rPr>
          <w:rFonts w:hint="eastAsia" w:ascii="仿宋_GB2312" w:eastAsia="仿宋_GB2312"/>
          <w:sz w:val="32"/>
          <w:szCs w:val="32"/>
          <w:lang w:val="en-US" w:eastAsia="zh-CN"/>
        </w:rPr>
        <w:t>并于当年3月底前报市科技局备案。</w:t>
      </w:r>
      <w:r>
        <w:rPr>
          <w:rFonts w:hint="eastAsia" w:ascii="仿宋_GB2312" w:eastAsia="仿宋_GB2312"/>
          <w:b w:val="0"/>
          <w:bCs w:val="0"/>
          <w:sz w:val="32"/>
          <w:szCs w:val="32"/>
          <w:lang w:val="en-US" w:eastAsia="zh-CN"/>
        </w:rPr>
        <w:t>考核结果应与财政资金支持直接挂钩，具体操作办法由各地科技行政主管部门商有关单位后制定实施。</w:t>
      </w:r>
    </w:p>
    <w:p w14:paraId="6874AA38">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640" w:firstLineChars="200"/>
        <w:jc w:val="both"/>
        <w:textAlignment w:val="auto"/>
        <w:outlineLvl w:val="9"/>
        <w:rPr>
          <w:rFonts w:hint="eastAsia" w:ascii="仿宋_GB2312" w:eastAsia="仿宋_GB2312"/>
          <w:b w:val="0"/>
          <w:bCs w:val="0"/>
          <w:sz w:val="32"/>
          <w:szCs w:val="32"/>
          <w:lang w:val="en-US" w:eastAsia="zh-CN"/>
        </w:rPr>
      </w:pPr>
    </w:p>
    <w:p w14:paraId="40958838">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运行管理</w:t>
      </w:r>
    </w:p>
    <w:p w14:paraId="5E823CED">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640" w:firstLineChars="200"/>
        <w:jc w:val="both"/>
        <w:textAlignment w:val="auto"/>
        <w:outlineLvl w:val="9"/>
        <w:rPr>
          <w:rFonts w:hint="eastAsia" w:ascii="仿宋_GB2312" w:eastAsia="仿宋_GB2312"/>
          <w:sz w:val="32"/>
          <w:szCs w:val="32"/>
          <w:lang w:val="en-US" w:eastAsia="zh-CN"/>
        </w:rPr>
      </w:pPr>
      <w:r>
        <w:rPr>
          <w:rFonts w:hint="eastAsia" w:ascii="黑体" w:hAnsi="黑体" w:eastAsia="黑体" w:cs="黑体"/>
          <w:b w:val="0"/>
          <w:bCs w:val="0"/>
          <w:sz w:val="32"/>
          <w:szCs w:val="32"/>
          <w:lang w:val="en-US" w:eastAsia="zh-CN"/>
        </w:rPr>
        <w:t>第十五条</w:t>
      </w:r>
      <w:r>
        <w:rPr>
          <w:rFonts w:hint="eastAsia" w:ascii="仿宋_GB2312" w:eastAsia="仿宋_GB2312"/>
          <w:sz w:val="32"/>
          <w:szCs w:val="32"/>
          <w:lang w:val="en-US" w:eastAsia="zh-CN"/>
        </w:rPr>
        <w:t xml:space="preserve"> 新型研发机构应当建立科学化的研发组织体系。可根据科研活动开展需求，自主确定研发选题，动态设立和调整研发单元，灵活配置科研人员、组织研发团队、调配科研设备。探索市场化用人机制、薪酬制度，构建以创新能力、质量、实效、贡献为主要标准的人才评价导向，建立与创新能力、创新绩效匹配的收入分配制度。</w:t>
      </w:r>
    </w:p>
    <w:p w14:paraId="1F1B0116">
      <w:pPr>
        <w:numPr>
          <w:ilvl w:val="0"/>
          <w:numId w:val="0"/>
        </w:numPr>
        <w:autoSpaceDE w:val="0"/>
        <w:autoSpaceDN w:val="0"/>
        <w:adjustRightInd w:val="0"/>
        <w:spacing w:beforeLines="0" w:afterLines="0" w:line="560" w:lineRule="exact"/>
        <w:ind w:firstLine="643" w:firstLineChars="200"/>
        <w:outlineLvl w:val="9"/>
        <w:rPr>
          <w:rFonts w:hint="eastAsia" w:ascii="仿宋_GB2312" w:eastAsia="仿宋_GB2312"/>
          <w:sz w:val="32"/>
          <w:szCs w:val="32"/>
        </w:rPr>
      </w:pPr>
      <w:r>
        <w:rPr>
          <w:rFonts w:hint="eastAsia" w:ascii="仿宋_GB2312" w:eastAsia="仿宋_GB2312"/>
          <w:b/>
          <w:bCs/>
          <w:sz w:val="32"/>
          <w:szCs w:val="32"/>
          <w:lang w:val="en-US" w:eastAsia="zh-CN"/>
        </w:rPr>
        <w:t>第十六条</w:t>
      </w:r>
      <w:r>
        <w:rPr>
          <w:rFonts w:hint="eastAsia" w:ascii="仿宋_GB2312" w:eastAsia="仿宋_GB2312"/>
          <w:sz w:val="32"/>
          <w:szCs w:val="32"/>
          <w:lang w:val="en-US" w:eastAsia="zh-CN"/>
        </w:rPr>
        <w:t xml:space="preserve"> </w:t>
      </w:r>
      <w:r>
        <w:rPr>
          <w:rFonts w:hint="eastAsia" w:ascii="仿宋_GB2312" w:eastAsia="仿宋_GB2312"/>
          <w:sz w:val="32"/>
          <w:szCs w:val="32"/>
        </w:rPr>
        <w:t>新型研发机构应建立健全科技成果管理及转化制度。鼓励设立以成果转化为核心功能的多元投资混合所有制运营公司。机构科技成果对外转让、许可或者作价投资等，应当遵从市场定价原则，通过协议定价、评估、挂牌交易、拍卖等市场化方式作价，最终价格按照各方共同认可的市场价值确定。</w:t>
      </w:r>
    </w:p>
    <w:p w14:paraId="7CFF49A0">
      <w:pPr>
        <w:numPr>
          <w:ilvl w:val="0"/>
          <w:numId w:val="0"/>
        </w:numPr>
        <w:autoSpaceDE w:val="0"/>
        <w:autoSpaceDN w:val="0"/>
        <w:adjustRightInd w:val="0"/>
        <w:spacing w:beforeLines="0" w:afterLines="0" w:line="560" w:lineRule="exact"/>
        <w:ind w:firstLine="643" w:firstLineChars="200"/>
        <w:outlineLvl w:val="9"/>
        <w:rPr>
          <w:rFonts w:hint="eastAsia" w:ascii="仿宋_GB2312" w:eastAsia="仿宋_GB2312"/>
          <w:b/>
          <w:bCs/>
          <w:sz w:val="32"/>
          <w:szCs w:val="32"/>
        </w:rPr>
      </w:pPr>
      <w:r>
        <w:rPr>
          <w:rFonts w:hint="eastAsia" w:ascii="仿宋_GB2312" w:eastAsia="仿宋_GB2312"/>
          <w:b/>
          <w:bCs/>
          <w:sz w:val="32"/>
          <w:szCs w:val="32"/>
          <w:lang w:val="en-US" w:eastAsia="zh-CN"/>
        </w:rPr>
        <w:t>第十七条</w:t>
      </w:r>
      <w:r>
        <w:rPr>
          <w:rFonts w:hint="eastAsia" w:ascii="仿宋_GB2312" w:eastAsia="仿宋_GB2312"/>
          <w:b w:val="0"/>
          <w:bCs w:val="0"/>
          <w:sz w:val="32"/>
          <w:szCs w:val="32"/>
          <w:lang w:val="en-US" w:eastAsia="zh-CN"/>
        </w:rPr>
        <w:t xml:space="preserve"> </w:t>
      </w:r>
      <w:r>
        <w:rPr>
          <w:rFonts w:hint="eastAsia" w:ascii="仿宋_GB2312" w:eastAsia="仿宋_GB2312"/>
          <w:b w:val="0"/>
          <w:bCs w:val="0"/>
          <w:sz w:val="32"/>
          <w:szCs w:val="32"/>
        </w:rPr>
        <w:t>新型研发机构应严格执行财务管理制度和会计核算制度</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要切实</w:t>
      </w:r>
      <w:r>
        <w:rPr>
          <w:rFonts w:hint="eastAsia" w:ascii="仿宋_GB2312" w:eastAsia="仿宋_GB2312"/>
          <w:b w:val="0"/>
          <w:bCs w:val="0"/>
          <w:sz w:val="32"/>
          <w:szCs w:val="32"/>
        </w:rPr>
        <w:t>加强财政资金的使用管理</w:t>
      </w:r>
      <w:r>
        <w:rPr>
          <w:rFonts w:hint="eastAsia" w:ascii="仿宋_GB2312" w:eastAsia="仿宋_GB2312"/>
          <w:b w:val="0"/>
          <w:bCs w:val="0"/>
          <w:sz w:val="32"/>
          <w:szCs w:val="32"/>
          <w:lang w:eastAsia="zh-CN"/>
        </w:rPr>
        <w:t>，</w:t>
      </w:r>
      <w:r>
        <w:rPr>
          <w:rFonts w:hint="eastAsia" w:ascii="仿宋_GB2312" w:eastAsia="仿宋_GB2312"/>
          <w:b w:val="0"/>
          <w:bCs w:val="0"/>
          <w:sz w:val="32"/>
          <w:szCs w:val="32"/>
          <w:lang w:val="en-US" w:eastAsia="zh-CN"/>
        </w:rPr>
        <w:t>专项项目实行</w:t>
      </w:r>
      <w:r>
        <w:rPr>
          <w:rFonts w:hint="eastAsia" w:ascii="仿宋_GB2312" w:eastAsia="仿宋_GB2312"/>
          <w:b w:val="0"/>
          <w:bCs w:val="0"/>
          <w:sz w:val="32"/>
          <w:szCs w:val="32"/>
        </w:rPr>
        <w:t>专款专用，不得以任何形式改变其用途，并自觉接受财政、审计、监察部门的监督检查。</w:t>
      </w:r>
    </w:p>
    <w:p w14:paraId="2C12FF2F">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第十八条</w:t>
      </w:r>
      <w:r>
        <w:rPr>
          <w:rFonts w:hint="eastAsia" w:ascii="仿宋_GB2312" w:eastAsia="仿宋_GB2312"/>
          <w:sz w:val="32"/>
          <w:szCs w:val="32"/>
          <w:lang w:val="en-US" w:eastAsia="zh-CN"/>
        </w:rPr>
        <w:t xml:space="preserve"> 新型研发机构实行年度工作报告制度和重大事项报告制度。新型研发机构应每年报送年度运行发展报告；如发生注册地址、法人资质、名称、投资主体变更等重大事项，须在1个月内书面向所在地科技行政主管部门提交重大变更报告，县（市、区）科技行政主管部门审核完成后向市科技局报备。</w:t>
      </w:r>
    </w:p>
    <w:p w14:paraId="4F609751">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643" w:firstLineChars="200"/>
        <w:jc w:val="both"/>
        <w:textAlignment w:val="auto"/>
        <w:outlineLvl w:val="9"/>
        <w:rPr>
          <w:rFonts w:hint="eastAsia" w:ascii="仿宋_GB2312" w:eastAsia="仿宋_GB2312"/>
          <w:sz w:val="32"/>
          <w:szCs w:val="32"/>
        </w:rPr>
      </w:pPr>
      <w:r>
        <w:rPr>
          <w:rFonts w:hint="eastAsia" w:ascii="仿宋_GB2312" w:eastAsia="仿宋_GB2312"/>
          <w:b/>
          <w:bCs/>
          <w:sz w:val="32"/>
          <w:szCs w:val="32"/>
          <w:lang w:val="en-US" w:eastAsia="zh-CN"/>
        </w:rPr>
        <w:t>第十九条</w:t>
      </w:r>
      <w:r>
        <w:rPr>
          <w:rFonts w:hint="eastAsia" w:ascii="仿宋_GB2312" w:eastAsia="仿宋_GB2312"/>
          <w:sz w:val="32"/>
          <w:szCs w:val="32"/>
          <w:lang w:val="en-US" w:eastAsia="zh-CN"/>
        </w:rPr>
        <w:t xml:space="preserve"> </w:t>
      </w:r>
      <w:r>
        <w:rPr>
          <w:rFonts w:hint="eastAsia" w:ascii="仿宋_GB2312" w:eastAsia="仿宋_GB2312"/>
          <w:sz w:val="32"/>
          <w:szCs w:val="32"/>
        </w:rPr>
        <w:t>新型研发机构应完善内控制度，加强科研诚信和科研伦理建设。对发生违反科技计划、资金等管理规定，违背科技伦理、学风作风、科研诚信等行为的新型研发机构，依法依规予以问责处理。</w:t>
      </w:r>
    </w:p>
    <w:p w14:paraId="328B401E">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643"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b/>
          <w:bCs/>
          <w:sz w:val="32"/>
          <w:szCs w:val="32"/>
          <w:lang w:val="en-US" w:eastAsia="zh-CN"/>
        </w:rPr>
        <w:t>第二十条</w:t>
      </w:r>
      <w:r>
        <w:rPr>
          <w:rFonts w:hint="eastAsia" w:ascii="仿宋_GB2312" w:eastAsia="仿宋_GB2312"/>
          <w:sz w:val="32"/>
          <w:szCs w:val="32"/>
          <w:lang w:val="en-US" w:eastAsia="zh-CN"/>
        </w:rPr>
        <w:t xml:space="preserve"> 新型研发机构应主动申请纳入科学研究和技术服务业单位名录，完成相关年度的国家科技统计工作。应按要求做好科技统计工作，及时上报有关报表。</w:t>
      </w:r>
    </w:p>
    <w:p w14:paraId="0F43ED20">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643" w:firstLineChars="200"/>
        <w:jc w:val="both"/>
        <w:textAlignment w:val="auto"/>
        <w:outlineLvl w:val="9"/>
        <w:rPr>
          <w:rFonts w:hint="eastAsia" w:ascii="仿宋_GB2312" w:eastAsia="仿宋_GB2312"/>
          <w:spacing w:val="-4"/>
          <w:sz w:val="32"/>
          <w:szCs w:val="32"/>
          <w:lang w:val="en-US" w:eastAsia="zh-CN"/>
        </w:rPr>
      </w:pPr>
      <w:r>
        <w:rPr>
          <w:rFonts w:hint="eastAsia" w:ascii="仿宋_GB2312" w:eastAsia="仿宋_GB2312"/>
          <w:b/>
          <w:bCs/>
          <w:sz w:val="32"/>
          <w:szCs w:val="32"/>
          <w:lang w:val="en-US" w:eastAsia="zh-CN"/>
        </w:rPr>
        <w:t>第二十一条</w:t>
      </w:r>
      <w:r>
        <w:rPr>
          <w:rFonts w:hint="eastAsia" w:ascii="仿宋_GB2312" w:eastAsia="仿宋_GB2312"/>
          <w:sz w:val="32"/>
          <w:szCs w:val="32"/>
          <w:lang w:val="en-US" w:eastAsia="zh-CN"/>
        </w:rPr>
        <w:t xml:space="preserve"> 新型研发机构应当</w:t>
      </w:r>
      <w:r>
        <w:rPr>
          <w:rFonts w:hint="eastAsia" w:ascii="仿宋_GB2312" w:eastAsia="仿宋_GB2312"/>
          <w:spacing w:val="-4"/>
          <w:sz w:val="32"/>
          <w:szCs w:val="32"/>
        </w:rPr>
        <w:t>加强党的建设，</w:t>
      </w:r>
      <w:r>
        <w:rPr>
          <w:rFonts w:hint="eastAsia" w:ascii="仿宋_GB2312" w:eastAsia="仿宋_GB2312"/>
          <w:spacing w:val="-4"/>
          <w:sz w:val="32"/>
          <w:szCs w:val="32"/>
          <w:lang w:val="en-US" w:eastAsia="zh-CN"/>
        </w:rPr>
        <w:t>按规定健全党的组织，</w:t>
      </w:r>
      <w:r>
        <w:rPr>
          <w:rFonts w:hint="eastAsia" w:ascii="仿宋_GB2312" w:eastAsia="仿宋_GB2312"/>
          <w:spacing w:val="-4"/>
          <w:sz w:val="32"/>
          <w:szCs w:val="32"/>
        </w:rPr>
        <w:t>强化党建工作职责，推动党建工作与业务工作深度融合。</w:t>
      </w:r>
    </w:p>
    <w:p w14:paraId="2743B070">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643" w:firstLineChars="200"/>
        <w:jc w:val="both"/>
        <w:textAlignment w:val="auto"/>
        <w:outlineLvl w:val="9"/>
        <w:rPr>
          <w:rFonts w:hint="eastAsia" w:ascii="仿宋_GB2312" w:eastAsia="仿宋_GB2312"/>
          <w:b w:val="0"/>
          <w:bCs w:val="0"/>
          <w:sz w:val="32"/>
          <w:szCs w:val="32"/>
          <w:lang w:val="en-US" w:eastAsia="zh-CN"/>
        </w:rPr>
      </w:pPr>
      <w:r>
        <w:rPr>
          <w:rFonts w:hint="eastAsia" w:ascii="仿宋_GB2312" w:eastAsia="仿宋_GB2312"/>
          <w:b/>
          <w:bCs/>
          <w:sz w:val="32"/>
          <w:szCs w:val="32"/>
          <w:lang w:val="en-US" w:eastAsia="zh-CN"/>
        </w:rPr>
        <w:t xml:space="preserve">第二十二条 </w:t>
      </w:r>
      <w:r>
        <w:rPr>
          <w:rFonts w:hint="eastAsia" w:ascii="仿宋_GB2312" w:eastAsia="仿宋_GB2312"/>
          <w:b w:val="0"/>
          <w:bCs w:val="0"/>
          <w:sz w:val="32"/>
          <w:szCs w:val="32"/>
          <w:lang w:val="en-US" w:eastAsia="zh-CN"/>
        </w:rPr>
        <w:t>有下列情况之一的，不再列入“嘉兴市新型研发机构”管理序列：</w:t>
      </w:r>
    </w:p>
    <w:p w14:paraId="2349D99D">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640" w:firstLineChars="200"/>
        <w:jc w:val="both"/>
        <w:textAlignment w:val="auto"/>
        <w:outlineLvl w:val="9"/>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（一）</w:t>
      </w:r>
      <w:r>
        <w:rPr>
          <w:rFonts w:hint="eastAsia" w:ascii="仿宋_GB2312" w:eastAsia="仿宋_GB2312"/>
          <w:sz w:val="32"/>
          <w:szCs w:val="32"/>
        </w:rPr>
        <w:t>发生重大变更后不具备新型研发机构基本条件的（包括不按要求报告重大变更的）；</w:t>
      </w:r>
    </w:p>
    <w:p w14:paraId="558863E5">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640" w:firstLineChars="200"/>
        <w:jc w:val="both"/>
        <w:textAlignment w:val="auto"/>
        <w:outlineLvl w:val="9"/>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（二）不按规定参加年度绩效考核的；</w:t>
      </w:r>
    </w:p>
    <w:p w14:paraId="35072498">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640" w:firstLineChars="200"/>
        <w:jc w:val="both"/>
        <w:textAlignment w:val="auto"/>
        <w:outlineLvl w:val="9"/>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（三）</w:t>
      </w:r>
      <w:r>
        <w:rPr>
          <w:rFonts w:hint="eastAsia" w:ascii="仿宋_GB2312" w:eastAsia="仿宋_GB2312"/>
          <w:sz w:val="32"/>
          <w:szCs w:val="32"/>
        </w:rPr>
        <w:t>不配合有关部门监督检查、统计调查，不按要求提供材料和数据，或者提供的材料和数据存在弄虚作假的；</w:t>
      </w:r>
    </w:p>
    <w:p w14:paraId="197BF696">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640" w:firstLineChars="200"/>
        <w:jc w:val="both"/>
        <w:textAlignment w:val="auto"/>
        <w:outlineLvl w:val="9"/>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（四）</w:t>
      </w:r>
      <w:r>
        <w:rPr>
          <w:rFonts w:hint="eastAsia" w:ascii="仿宋_GB2312" w:eastAsia="仿宋_GB2312"/>
          <w:sz w:val="32"/>
          <w:szCs w:val="32"/>
        </w:rPr>
        <w:t>发生重大安全、质量事故，存在严重环境违法、知识产权违法、税务违法、科研失信等行为的；</w:t>
      </w:r>
    </w:p>
    <w:p w14:paraId="02DBF4F0">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640" w:firstLineChars="200"/>
        <w:jc w:val="both"/>
        <w:textAlignment w:val="auto"/>
        <w:outlineLvl w:val="9"/>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（五）</w:t>
      </w:r>
      <w:r>
        <w:rPr>
          <w:rFonts w:hint="eastAsia" w:ascii="仿宋_GB2312" w:eastAsia="仿宋_GB2312"/>
          <w:sz w:val="32"/>
          <w:szCs w:val="32"/>
        </w:rPr>
        <w:t>存在其他不符合“</w:t>
      </w:r>
      <w:r>
        <w:rPr>
          <w:rFonts w:hint="eastAsia" w:ascii="仿宋_GB2312" w:eastAsia="仿宋_GB2312"/>
          <w:sz w:val="32"/>
          <w:szCs w:val="32"/>
          <w:lang w:val="en-US" w:eastAsia="zh-CN"/>
        </w:rPr>
        <w:t>嘉兴</w:t>
      </w:r>
      <w:r>
        <w:rPr>
          <w:rFonts w:hint="eastAsia" w:ascii="仿宋_GB2312" w:eastAsia="仿宋_GB2312"/>
          <w:sz w:val="32"/>
          <w:szCs w:val="32"/>
        </w:rPr>
        <w:t>市新型研发机构”条件情形的</w:t>
      </w:r>
      <w:r>
        <w:rPr>
          <w:rFonts w:hint="eastAsia" w:ascii="仿宋_GB2312" w:eastAsia="仿宋_GB2312"/>
          <w:b w:val="0"/>
          <w:bCs w:val="0"/>
          <w:sz w:val="32"/>
          <w:szCs w:val="32"/>
          <w:lang w:val="en-US" w:eastAsia="zh-CN"/>
        </w:rPr>
        <w:t>。</w:t>
      </w:r>
    </w:p>
    <w:p w14:paraId="0C67D098">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jc w:val="center"/>
        <w:textAlignment w:val="auto"/>
        <w:outlineLvl w:val="9"/>
        <w:rPr>
          <w:rFonts w:hint="eastAsia" w:ascii="黑体" w:hAnsi="黑体" w:eastAsia="黑体" w:cs="黑体"/>
          <w:sz w:val="32"/>
          <w:szCs w:val="32"/>
          <w:lang w:val="en-US" w:eastAsia="zh-CN"/>
        </w:rPr>
      </w:pPr>
    </w:p>
    <w:p w14:paraId="7F7542EC">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jc w:val="center"/>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第六章　 附  则</w:t>
      </w:r>
    </w:p>
    <w:p w14:paraId="37B1E079">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643" w:firstLineChars="200"/>
        <w:jc w:val="both"/>
        <w:textAlignment w:val="auto"/>
        <w:outlineLvl w:val="9"/>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第二十三条</w:t>
      </w:r>
      <w:r>
        <w:rPr>
          <w:rFonts w:hint="eastAsia" w:ascii="仿宋_GB2312" w:eastAsia="仿宋_GB2312"/>
          <w:b w:val="0"/>
          <w:bCs w:val="0"/>
          <w:sz w:val="32"/>
          <w:szCs w:val="32"/>
          <w:lang w:val="en-US" w:eastAsia="zh-CN"/>
        </w:rPr>
        <w:t xml:space="preserve"> 本办法由市科技局负责解释。</w:t>
      </w:r>
    </w:p>
    <w:p w14:paraId="345F373D">
      <w:pPr>
        <w:keepNext w:val="0"/>
        <w:keepLines w:val="0"/>
        <w:pageBreakBefore w:val="0"/>
        <w:widowControl w:val="0"/>
        <w:numPr>
          <w:ilvl w:val="0"/>
          <w:numId w:val="0"/>
        </w:numPr>
        <w:kinsoku/>
        <w:wordWrap/>
        <w:overflowPunct/>
        <w:topLinePunct w:val="0"/>
        <w:autoSpaceDE w:val="0"/>
        <w:autoSpaceDN w:val="0"/>
        <w:bidi w:val="0"/>
        <w:adjustRightInd w:val="0"/>
        <w:snapToGrid/>
        <w:spacing w:beforeLines="0" w:afterLines="0" w:line="560" w:lineRule="exact"/>
        <w:ind w:firstLine="643" w:firstLineChars="200"/>
        <w:jc w:val="both"/>
        <w:textAlignment w:val="auto"/>
        <w:outlineLvl w:val="9"/>
        <w:rPr>
          <w:rFonts w:hint="default" w:ascii="仿宋_GB2312" w:eastAsia="仿宋_GB2312"/>
          <w:b w:val="0"/>
          <w:bCs w:val="0"/>
          <w:sz w:val="32"/>
          <w:szCs w:val="32"/>
          <w:lang w:val="en-US" w:eastAsia="zh-CN"/>
        </w:rPr>
      </w:pPr>
      <w:r>
        <w:rPr>
          <w:rFonts w:hint="eastAsia" w:ascii="仿宋_GB2312" w:eastAsia="仿宋_GB2312"/>
          <w:b/>
          <w:bCs/>
          <w:sz w:val="32"/>
          <w:szCs w:val="32"/>
          <w:lang w:val="en-US" w:eastAsia="zh-CN"/>
        </w:rPr>
        <w:t>第二十四条</w:t>
      </w:r>
      <w:r>
        <w:rPr>
          <w:rFonts w:hint="eastAsia" w:ascii="仿宋_GB2312" w:eastAsia="仿宋_GB2312"/>
          <w:b w:val="0"/>
          <w:bCs w:val="0"/>
          <w:sz w:val="32"/>
          <w:szCs w:val="32"/>
          <w:lang w:val="en-US" w:eastAsia="zh-CN"/>
        </w:rPr>
        <w:t xml:space="preserve"> 本办法自2025年*月*日起施行。《嘉兴市新型研发机构建设与管理办法（试行）》（嘉科高〔2021〕33号）同时废止。</w:t>
      </w:r>
      <w:bookmarkStart w:id="0" w:name="_GoBack"/>
      <w:bookmarkEnd w:id="0"/>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5C8C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90F310">
                          <w:pPr>
                            <w:pStyle w:val="2"/>
                            <w:rPr>
                              <w:rFonts w:hint="eastAsia" w:ascii="仿宋_GB2312" w:hAnsi="仿宋_GB2312" w:eastAsia="仿宋_GB2312" w:cs="仿宋_GB2312"/>
                              <w:sz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1</w:t>
                          </w:r>
                          <w:r>
                            <w:rPr>
                              <w:rFonts w:hint="eastAsia" w:ascii="仿宋_GB2312" w:hAnsi="仿宋_GB2312" w:eastAsia="仿宋_GB2312" w:cs="仿宋_GB2312"/>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90F310">
                    <w:pPr>
                      <w:pStyle w:val="2"/>
                      <w:rPr>
                        <w:rFonts w:hint="eastAsia" w:ascii="仿宋_GB2312" w:hAnsi="仿宋_GB2312" w:eastAsia="仿宋_GB2312" w:cs="仿宋_GB2312"/>
                        <w:sz w:val="24"/>
                      </w:rPr>
                    </w:pPr>
                    <w:r>
                      <w:rPr>
                        <w:rFonts w:hint="eastAsia" w:ascii="仿宋_GB2312" w:hAnsi="仿宋_GB2312" w:eastAsia="仿宋_GB2312" w:cs="仿宋_GB2312"/>
                        <w:sz w:val="24"/>
                      </w:rPr>
                      <w:fldChar w:fldCharType="begin"/>
                    </w:r>
                    <w:r>
                      <w:rPr>
                        <w:rFonts w:hint="eastAsia" w:ascii="仿宋_GB2312" w:hAnsi="仿宋_GB2312" w:eastAsia="仿宋_GB2312" w:cs="仿宋_GB2312"/>
                        <w:sz w:val="24"/>
                      </w:rPr>
                      <w:instrText xml:space="preserve"> PAGE  \* MERGEFORMAT </w:instrText>
                    </w:r>
                    <w:r>
                      <w:rPr>
                        <w:rFonts w:hint="eastAsia" w:ascii="仿宋_GB2312" w:hAnsi="仿宋_GB2312" w:eastAsia="仿宋_GB2312" w:cs="仿宋_GB2312"/>
                        <w:sz w:val="24"/>
                      </w:rPr>
                      <w:fldChar w:fldCharType="separate"/>
                    </w:r>
                    <w:r>
                      <w:rPr>
                        <w:rFonts w:hint="eastAsia" w:ascii="仿宋_GB2312" w:hAnsi="仿宋_GB2312" w:eastAsia="仿宋_GB2312" w:cs="仿宋_GB2312"/>
                        <w:sz w:val="24"/>
                      </w:rPr>
                      <w:t>1</w:t>
                    </w:r>
                    <w:r>
                      <w:rPr>
                        <w:rFonts w:hint="eastAsia" w:ascii="仿宋_GB2312" w:hAnsi="仿宋_GB2312" w:eastAsia="仿宋_GB2312" w:cs="仿宋_GB2312"/>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7670B"/>
    <w:rsid w:val="00726300"/>
    <w:rsid w:val="012D0479"/>
    <w:rsid w:val="01543C57"/>
    <w:rsid w:val="0250441F"/>
    <w:rsid w:val="02820350"/>
    <w:rsid w:val="02AD7AC3"/>
    <w:rsid w:val="02B0310F"/>
    <w:rsid w:val="02F32FFC"/>
    <w:rsid w:val="03936CB9"/>
    <w:rsid w:val="0442423B"/>
    <w:rsid w:val="044B1342"/>
    <w:rsid w:val="04936845"/>
    <w:rsid w:val="04AC0867"/>
    <w:rsid w:val="04F25C61"/>
    <w:rsid w:val="050261F7"/>
    <w:rsid w:val="054A19C3"/>
    <w:rsid w:val="0553688F"/>
    <w:rsid w:val="05F652DD"/>
    <w:rsid w:val="06CD24E2"/>
    <w:rsid w:val="07195727"/>
    <w:rsid w:val="07A80859"/>
    <w:rsid w:val="088F5575"/>
    <w:rsid w:val="092108C3"/>
    <w:rsid w:val="09520ED8"/>
    <w:rsid w:val="0A195A3E"/>
    <w:rsid w:val="0A283ED3"/>
    <w:rsid w:val="0A382368"/>
    <w:rsid w:val="0A384381"/>
    <w:rsid w:val="0B106E41"/>
    <w:rsid w:val="0B1F0E32"/>
    <w:rsid w:val="0B2508ED"/>
    <w:rsid w:val="0BA53A2D"/>
    <w:rsid w:val="0BC7670B"/>
    <w:rsid w:val="0BF027CF"/>
    <w:rsid w:val="0C027551"/>
    <w:rsid w:val="0C111A82"/>
    <w:rsid w:val="0D470B14"/>
    <w:rsid w:val="0D754339"/>
    <w:rsid w:val="0D935B07"/>
    <w:rsid w:val="0DF2282E"/>
    <w:rsid w:val="0E06452B"/>
    <w:rsid w:val="0E3177FA"/>
    <w:rsid w:val="0E326BA2"/>
    <w:rsid w:val="0E8006AC"/>
    <w:rsid w:val="0EBB3568"/>
    <w:rsid w:val="0ECD6DF7"/>
    <w:rsid w:val="0EF83E74"/>
    <w:rsid w:val="0F1E29AB"/>
    <w:rsid w:val="103C5FE2"/>
    <w:rsid w:val="10B77D5F"/>
    <w:rsid w:val="10CF32FA"/>
    <w:rsid w:val="10CF3395"/>
    <w:rsid w:val="10DB1C9F"/>
    <w:rsid w:val="10FB5E9E"/>
    <w:rsid w:val="11D474AD"/>
    <w:rsid w:val="11E44B84"/>
    <w:rsid w:val="11ED1C8A"/>
    <w:rsid w:val="11F16D5E"/>
    <w:rsid w:val="121C431D"/>
    <w:rsid w:val="12443874"/>
    <w:rsid w:val="12A32349"/>
    <w:rsid w:val="1319085D"/>
    <w:rsid w:val="137F4BD8"/>
    <w:rsid w:val="13806B2E"/>
    <w:rsid w:val="139A1517"/>
    <w:rsid w:val="13FF5366"/>
    <w:rsid w:val="14215C1B"/>
    <w:rsid w:val="147062DF"/>
    <w:rsid w:val="14807F54"/>
    <w:rsid w:val="153674A4"/>
    <w:rsid w:val="16340FFE"/>
    <w:rsid w:val="163548CE"/>
    <w:rsid w:val="16414353"/>
    <w:rsid w:val="165A3666"/>
    <w:rsid w:val="16614D6C"/>
    <w:rsid w:val="17824C5E"/>
    <w:rsid w:val="184364E7"/>
    <w:rsid w:val="186E33F9"/>
    <w:rsid w:val="190A1374"/>
    <w:rsid w:val="191B4526"/>
    <w:rsid w:val="19616ABA"/>
    <w:rsid w:val="199B021E"/>
    <w:rsid w:val="19DD3793"/>
    <w:rsid w:val="1A004525"/>
    <w:rsid w:val="1A651146"/>
    <w:rsid w:val="1A845156"/>
    <w:rsid w:val="1A8C400A"/>
    <w:rsid w:val="1B19589E"/>
    <w:rsid w:val="1B5811BD"/>
    <w:rsid w:val="1B5A7C65"/>
    <w:rsid w:val="1B684130"/>
    <w:rsid w:val="1B9403E7"/>
    <w:rsid w:val="1BE063BC"/>
    <w:rsid w:val="1BE64897"/>
    <w:rsid w:val="1C2529FF"/>
    <w:rsid w:val="1C4C493F"/>
    <w:rsid w:val="1C5365F7"/>
    <w:rsid w:val="1C9176B6"/>
    <w:rsid w:val="1CCF653B"/>
    <w:rsid w:val="1D2247B2"/>
    <w:rsid w:val="1D2B7B0B"/>
    <w:rsid w:val="1D383FD6"/>
    <w:rsid w:val="1D3C5874"/>
    <w:rsid w:val="1D632E00"/>
    <w:rsid w:val="1DA13929"/>
    <w:rsid w:val="1DAA4ED3"/>
    <w:rsid w:val="1DC332DD"/>
    <w:rsid w:val="1DCD2970"/>
    <w:rsid w:val="1E3D59F6"/>
    <w:rsid w:val="1E480248"/>
    <w:rsid w:val="1E4A0464"/>
    <w:rsid w:val="1EA638ED"/>
    <w:rsid w:val="1EAA4A5F"/>
    <w:rsid w:val="1FB060A5"/>
    <w:rsid w:val="1FE346CD"/>
    <w:rsid w:val="21957C48"/>
    <w:rsid w:val="21EF7359"/>
    <w:rsid w:val="21F4671D"/>
    <w:rsid w:val="22123047"/>
    <w:rsid w:val="226B2757"/>
    <w:rsid w:val="23160915"/>
    <w:rsid w:val="23571659"/>
    <w:rsid w:val="239969B1"/>
    <w:rsid w:val="23BD5235"/>
    <w:rsid w:val="2472601F"/>
    <w:rsid w:val="25205A7B"/>
    <w:rsid w:val="25641E0C"/>
    <w:rsid w:val="2587603B"/>
    <w:rsid w:val="25B74631"/>
    <w:rsid w:val="25CE197B"/>
    <w:rsid w:val="26541E80"/>
    <w:rsid w:val="26832765"/>
    <w:rsid w:val="26C62652"/>
    <w:rsid w:val="26D11723"/>
    <w:rsid w:val="26D42FC1"/>
    <w:rsid w:val="26EF3957"/>
    <w:rsid w:val="271635D9"/>
    <w:rsid w:val="27637EA1"/>
    <w:rsid w:val="27A6670B"/>
    <w:rsid w:val="27B64475"/>
    <w:rsid w:val="28397580"/>
    <w:rsid w:val="288F53F1"/>
    <w:rsid w:val="28DB0637"/>
    <w:rsid w:val="28F6108D"/>
    <w:rsid w:val="293E5D78"/>
    <w:rsid w:val="29A24CB1"/>
    <w:rsid w:val="29B844D4"/>
    <w:rsid w:val="29C611FA"/>
    <w:rsid w:val="29E754BD"/>
    <w:rsid w:val="2A523A55"/>
    <w:rsid w:val="2A9F0F97"/>
    <w:rsid w:val="2AAB5DE7"/>
    <w:rsid w:val="2AC90C66"/>
    <w:rsid w:val="2AE337D3"/>
    <w:rsid w:val="2B0F6376"/>
    <w:rsid w:val="2B4A1AA4"/>
    <w:rsid w:val="2C0B2FE1"/>
    <w:rsid w:val="2C82701B"/>
    <w:rsid w:val="2CA13945"/>
    <w:rsid w:val="2D355E3C"/>
    <w:rsid w:val="2D522E91"/>
    <w:rsid w:val="2E505623"/>
    <w:rsid w:val="2F1523C9"/>
    <w:rsid w:val="2F4B1946"/>
    <w:rsid w:val="30901AA0"/>
    <w:rsid w:val="317A4570"/>
    <w:rsid w:val="32087FC3"/>
    <w:rsid w:val="329234F1"/>
    <w:rsid w:val="32FA4B9F"/>
    <w:rsid w:val="33321433"/>
    <w:rsid w:val="33332C90"/>
    <w:rsid w:val="334868C9"/>
    <w:rsid w:val="337B3785"/>
    <w:rsid w:val="337E22EA"/>
    <w:rsid w:val="33BC1065"/>
    <w:rsid w:val="33D04B10"/>
    <w:rsid w:val="342F0BF2"/>
    <w:rsid w:val="34AC10D9"/>
    <w:rsid w:val="35020CF9"/>
    <w:rsid w:val="3538602B"/>
    <w:rsid w:val="35577297"/>
    <w:rsid w:val="355A6D87"/>
    <w:rsid w:val="355E6877"/>
    <w:rsid w:val="357A2DF7"/>
    <w:rsid w:val="35986E4F"/>
    <w:rsid w:val="35D72186"/>
    <w:rsid w:val="36D05553"/>
    <w:rsid w:val="37476E97"/>
    <w:rsid w:val="379245B6"/>
    <w:rsid w:val="379E11AD"/>
    <w:rsid w:val="37CE24AF"/>
    <w:rsid w:val="37FA03AE"/>
    <w:rsid w:val="3801173C"/>
    <w:rsid w:val="381476C1"/>
    <w:rsid w:val="38F0269B"/>
    <w:rsid w:val="39C72511"/>
    <w:rsid w:val="39DF5AAD"/>
    <w:rsid w:val="3A0B4AF4"/>
    <w:rsid w:val="3A485400"/>
    <w:rsid w:val="3A5A5133"/>
    <w:rsid w:val="3AC802EF"/>
    <w:rsid w:val="3AEE274E"/>
    <w:rsid w:val="3AF86E26"/>
    <w:rsid w:val="3BC94845"/>
    <w:rsid w:val="3C1C4D96"/>
    <w:rsid w:val="3C552056"/>
    <w:rsid w:val="3D1617E6"/>
    <w:rsid w:val="3D255ECD"/>
    <w:rsid w:val="3D436353"/>
    <w:rsid w:val="3E0C4997"/>
    <w:rsid w:val="3E126451"/>
    <w:rsid w:val="3E23065E"/>
    <w:rsid w:val="3E894239"/>
    <w:rsid w:val="3E9F580B"/>
    <w:rsid w:val="3F177A97"/>
    <w:rsid w:val="3F850EA5"/>
    <w:rsid w:val="3F966D63"/>
    <w:rsid w:val="402661E4"/>
    <w:rsid w:val="403A64B2"/>
    <w:rsid w:val="404448BC"/>
    <w:rsid w:val="405214DD"/>
    <w:rsid w:val="405A5E8D"/>
    <w:rsid w:val="406E7B8B"/>
    <w:rsid w:val="40DF4F50"/>
    <w:rsid w:val="416F5968"/>
    <w:rsid w:val="42375CB6"/>
    <w:rsid w:val="42424E2B"/>
    <w:rsid w:val="42905B96"/>
    <w:rsid w:val="438374A9"/>
    <w:rsid w:val="43A044FF"/>
    <w:rsid w:val="43B835F7"/>
    <w:rsid w:val="43EE1136"/>
    <w:rsid w:val="43F9776B"/>
    <w:rsid w:val="443E4699"/>
    <w:rsid w:val="446C2633"/>
    <w:rsid w:val="457E43CC"/>
    <w:rsid w:val="45C67B21"/>
    <w:rsid w:val="45ED3300"/>
    <w:rsid w:val="45EE1552"/>
    <w:rsid w:val="46753A21"/>
    <w:rsid w:val="46AE2A8F"/>
    <w:rsid w:val="480620B9"/>
    <w:rsid w:val="480E5EDB"/>
    <w:rsid w:val="48544311"/>
    <w:rsid w:val="4860425D"/>
    <w:rsid w:val="48A4239B"/>
    <w:rsid w:val="494E592A"/>
    <w:rsid w:val="49521DF7"/>
    <w:rsid w:val="49641DFF"/>
    <w:rsid w:val="497D499A"/>
    <w:rsid w:val="49E05655"/>
    <w:rsid w:val="4A38723F"/>
    <w:rsid w:val="4A8C4DC6"/>
    <w:rsid w:val="4AAC19DB"/>
    <w:rsid w:val="4AC26B09"/>
    <w:rsid w:val="4AE922E8"/>
    <w:rsid w:val="4B7F49FA"/>
    <w:rsid w:val="4BB723FD"/>
    <w:rsid w:val="4C8272C8"/>
    <w:rsid w:val="4CD07C50"/>
    <w:rsid w:val="4CD40D75"/>
    <w:rsid w:val="4CD9679C"/>
    <w:rsid w:val="4D2C0BB1"/>
    <w:rsid w:val="4D626381"/>
    <w:rsid w:val="4DBD7A5B"/>
    <w:rsid w:val="4E094A4F"/>
    <w:rsid w:val="4EB81818"/>
    <w:rsid w:val="4EC76DE4"/>
    <w:rsid w:val="4F7A0475"/>
    <w:rsid w:val="4FB214FE"/>
    <w:rsid w:val="50BC7CAB"/>
    <w:rsid w:val="50E53551"/>
    <w:rsid w:val="50EF2622"/>
    <w:rsid w:val="51024103"/>
    <w:rsid w:val="515F1555"/>
    <w:rsid w:val="517A32CC"/>
    <w:rsid w:val="51A11B6E"/>
    <w:rsid w:val="52306A4E"/>
    <w:rsid w:val="52946FDD"/>
    <w:rsid w:val="53503344"/>
    <w:rsid w:val="539F3E8B"/>
    <w:rsid w:val="53CA0019"/>
    <w:rsid w:val="54CC6443"/>
    <w:rsid w:val="54F71AA5"/>
    <w:rsid w:val="551D50C6"/>
    <w:rsid w:val="55540CA5"/>
    <w:rsid w:val="55711857"/>
    <w:rsid w:val="55886BA1"/>
    <w:rsid w:val="55D41DE6"/>
    <w:rsid w:val="563C00B7"/>
    <w:rsid w:val="572253C2"/>
    <w:rsid w:val="57272B15"/>
    <w:rsid w:val="579655A5"/>
    <w:rsid w:val="579D4B86"/>
    <w:rsid w:val="57D60097"/>
    <w:rsid w:val="586A0E03"/>
    <w:rsid w:val="597D18F3"/>
    <w:rsid w:val="59B461B6"/>
    <w:rsid w:val="5A124512"/>
    <w:rsid w:val="5A18311A"/>
    <w:rsid w:val="5A233363"/>
    <w:rsid w:val="5A5534F6"/>
    <w:rsid w:val="5B030FC4"/>
    <w:rsid w:val="5B263132"/>
    <w:rsid w:val="5B414AC9"/>
    <w:rsid w:val="5B551FAD"/>
    <w:rsid w:val="5B745BFD"/>
    <w:rsid w:val="5BAA7871"/>
    <w:rsid w:val="5C5B500F"/>
    <w:rsid w:val="5C9B1B86"/>
    <w:rsid w:val="5CB87D6C"/>
    <w:rsid w:val="5CF27722"/>
    <w:rsid w:val="5D8365CC"/>
    <w:rsid w:val="5DB9023F"/>
    <w:rsid w:val="5E1436C8"/>
    <w:rsid w:val="5E48511F"/>
    <w:rsid w:val="5E8D26AE"/>
    <w:rsid w:val="5E8E1AB7"/>
    <w:rsid w:val="5EB02500"/>
    <w:rsid w:val="5EDA046D"/>
    <w:rsid w:val="5EE27322"/>
    <w:rsid w:val="5EF86DE5"/>
    <w:rsid w:val="5F2B3E04"/>
    <w:rsid w:val="5F3F2255"/>
    <w:rsid w:val="5F8F74AA"/>
    <w:rsid w:val="5FB44474"/>
    <w:rsid w:val="5FE65C93"/>
    <w:rsid w:val="6071407C"/>
    <w:rsid w:val="60CF38D6"/>
    <w:rsid w:val="61281BA5"/>
    <w:rsid w:val="614F7FD9"/>
    <w:rsid w:val="615838CB"/>
    <w:rsid w:val="61C13B66"/>
    <w:rsid w:val="626A0837"/>
    <w:rsid w:val="62E96ED1"/>
    <w:rsid w:val="63277B66"/>
    <w:rsid w:val="64D15E6F"/>
    <w:rsid w:val="64F8164D"/>
    <w:rsid w:val="65271F32"/>
    <w:rsid w:val="6578278E"/>
    <w:rsid w:val="66383CCB"/>
    <w:rsid w:val="66664CDC"/>
    <w:rsid w:val="6669468A"/>
    <w:rsid w:val="66AC6B93"/>
    <w:rsid w:val="66B6517E"/>
    <w:rsid w:val="66BB5028"/>
    <w:rsid w:val="66D22750"/>
    <w:rsid w:val="66EF082E"/>
    <w:rsid w:val="66F52E78"/>
    <w:rsid w:val="670307BF"/>
    <w:rsid w:val="67677186"/>
    <w:rsid w:val="681F306F"/>
    <w:rsid w:val="68E65C61"/>
    <w:rsid w:val="69BF6BDD"/>
    <w:rsid w:val="69C904AC"/>
    <w:rsid w:val="69D1246D"/>
    <w:rsid w:val="6A1F745E"/>
    <w:rsid w:val="6A6D03E7"/>
    <w:rsid w:val="6AB844F7"/>
    <w:rsid w:val="6AF97907"/>
    <w:rsid w:val="6B013226"/>
    <w:rsid w:val="6B0D3978"/>
    <w:rsid w:val="6B264A3A"/>
    <w:rsid w:val="6B615D5C"/>
    <w:rsid w:val="6B6C4B43"/>
    <w:rsid w:val="6B757AC3"/>
    <w:rsid w:val="6B7632CC"/>
    <w:rsid w:val="6BAA566B"/>
    <w:rsid w:val="6BAB4210"/>
    <w:rsid w:val="6BC27CCC"/>
    <w:rsid w:val="6C156F89"/>
    <w:rsid w:val="6C225202"/>
    <w:rsid w:val="6C2D5DC0"/>
    <w:rsid w:val="6C424E4E"/>
    <w:rsid w:val="6D0A4613"/>
    <w:rsid w:val="6D0D7C60"/>
    <w:rsid w:val="6D8048D6"/>
    <w:rsid w:val="6DFB3F5C"/>
    <w:rsid w:val="6E2D7665"/>
    <w:rsid w:val="6E494CC8"/>
    <w:rsid w:val="6E4F6056"/>
    <w:rsid w:val="6E755ABD"/>
    <w:rsid w:val="6EF74724"/>
    <w:rsid w:val="6F6C1C5D"/>
    <w:rsid w:val="703419A7"/>
    <w:rsid w:val="70875F7B"/>
    <w:rsid w:val="70A00DEB"/>
    <w:rsid w:val="70AB1C6A"/>
    <w:rsid w:val="7138050E"/>
    <w:rsid w:val="715220E5"/>
    <w:rsid w:val="71566079"/>
    <w:rsid w:val="719C15B2"/>
    <w:rsid w:val="72281098"/>
    <w:rsid w:val="729B7ABC"/>
    <w:rsid w:val="72EC0317"/>
    <w:rsid w:val="73085D88"/>
    <w:rsid w:val="73B05D63"/>
    <w:rsid w:val="7454695B"/>
    <w:rsid w:val="747B1953"/>
    <w:rsid w:val="748C1DB2"/>
    <w:rsid w:val="74A62C0B"/>
    <w:rsid w:val="755F6C23"/>
    <w:rsid w:val="76066838"/>
    <w:rsid w:val="760D2A7F"/>
    <w:rsid w:val="761107C1"/>
    <w:rsid w:val="765D0C13"/>
    <w:rsid w:val="768947FB"/>
    <w:rsid w:val="776B2153"/>
    <w:rsid w:val="77D0645A"/>
    <w:rsid w:val="77DC6BAC"/>
    <w:rsid w:val="77F83AFA"/>
    <w:rsid w:val="783D6892"/>
    <w:rsid w:val="78A3680A"/>
    <w:rsid w:val="796C21B2"/>
    <w:rsid w:val="796C5D0E"/>
    <w:rsid w:val="799A4249"/>
    <w:rsid w:val="79A84CF6"/>
    <w:rsid w:val="7AAB2866"/>
    <w:rsid w:val="7B6E5D6D"/>
    <w:rsid w:val="7BC640D7"/>
    <w:rsid w:val="7C487BF3"/>
    <w:rsid w:val="7CA83501"/>
    <w:rsid w:val="7CC52305"/>
    <w:rsid w:val="7CEA58C8"/>
    <w:rsid w:val="7CF7272E"/>
    <w:rsid w:val="7DCB394B"/>
    <w:rsid w:val="7DEB49CB"/>
    <w:rsid w:val="7E1352F2"/>
    <w:rsid w:val="7E13767C"/>
    <w:rsid w:val="7E413C0D"/>
    <w:rsid w:val="7EA30424"/>
    <w:rsid w:val="7EE527EB"/>
    <w:rsid w:val="7F01514B"/>
    <w:rsid w:val="7F054C3B"/>
    <w:rsid w:val="7F45772D"/>
    <w:rsid w:val="7F650DC4"/>
    <w:rsid w:val="7F741DC0"/>
    <w:rsid w:val="7FA73F44"/>
    <w:rsid w:val="7FD22CD5"/>
    <w:rsid w:val="AA5B4F06"/>
    <w:rsid w:val="F9CCF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3097</Words>
  <Characters>3120</Characters>
  <Lines>0</Lines>
  <Paragraphs>0</Paragraphs>
  <TotalTime>0</TotalTime>
  <ScaleCrop>false</ScaleCrop>
  <LinksUpToDate>false</LinksUpToDate>
  <CharactersWithSpaces>3161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2025-02-06T23:35:00Z</dcterms:created>
  <dc:creator>zouyt</dc:creator>
  <cp:lastModifiedBy>zouyt</cp:lastModifiedBy>
  <dcterms:modified xsi:type="dcterms:W3CDTF">2025-03-27T07:39:02Z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0EC2E60745D6468388D06048971C87F5_13</vt:lpwstr>
  </property>
  <property fmtid="{D5CDD505-2E9C-101B-9397-08002B2CF9AE}" pid="4" name="KSOTemplateDocerSaveRecord">
    <vt:lpwstr>eyJoZGlkIjoiY2I1OTk4NTEwYTQ0Yjg1YzVlNWEwMDcwMjFmNWE2YTgiLCJ1c2VySWQiOiI5MzExMDc0OTgifQ==</vt:lpwstr>
  </property>
</Properties>
</file>