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textAlignment w:val="baseline"/>
        <w:rPr>
          <w:rFonts w:ascii="仿宋_GB2312" w:eastAsia="仿宋_GB2312" w:cs="方正小标宋简体"/>
          <w:color w:val="000000"/>
          <w:kern w:val="0"/>
          <w:sz w:val="32"/>
          <w:szCs w:val="32"/>
        </w:rPr>
      </w:pPr>
      <w:r>
        <w:rPr>
          <w:rFonts w:ascii="仿宋_GB2312" w:eastAsia="仿宋_GB2312" w:cs="方正小标宋简体" w:hint="eastAsia"/>
          <w:color w:val="000000"/>
          <w:kern w:val="0"/>
          <w:sz w:val="32"/>
          <w:szCs w:val="32"/>
        </w:rPr>
        <w:t>附件</w:t>
      </w:r>
      <w:r>
        <w:rPr>
          <w:rFonts w:ascii="Times New Roman" w:eastAsia="仿宋_GB2312" w:cs="Times New Roman" w:hAnsi="Times New Roman"/>
          <w:color w:val="000000"/>
          <w:kern w:val="0"/>
          <w:sz w:val="32"/>
          <w:szCs w:val="32"/>
        </w:rPr>
        <w:t>3</w:t>
      </w:r>
    </w:p>
    <w:p>
      <w:pPr>
        <w:spacing w:line="600" w:lineRule="exact"/>
        <w:jc w:val="center"/>
        <w:textAlignment w:val="baseline"/>
        <w:rPr>
          <w:rFonts w:ascii="方正小标宋简体" w:eastAsia="方正小标宋简体" w:cs="方正小标宋简体"/>
          <w:color w:val="000000"/>
          <w:kern w:val="0"/>
          <w:sz w:val="40"/>
          <w:szCs w:val="40"/>
        </w:rPr>
      </w:pPr>
    </w:p>
    <w:p>
      <w:pPr>
        <w:jc w:val="center"/>
        <w:rPr>
          <w:rFonts w:ascii="方正大标宋_GBK" w:eastAsia="方正大标宋_GBK" w:cs="方正大标宋_GBK"/>
          <w:color w:val="000000"/>
          <w:kern w:val="0"/>
          <w:sz w:val="44"/>
          <w:szCs w:val="44"/>
          <w:lang w:bidi="ar-SA"/>
        </w:rPr>
      </w:pPr>
      <w:r>
        <w:rPr>
          <w:rFonts w:ascii="方正大标宋_GBK" w:eastAsia="方正大标宋_GBK" w:cs="方正大标宋_GBK" w:hint="eastAsia"/>
          <w:color w:val="000000"/>
          <w:kern w:val="0"/>
          <w:sz w:val="44"/>
          <w:szCs w:val="44"/>
        </w:rPr>
        <w:t>《</w:t>
      </w:r>
      <w:r>
        <w:rPr>
          <w:rFonts w:ascii="方正大标宋_GBK" w:eastAsia="方正大标宋_GBK" w:cs="方正大标宋_GBK" w:hint="eastAsia"/>
          <w:color w:val="000000"/>
          <w:kern w:val="0"/>
          <w:sz w:val="44"/>
          <w:szCs w:val="44"/>
          <w:lang w:bidi="ar-SA"/>
        </w:rPr>
        <w:t>温州市城市轨道交通管理办法（试行）》</w:t>
      </w:r>
    </w:p>
    <w:p>
      <w:pPr>
        <w:jc w:val="center"/>
        <w:rPr>
          <w:rFonts w:ascii="方正大标宋_GBK" w:eastAsia="方正大标宋_GBK" w:cs="方正小标宋简体"/>
          <w:color w:val="000000"/>
          <w:kern w:val="0"/>
          <w:sz w:val="44"/>
          <w:szCs w:val="44"/>
        </w:rPr>
      </w:pPr>
      <w:r>
        <w:rPr>
          <w:rFonts w:ascii="方正大标宋_GBK" w:eastAsia="方正大标宋_GBK" w:cs="方正大标宋_GBK" w:hint="eastAsia"/>
          <w:color w:val="000000"/>
          <w:kern w:val="0"/>
          <w:sz w:val="44"/>
          <w:szCs w:val="44"/>
          <w:lang w:bidi="ar-SA"/>
        </w:rPr>
        <w:t>（修正草案送审稿）</w:t>
      </w:r>
      <w:r>
        <w:rPr>
          <w:rFonts w:ascii="方正大标宋_GBK" w:eastAsia="方正大标宋_GBK" w:cs="方正大标宋_GBK" w:hint="eastAsia"/>
          <w:color w:val="000000"/>
          <w:kern w:val="0"/>
          <w:sz w:val="44"/>
          <w:szCs w:val="44"/>
        </w:rPr>
        <w:t>起草说明</w:t>
      </w:r>
    </w:p>
    <w:p>
      <w:pPr>
        <w:pStyle w:val="16"/>
        <w:adjustRightInd/>
        <w:spacing w:line="600" w:lineRule="exact"/>
        <w:ind w:firstLineChars="0" w:firstLine="0"/>
        <w:jc w:val="center"/>
        <w:textAlignment w:val="baseline"/>
        <w:rPr>
          <w:rFonts w:ascii="楷体_GB2312" w:eastAsia="楷体_GB2312"/>
          <w:sz w:val="32"/>
          <w:szCs w:val="32"/>
        </w:rPr>
      </w:pPr>
      <w:r>
        <w:rPr>
          <w:rFonts w:ascii="楷体_GB2312" w:eastAsia="楷体_GB2312" w:hint="eastAsia"/>
          <w:sz w:val="32"/>
          <w:szCs w:val="32"/>
        </w:rPr>
        <w:t>温州市</w:t>
      </w:r>
      <w:r>
        <w:rPr>
          <w:rFonts w:ascii="楷体_GB2312" w:eastAsia="楷体_GB2312"/>
          <w:sz w:val="32"/>
          <w:szCs w:val="32"/>
        </w:rPr>
        <w:t>交通运输</w:t>
      </w:r>
      <w:r>
        <w:rPr>
          <w:rFonts w:ascii="楷体_GB2312" w:eastAsia="楷体_GB2312" w:hint="eastAsia"/>
          <w:sz w:val="32"/>
          <w:szCs w:val="32"/>
        </w:rPr>
        <w:t>局</w:t>
      </w:r>
    </w:p>
    <w:p>
      <w:pPr>
        <w:adjustRightInd/>
        <w:spacing w:line="600" w:lineRule="exact"/>
        <w:ind w:firstLineChars="200" w:firstLine="640"/>
        <w:rPr>
          <w:rFonts w:asci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Ansi="黑体" w:hint="eastAsia"/>
          <w:b w:val="0"/>
          <w:bCs w:val="0"/>
          <w:sz w:val="32"/>
          <w:szCs w:val="32"/>
          <w:highlight w:val="auto"/>
        </w:rPr>
      </w:pPr>
      <w:r>
        <w:rPr>
          <w:rFonts w:ascii="黑体" w:eastAsia="黑体" w:cs="黑体" w:hAnsi="黑体" w:hint="eastAsia"/>
          <w:b w:val="0"/>
          <w:bCs w:val="0"/>
          <w:sz w:val="32"/>
          <w:szCs w:val="32"/>
          <w:highlight w:val="auto"/>
        </w:rPr>
        <w:t>一、</w:t>
      </w:r>
      <w:r>
        <w:rPr>
          <w:rFonts w:ascii="黑体" w:eastAsia="黑体" w:cs="黑体" w:hAnsi="黑体" w:hint="eastAsia"/>
          <w:b w:val="0"/>
          <w:bCs w:val="0"/>
          <w:sz w:val="32"/>
          <w:szCs w:val="32"/>
          <w:lang w:val="en-US" w:eastAsia="zh-CN"/>
          <w:highlight w:val="auto"/>
        </w:rPr>
        <w:t>修改</w:t>
      </w:r>
      <w:r>
        <w:rPr>
          <w:rFonts w:ascii="黑体" w:eastAsia="黑体" w:cs="黑体" w:hAnsi="黑体" w:hint="eastAsia"/>
          <w:b w:val="0"/>
          <w:bCs w:val="0"/>
          <w:sz w:val="32"/>
          <w:szCs w:val="32"/>
          <w:highlight w:val="auto"/>
        </w:rPr>
        <w:t>的必要性</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Arial" w:hAnsi="黑体" w:hint="eastAsia"/>
          <w:b w:val="0"/>
          <w:bCs w:val="0"/>
          <w:sz w:val="32"/>
          <w:szCs w:val="32"/>
          <w:lang w:val="en-US" w:eastAsia="zh-CN"/>
          <w:highlight w:val="auto"/>
        </w:rPr>
      </w:pPr>
      <w:r>
        <w:rPr>
          <w:rFonts w:ascii="仿宋_GB2312" w:eastAsia="仿宋_GB2312" w:cs="Arial" w:hAnsi="黑体" w:hint="eastAsia"/>
          <w:b w:val="0"/>
          <w:bCs w:val="0"/>
          <w:sz w:val="32"/>
          <w:szCs w:val="32"/>
          <w:lang w:val="en-US" w:eastAsia="zh-CN"/>
          <w:highlight w:val="auto"/>
        </w:rPr>
        <w:t>轨道交通具有用地省、运能大、快速、准点、节能、污染少、运行经济、安全性好等优点，不仅可以分担常规公共交通的压力、减缓交通拥堵的状况，还能带动轨道沿线的经济发展和提高土地利用能效。</w:t>
      </w:r>
      <w:r>
        <w:rPr>
          <w:rFonts w:ascii="Times New Roman" w:eastAsia="仿宋_GB2312" w:hAnsi="黑体"/>
          <w:b w:val="0"/>
          <w:bCs w:val="0"/>
          <w:sz w:val="32"/>
          <w:szCs w:val="32"/>
          <w:lang w:val="en-US" w:eastAsia="zh-CN"/>
          <w:highlight w:val="auto"/>
        </w:rPr>
        <w:t>2018</w:t>
      </w:r>
      <w:r>
        <w:rPr>
          <w:rFonts w:ascii="仿宋_GB2312" w:eastAsia="仿宋_GB2312" w:cs="Arial" w:hAnsi="黑体" w:hint="eastAsia"/>
          <w:b w:val="0"/>
          <w:bCs w:val="0"/>
          <w:sz w:val="32"/>
          <w:szCs w:val="32"/>
          <w:lang w:val="en-US" w:eastAsia="zh-CN"/>
          <w:highlight w:val="auto"/>
        </w:rPr>
        <w:t>年</w:t>
      </w:r>
      <w:r>
        <w:rPr>
          <w:rFonts w:ascii="仿宋_GB2312" w:eastAsia="仿宋_GB2312" w:cs="Arial" w:hAnsi="黑体"/>
          <w:b w:val="0"/>
          <w:bCs w:val="0"/>
          <w:sz w:val="32"/>
          <w:szCs w:val="32"/>
          <w:lang w:val="en-US" w:eastAsia="zh-CN"/>
          <w:highlight w:val="auto"/>
        </w:rPr>
        <w:t>，</w:t>
      </w:r>
      <w:r>
        <w:rPr>
          <w:rFonts w:ascii="仿宋_GB2312" w:eastAsia="仿宋_GB2312" w:cs="Arial" w:hAnsi="黑体" w:hint="eastAsia"/>
          <w:b w:val="0"/>
          <w:bCs w:val="0"/>
          <w:sz w:val="32"/>
          <w:szCs w:val="32"/>
          <w:lang w:val="en-US" w:eastAsia="zh-CN"/>
          <w:highlight w:val="auto"/>
        </w:rPr>
        <w:t>温州市</w:t>
      </w:r>
      <w:r>
        <w:rPr>
          <w:rFonts w:ascii="仿宋_GB2312" w:eastAsia="仿宋_GB2312" w:cs="Arial" w:hAnsi="黑体"/>
          <w:b w:val="0"/>
          <w:bCs w:val="0"/>
          <w:sz w:val="32"/>
          <w:szCs w:val="32"/>
          <w:lang w:val="en-US" w:eastAsia="zh-CN"/>
          <w:highlight w:val="auto"/>
        </w:rPr>
        <w:t>人民</w:t>
      </w:r>
      <w:r>
        <w:rPr>
          <w:rFonts w:ascii="仿宋_GB2312" w:eastAsia="仿宋_GB2312" w:cs="Arial" w:hAnsi="黑体" w:hint="eastAsia"/>
          <w:b w:val="0"/>
          <w:bCs w:val="0"/>
          <w:sz w:val="32"/>
          <w:szCs w:val="32"/>
          <w:lang w:val="en-US" w:eastAsia="zh-CN"/>
          <w:highlight w:val="auto"/>
        </w:rPr>
        <w:t>政府出台《温州市城市轨道交通管理办法（试行）》（以下简称《办法》）</w:t>
      </w:r>
      <w:r>
        <w:rPr>
          <w:rFonts w:ascii="仿宋_GB2312" w:eastAsia="仿宋_GB2312" w:cs="Arial" w:hAnsi="黑体"/>
          <w:b w:val="0"/>
          <w:bCs w:val="0"/>
          <w:sz w:val="32"/>
          <w:szCs w:val="32"/>
          <w:lang w:val="en-US" w:eastAsia="zh-CN"/>
          <w:highlight w:val="auto"/>
        </w:rPr>
        <w:t>，并于次年</w:t>
      </w:r>
      <w:r>
        <w:rPr>
          <w:rFonts w:ascii="Times New Roman" w:eastAsia="仿宋_GB2312" w:cs="Times New Roman" w:hAnsi="黑体"/>
          <w:b w:val="0"/>
          <w:bCs w:val="0"/>
          <w:sz w:val="32"/>
          <w:szCs w:val="32"/>
          <w:lang w:val="en-US" w:eastAsia="zh-CN"/>
          <w:highlight w:val="auto"/>
        </w:rPr>
        <w:t>1</w:t>
      </w:r>
      <w:r>
        <w:rPr>
          <w:rFonts w:ascii="仿宋_GB2312" w:eastAsia="仿宋_GB2312" w:cs="Arial" w:hAnsi="黑体"/>
          <w:b w:val="0"/>
          <w:bCs w:val="0"/>
          <w:sz w:val="32"/>
          <w:szCs w:val="32"/>
          <w:lang w:val="en-US" w:eastAsia="zh-CN"/>
          <w:highlight w:val="auto"/>
        </w:rPr>
        <w:t>月</w:t>
      </w:r>
      <w:r>
        <w:rPr>
          <w:rFonts w:ascii="Times New Roman" w:eastAsia="仿宋_GB2312" w:cs="Times New Roman" w:hAnsi="黑体"/>
          <w:sz w:val="32"/>
          <w:szCs w:val="32"/>
          <w:highlight w:val="auto"/>
        </w:rPr>
        <w:t>1</w:t>
      </w:r>
      <w:r>
        <w:rPr>
          <w:rFonts w:ascii="仿宋_GB2312" w:eastAsia="仿宋_GB2312" w:cs="Arial" w:hAnsi="黑体"/>
          <w:b w:val="0"/>
          <w:bCs w:val="0"/>
          <w:sz w:val="32"/>
          <w:szCs w:val="32"/>
          <w:lang w:val="en-US" w:eastAsia="zh-CN"/>
          <w:highlight w:val="auto"/>
        </w:rPr>
        <w:t>日起施行</w:t>
      </w:r>
      <w:r>
        <w:rPr>
          <w:rFonts w:ascii="仿宋_GB2312" w:eastAsia="仿宋_GB2312" w:cs="Arial" w:hAnsi="黑体" w:hint="eastAsia"/>
          <w:b w:val="0"/>
          <w:bCs w:val="0"/>
          <w:sz w:val="32"/>
          <w:szCs w:val="32"/>
          <w:lang w:val="en-US" w:eastAsia="zh-CN"/>
          <w:highlight w:val="auto"/>
        </w:rPr>
        <w:t>，对保障我市城市轨道交通规划、建设和运营管理工作有序开展发挥了积极作用。随着我市市域铁路</w:t>
      </w:r>
      <w:r>
        <w:rPr>
          <w:rFonts w:ascii="Times New Roman" w:eastAsia="仿宋_GB2312" w:hAnsi="黑体"/>
          <w:b w:val="0"/>
          <w:bCs w:val="0"/>
          <w:sz w:val="32"/>
          <w:szCs w:val="32"/>
          <w:lang w:val="en-US" w:eastAsia="zh-CN"/>
          <w:highlight w:val="auto"/>
        </w:rPr>
        <w:t>S1</w:t>
      </w:r>
      <w:r>
        <w:rPr>
          <w:rFonts w:ascii="仿宋_GB2312" w:eastAsia="仿宋_GB2312" w:cs="Arial" w:hAnsi="黑体" w:hint="eastAsia"/>
          <w:b w:val="0"/>
          <w:bCs w:val="0"/>
          <w:sz w:val="32"/>
          <w:szCs w:val="32"/>
          <w:lang w:val="en-US" w:eastAsia="zh-CN"/>
          <w:highlight w:val="auto"/>
        </w:rPr>
        <w:t>、</w:t>
      </w:r>
      <w:r>
        <w:rPr>
          <w:rFonts w:ascii="Times New Roman" w:eastAsia="仿宋_GB2312" w:cs="Arial" w:hAnsi="黑体"/>
          <w:sz w:val="32"/>
          <w:szCs w:val="32"/>
          <w:highlight w:val="auto"/>
        </w:rPr>
        <w:t>S2</w:t>
      </w:r>
      <w:r>
        <w:rPr>
          <w:rFonts w:ascii="仿宋_GB2312" w:eastAsia="仿宋_GB2312" w:cs="Arial" w:hAnsi="黑体" w:hint="eastAsia"/>
          <w:b w:val="0"/>
          <w:bCs w:val="0"/>
          <w:sz w:val="32"/>
          <w:szCs w:val="32"/>
          <w:lang w:val="en-US" w:eastAsia="zh-CN"/>
          <w:highlight w:val="auto"/>
        </w:rPr>
        <w:t>开通运营，</w:t>
      </w:r>
      <w:r>
        <w:rPr>
          <w:rFonts w:ascii="Times New Roman" w:eastAsia="仿宋_GB2312" w:cs="Arial" w:hAnsi="黑体"/>
          <w:sz w:val="32"/>
          <w:szCs w:val="32"/>
          <w:lang w:val="en-US" w:eastAsia="zh-CN"/>
          <w:highlight w:val="auto"/>
        </w:rPr>
        <w:t>S3</w:t>
      </w:r>
      <w:r>
        <w:rPr>
          <w:rFonts w:ascii="仿宋_GB2312" w:eastAsia="仿宋_GB2312" w:cs="Arial" w:hAnsi="黑体" w:hint="eastAsia"/>
          <w:b w:val="0"/>
          <w:bCs w:val="0"/>
          <w:sz w:val="32"/>
          <w:szCs w:val="32"/>
          <w:lang w:val="en-US" w:eastAsia="zh-CN"/>
          <w:highlight w:val="auto"/>
        </w:rPr>
        <w:t>启动建设，城市轨道交通建设、运营覆盖行政区域不断扩大，《办法》已经不能完全满足我市轨道交通规划、建设、安全管理、运营等需求。因此，根据温州实际情况的变化，适时适度修改《办法》，十分必要。</w:t>
      </w:r>
      <w:r>
        <w:rPr>
          <w:rFonts w:ascii="仿宋_GB2312" w:eastAsia="仿宋_GB2312" w:cs="Arial" w:hAnsi="黑体"/>
          <w:b w:val="0"/>
          <w:bCs w:val="0"/>
          <w:sz w:val="32"/>
          <w:szCs w:val="32"/>
          <w:lang w:val="en-US" w:eastAsia="zh-CN"/>
          <w:highlight w:val="auto"/>
        </w:rPr>
        <w:t>另，制订</w:t>
      </w:r>
      <w:r>
        <w:rPr>
          <w:rFonts w:ascii="仿宋_GB2312" w:eastAsia="仿宋_GB2312" w:cs="Arial" w:hAnsi="黑体"/>
          <w:b w:val="0"/>
          <w:bCs w:val="0"/>
          <w:sz w:val="32"/>
          <w:szCs w:val="32"/>
          <w:lang w:val="en-US" w:eastAsia="zh-CN"/>
        </w:rPr>
        <w:t>《温州市城市轨道交通管理条例》已列入我市</w:t>
      </w:r>
      <w:r>
        <w:rPr>
          <w:rFonts w:ascii="仿宋_GB2312" w:eastAsia="仿宋_GB2312" w:cs="Arial" w:hAnsi="黑体"/>
          <w:b w:val="0"/>
          <w:bCs w:val="0"/>
          <w:sz w:val="32"/>
          <w:szCs w:val="32"/>
          <w:lang w:val="en-US" w:eastAsia="zh-CN"/>
          <w:highlight w:val="auto"/>
        </w:rPr>
        <w:t>地方性法项的</w:t>
      </w:r>
      <w:r>
        <w:rPr>
          <w:rFonts w:ascii="仿宋_GB2312" w:eastAsia="仿宋_GB2312" w:cs="Arial" w:hAnsi="黑体"/>
          <w:b w:val="0"/>
          <w:bCs w:val="0"/>
          <w:sz w:val="32"/>
          <w:szCs w:val="32"/>
          <w:lang w:val="en-US" w:eastAsia="zh-CN"/>
        </w:rPr>
        <w:t>预备项目，但何时转为审议项目仍待市人大常委会根据项目成熟度、立法紧迫性等在以后年度统筹安排。</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Ansi="黑体"/>
          <w:b w:val="0"/>
          <w:bCs w:val="0"/>
          <w:sz w:val="32"/>
          <w:szCs w:val="32"/>
          <w:lang w:val="en-US" w:eastAsia="zh-CN"/>
          <w:highlight w:val="auto"/>
        </w:rPr>
      </w:pPr>
      <w:r>
        <w:rPr>
          <w:rFonts w:ascii="黑体" w:eastAsia="黑体" w:cs="黑体" w:hAnsi="黑体" w:hint="eastAsia"/>
          <w:b w:val="0"/>
          <w:bCs w:val="0"/>
          <w:sz w:val="32"/>
          <w:szCs w:val="32"/>
          <w:lang w:val="en-US" w:eastAsia="zh-CN"/>
          <w:highlight w:val="auto"/>
        </w:rPr>
        <w:t>二、</w:t>
      </w:r>
      <w:r>
        <w:rPr>
          <w:rFonts w:ascii="黑体" w:eastAsia="黑体" w:cs="黑体" w:hAnsi="黑体"/>
          <w:sz w:val="32"/>
          <w:szCs w:val="32"/>
        </w:rPr>
        <w:t>上位法以及政策依据与参考</w:t>
      </w:r>
      <w:bookmarkStart w:id="0" w:name="_GoBack"/>
      <w:bookmarkEnd w:id="0"/>
    </w:p>
    <w:p>
      <w:pPr>
        <w:keepNext w:val="0"/>
        <w:keepLines w:val="0"/>
        <w:pageBreakBefore w:val="0"/>
        <w:widowControl w:val="0"/>
        <w:kinsoku/>
        <w:wordWrap/>
        <w:overflowPunct/>
        <w:topLinePunct w:val="0"/>
        <w:autoSpaceDE/>
        <w:autoSpaceDN/>
        <w:adjustRightInd/>
        <w:snapToGrid/>
        <w:spacing w:line="600" w:lineRule="exact"/>
        <w:ind w:firstLineChars="200" w:firstLine="640"/>
        <w:rPr>
          <w:rFonts w:ascii="仿宋_GB2312" w:eastAsia="仿宋_GB2312" w:hAnsi="黑体"/>
          <w:sz w:val="32"/>
          <w:szCs w:val="32"/>
        </w:rPr>
      </w:pPr>
      <w:r>
        <w:rPr>
          <w:rFonts w:ascii="Times New Roman" w:eastAsia="仿宋_GB2312" w:cs="Times New Roman" w:hAnsi="黑体"/>
          <w:sz w:val="32"/>
          <w:szCs w:val="32"/>
          <w:highlight w:val="auto"/>
        </w:rPr>
        <w:t>1</w:t>
      </w:r>
      <w:r>
        <w:rPr>
          <w:rFonts w:ascii="仿宋_GB2312" w:eastAsia="仿宋_GB2312" w:hAnsi="黑体"/>
          <w:sz w:val="32"/>
          <w:szCs w:val="32"/>
          <w:highlight w:val="auto"/>
        </w:rPr>
        <w:t>.</w:t>
      </w:r>
      <w:r>
        <w:rPr>
          <w:rFonts w:ascii="仿宋_GB2312" w:eastAsia="仿宋_GB2312" w:hAnsi="黑体"/>
          <w:sz w:val="32"/>
          <w:szCs w:val="32"/>
        </w:rPr>
        <w:t>上位法依据包括《中华人民共和国安全生产法》《中华人民共和国反恐怖主义法》《中华人民共和国噪声污染防治法》《中华人民共和国行政处罚法》等。</w:t>
      </w:r>
    </w:p>
    <w:p>
      <w:pPr>
        <w:keepNext w:val="0"/>
        <w:keepLines w:val="0"/>
        <w:pageBreakBefore w:val="0"/>
        <w:widowControl w:val="0"/>
        <w:kinsoku/>
        <w:wordWrap/>
        <w:overflowPunct/>
        <w:topLinePunct w:val="0"/>
        <w:autoSpaceDE/>
        <w:autoSpaceDN/>
        <w:adjustRightInd/>
        <w:snapToGrid/>
        <w:spacing w:line="600" w:lineRule="exact"/>
        <w:ind w:firstLineChars="200" w:firstLine="640"/>
        <w:rPr>
          <w:rFonts w:ascii="仿宋_GB2312" w:eastAsia="仿宋_GB2312" w:hAnsi="黑体"/>
          <w:sz w:val="32"/>
          <w:szCs w:val="32"/>
          <w:highlight w:val="auto"/>
        </w:rPr>
      </w:pPr>
      <w:r>
        <w:rPr>
          <w:rFonts w:ascii="Times New Roman" w:eastAsia="仿宋_GB2312" w:cs="Times New Roman" w:hAnsi="黑体"/>
          <w:sz w:val="32"/>
          <w:szCs w:val="32"/>
        </w:rPr>
        <w:t>2</w:t>
      </w:r>
      <w:r>
        <w:rPr>
          <w:rFonts w:ascii="仿宋_GB2312" w:eastAsia="仿宋_GB2312" w:hAnsi="黑体"/>
          <w:sz w:val="32"/>
          <w:szCs w:val="32"/>
        </w:rPr>
        <w:t>.规范性文件政策（含部门规章）依据</w:t>
      </w:r>
      <w:r>
        <w:rPr>
          <w:rFonts w:ascii="仿宋_GB2312" w:eastAsia="仿宋_GB2312" w:hAnsi="黑体"/>
          <w:sz w:val="32"/>
          <w:szCs w:val="32"/>
        </w:rPr>
        <w:t>与</w:t>
      </w:r>
      <w:r>
        <w:rPr>
          <w:rFonts w:ascii="仿宋_GB2312" w:eastAsia="仿宋_GB2312" w:hAnsi="黑体"/>
          <w:sz w:val="32"/>
          <w:szCs w:val="32"/>
        </w:rPr>
        <w:t>参考包括《国务院办公厅关于保障城市轨道交通安全运行的意见》（国办发〔</w:t>
      </w:r>
      <w:r>
        <w:rPr>
          <w:rFonts w:ascii="Times New Roman" w:eastAsia="仿宋_GB2312" w:cs="Times New Roman" w:hAnsi="黑体"/>
          <w:sz w:val="32"/>
          <w:szCs w:val="32"/>
        </w:rPr>
        <w:t>2018</w:t>
      </w:r>
      <w:r>
        <w:rPr>
          <w:rFonts w:ascii="仿宋_GB2312" w:eastAsia="仿宋_GB2312" w:hAnsi="黑体"/>
          <w:sz w:val="32"/>
          <w:szCs w:val="32"/>
        </w:rPr>
        <w:t>〕</w:t>
      </w:r>
      <w:r>
        <w:rPr>
          <w:rFonts w:ascii="Times New Roman" w:eastAsia="仿宋_GB2312" w:cs="Times New Roman" w:hAnsi="黑体"/>
          <w:sz w:val="32"/>
          <w:szCs w:val="32"/>
        </w:rPr>
        <w:t>13</w:t>
      </w:r>
      <w:r>
        <w:rPr>
          <w:rFonts w:ascii="仿宋_GB2312" w:eastAsia="仿宋_GB2312" w:hAnsi="黑体"/>
          <w:sz w:val="32"/>
          <w:szCs w:val="32"/>
        </w:rPr>
        <w:t>号）、《城市轨道交通运营管理规定》（交通运输部令</w:t>
      </w:r>
      <w:r>
        <w:rPr>
          <w:rFonts w:ascii="Times New Roman" w:eastAsia="仿宋_GB2312" w:cs="Times New Roman" w:hAnsi="黑体"/>
          <w:sz w:val="32"/>
          <w:szCs w:val="32"/>
        </w:rPr>
        <w:t>2018</w:t>
      </w:r>
      <w:r>
        <w:rPr>
          <w:rFonts w:ascii="仿宋_GB2312" w:eastAsia="仿宋_GB2312" w:hAnsi="黑体"/>
          <w:sz w:val="32"/>
          <w:szCs w:val="32"/>
        </w:rPr>
        <w:t>年第</w:t>
      </w:r>
      <w:r>
        <w:rPr>
          <w:rFonts w:ascii="Times New Roman" w:eastAsia="仿宋_GB2312" w:cs="Times New Roman" w:hAnsi="黑体"/>
          <w:sz w:val="32"/>
          <w:szCs w:val="32"/>
        </w:rPr>
        <w:t>8</w:t>
      </w:r>
      <w:r>
        <w:rPr>
          <w:rFonts w:ascii="仿宋_GB2312" w:eastAsia="仿宋_GB2312" w:hAnsi="黑体"/>
          <w:sz w:val="32"/>
          <w:szCs w:val="32"/>
        </w:rPr>
        <w:t>号）、《城市轨道交通客运组织与服务管理办法》（交运规〔</w:t>
      </w:r>
      <w:r>
        <w:rPr>
          <w:rFonts w:ascii="Times New Roman" w:eastAsia="仿宋_GB2312" w:cs="Times New Roman" w:hAnsi="黑体"/>
          <w:sz w:val="32"/>
          <w:szCs w:val="32"/>
        </w:rPr>
        <w:t>2019</w:t>
      </w:r>
      <w:r>
        <w:rPr>
          <w:rFonts w:ascii="仿宋_GB2312" w:eastAsia="仿宋_GB2312" w:hAnsi="黑体"/>
          <w:sz w:val="32"/>
          <w:szCs w:val="32"/>
        </w:rPr>
        <w:t>〕</w:t>
      </w:r>
      <w:r>
        <w:rPr>
          <w:rFonts w:ascii="Times New Roman" w:eastAsia="仿宋_GB2312" w:cs="Times New Roman" w:hAnsi="黑体"/>
          <w:sz w:val="32"/>
          <w:szCs w:val="32"/>
        </w:rPr>
        <w:t>15</w:t>
      </w:r>
      <w:r>
        <w:rPr>
          <w:rFonts w:ascii="仿宋_GB2312" w:eastAsia="仿宋_GB2312" w:hAnsi="黑体"/>
          <w:sz w:val="32"/>
          <w:szCs w:val="32"/>
        </w:rPr>
        <w:t>号）、《关于推进城市公共交通健康可持续发展的若干意见》（交运发〔</w:t>
      </w:r>
      <w:r>
        <w:rPr>
          <w:rFonts w:ascii="Times New Roman" w:eastAsia="仿宋_GB2312" w:cs="Times New Roman" w:hAnsi="黑体"/>
          <w:sz w:val="32"/>
          <w:szCs w:val="32"/>
        </w:rPr>
        <w:t>2023</w:t>
      </w:r>
      <w:r>
        <w:rPr>
          <w:rFonts w:ascii="仿宋_GB2312" w:eastAsia="仿宋_GB2312" w:hAnsi="黑体"/>
          <w:sz w:val="32"/>
          <w:szCs w:val="32"/>
        </w:rPr>
        <w:t>〕</w:t>
      </w:r>
      <w:r>
        <w:rPr>
          <w:rFonts w:ascii="Times New Roman" w:eastAsia="仿宋_GB2312" w:cs="Times New Roman" w:hAnsi="黑体"/>
          <w:sz w:val="32"/>
          <w:szCs w:val="32"/>
        </w:rPr>
        <w:t>144</w:t>
      </w:r>
      <w:r>
        <w:rPr>
          <w:rFonts w:ascii="仿宋_GB2312" w:eastAsia="仿宋_GB2312" w:hAnsi="黑体"/>
          <w:sz w:val="32"/>
          <w:szCs w:val="32"/>
        </w:rPr>
        <w:t>号）等。</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Ansi="黑体" w:hint="eastAsia"/>
          <w:b w:val="0"/>
          <w:bCs w:val="0"/>
          <w:sz w:val="32"/>
          <w:szCs w:val="32"/>
          <w:lang w:val="en-US" w:eastAsia="zh-CN"/>
          <w:highlight w:val="auto"/>
        </w:rPr>
      </w:pPr>
      <w:r>
        <w:rPr>
          <w:rFonts w:ascii="黑体" w:eastAsia="黑体" w:cs="黑体" w:hAnsi="黑体"/>
          <w:b w:val="0"/>
          <w:bCs w:val="0"/>
          <w:sz w:val="32"/>
          <w:szCs w:val="32"/>
          <w:lang w:val="en-US" w:eastAsia="zh-CN"/>
          <w:highlight w:val="auto"/>
        </w:rPr>
        <w:t>三、</w:t>
      </w:r>
      <w:r>
        <w:rPr>
          <w:rFonts w:ascii="黑体" w:eastAsia="黑体" w:cs="黑体" w:hAnsi="黑体" w:hint="eastAsia"/>
          <w:b w:val="0"/>
          <w:bCs w:val="0"/>
          <w:sz w:val="32"/>
          <w:szCs w:val="32"/>
          <w:lang w:val="en-US" w:eastAsia="zh-CN"/>
          <w:highlight w:val="auto"/>
        </w:rPr>
        <w:t>修改的主要内容</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Arial" w:hAnsi="黑体" w:hint="eastAsia"/>
          <w:b w:val="0"/>
          <w:bCs w:val="0"/>
          <w:sz w:val="32"/>
          <w:szCs w:val="32"/>
          <w:lang w:val="en-US" w:eastAsia="zh-CN"/>
          <w:highlight w:val="auto"/>
        </w:rPr>
      </w:pPr>
      <w:r>
        <w:rPr>
          <w:rFonts w:ascii="仿宋_GB2312" w:eastAsia="仿宋_GB2312" w:cs="Arial" w:hAnsi="黑体" w:hint="eastAsia"/>
          <w:b w:val="0"/>
          <w:bCs w:val="0"/>
          <w:sz w:val="32"/>
          <w:szCs w:val="32"/>
          <w:lang w:val="en-US" w:eastAsia="zh-CN"/>
          <w:highlight w:val="auto"/>
        </w:rPr>
        <w:t>《办法》（修正草案</w:t>
      </w:r>
      <w:r>
        <w:rPr>
          <w:rFonts w:ascii="仿宋_GB2312" w:eastAsia="仿宋_GB2312" w:cs="Arial" w:hAnsi="黑体"/>
          <w:b w:val="0"/>
          <w:bCs w:val="0"/>
          <w:sz w:val="32"/>
          <w:szCs w:val="32"/>
          <w:lang w:val="en-US" w:eastAsia="zh-CN"/>
          <w:highlight w:val="auto"/>
        </w:rPr>
        <w:t>送审</w:t>
      </w:r>
      <w:r>
        <w:rPr>
          <w:rFonts w:ascii="仿宋_GB2312" w:eastAsia="仿宋_GB2312" w:cs="Arial" w:hAnsi="黑体" w:hint="eastAsia"/>
          <w:b w:val="0"/>
          <w:bCs w:val="0"/>
          <w:sz w:val="32"/>
          <w:szCs w:val="32"/>
          <w:lang w:val="en-US" w:eastAsia="zh-CN"/>
          <w:highlight w:val="auto"/>
        </w:rPr>
        <w:t>稿）</w:t>
      </w:r>
      <w:r>
        <w:rPr>
          <w:rFonts w:ascii="仿宋_GB2312" w:eastAsia="仿宋_GB2312" w:cs="Arial" w:hAnsi="黑体"/>
          <w:b w:val="0"/>
          <w:bCs w:val="0"/>
          <w:sz w:val="32"/>
          <w:szCs w:val="32"/>
          <w:lang w:val="en-US" w:eastAsia="zh-CN"/>
          <w:highlight w:val="auto"/>
        </w:rPr>
        <w:t>对</w:t>
      </w:r>
      <w:r>
        <w:rPr>
          <w:rFonts w:ascii="Times New Roman" w:eastAsia="仿宋_GB2312" w:cs="Arial" w:hAnsi="黑体"/>
          <w:sz w:val="32"/>
          <w:szCs w:val="32"/>
          <w:highlight w:val="auto"/>
        </w:rPr>
        <w:t>8</w:t>
      </w:r>
      <w:r>
        <w:rPr>
          <w:rFonts w:ascii="仿宋_GB2312" w:eastAsia="仿宋_GB2312" w:cs="Arial" w:hAnsi="黑体" w:hint="eastAsia"/>
          <w:b w:val="0"/>
          <w:bCs w:val="0"/>
          <w:sz w:val="32"/>
          <w:szCs w:val="32"/>
          <w:lang w:val="en-US" w:eastAsia="zh-CN"/>
          <w:highlight w:val="auto"/>
        </w:rPr>
        <w:t>条</w:t>
      </w:r>
      <w:r>
        <w:rPr>
          <w:rFonts w:ascii="仿宋_GB2312" w:eastAsia="仿宋_GB2312" w:cs="Arial" w:hAnsi="黑体"/>
          <w:b w:val="0"/>
          <w:bCs w:val="0"/>
          <w:sz w:val="32"/>
          <w:szCs w:val="32"/>
          <w:lang w:val="en-US" w:eastAsia="zh-CN"/>
          <w:highlight w:val="auto"/>
        </w:rPr>
        <w:t>条文的内容作</w:t>
      </w:r>
      <w:r>
        <w:rPr>
          <w:rFonts w:ascii="仿宋_GB2312" w:eastAsia="仿宋_GB2312" w:cs="Arial" w:hAnsi="黑体" w:hint="eastAsia"/>
          <w:b w:val="0"/>
          <w:bCs w:val="0"/>
          <w:sz w:val="32"/>
          <w:szCs w:val="32"/>
          <w:lang w:val="en-US" w:eastAsia="zh-CN"/>
          <w:highlight w:val="auto"/>
        </w:rPr>
        <w:t>修</w:t>
      </w:r>
      <w:r>
        <w:rPr>
          <w:rFonts w:ascii="仿宋_GB2312" w:eastAsia="仿宋_GB2312" w:cs="Arial" w:hAnsi="黑体"/>
          <w:b w:val="0"/>
          <w:bCs w:val="0"/>
          <w:sz w:val="32"/>
          <w:szCs w:val="32"/>
          <w:lang w:val="en-US" w:eastAsia="zh-CN"/>
          <w:highlight w:val="auto"/>
        </w:rPr>
        <w:t>改，并</w:t>
      </w:r>
      <w:r>
        <w:rPr>
          <w:rFonts w:ascii="仿宋_GB2312" w:eastAsia="仿宋_GB2312" w:cs="Arial" w:hAnsi="黑体" w:hint="eastAsia"/>
          <w:b w:val="0"/>
          <w:bCs w:val="0"/>
          <w:sz w:val="32"/>
          <w:szCs w:val="32"/>
          <w:lang w:val="en-US" w:eastAsia="zh-CN"/>
          <w:highlight w:val="auto"/>
        </w:rPr>
        <w:t>新增</w:t>
      </w:r>
      <w:r>
        <w:rPr>
          <w:rFonts w:ascii="仿宋_GB2312" w:eastAsia="仿宋_GB2312" w:cs="Arial" w:hAnsi="黑体"/>
          <w:b w:val="0"/>
          <w:bCs w:val="0"/>
          <w:sz w:val="32"/>
          <w:szCs w:val="32"/>
          <w:lang w:val="en-US" w:eastAsia="zh-CN"/>
          <w:highlight w:val="auto"/>
        </w:rPr>
        <w:t>、删除条文各</w:t>
      </w:r>
      <w:r>
        <w:rPr>
          <w:rFonts w:ascii="Times New Roman" w:eastAsia="仿宋_GB2312" w:hAnsi="黑体"/>
          <w:b w:val="0"/>
          <w:bCs w:val="0"/>
          <w:sz w:val="32"/>
          <w:szCs w:val="32"/>
          <w:lang w:val="en-US" w:eastAsia="zh-CN"/>
          <w:highlight w:val="auto"/>
        </w:rPr>
        <w:t>1</w:t>
      </w:r>
      <w:r>
        <w:rPr>
          <w:rFonts w:ascii="仿宋_GB2312" w:eastAsia="仿宋_GB2312" w:cs="Arial" w:hAnsi="黑体"/>
          <w:b w:val="0"/>
          <w:bCs w:val="0"/>
          <w:sz w:val="32"/>
          <w:szCs w:val="32"/>
          <w:lang w:val="en-US" w:eastAsia="zh-CN"/>
          <w:highlight w:val="auto"/>
        </w:rPr>
        <w:t>条。</w:t>
      </w:r>
      <w:r>
        <w:rPr>
          <w:rFonts w:ascii="仿宋_GB2312" w:eastAsia="仿宋_GB2312" w:cs="Arial" w:hAnsi="黑体" w:hint="eastAsia"/>
          <w:b w:val="0"/>
          <w:bCs w:val="0"/>
          <w:sz w:val="32"/>
          <w:szCs w:val="32"/>
          <w:lang w:val="en-US" w:eastAsia="zh-CN"/>
          <w:highlight w:val="auto"/>
        </w:rPr>
        <w:t>主要修正内容如下：</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hint="eastAsia"/>
          <w:b w:val="0"/>
          <w:bCs w:val="0"/>
          <w:lang w:val="en-US" w:eastAsia="zh-CN"/>
          <w:highlight w:val="auto"/>
        </w:rPr>
      </w:pPr>
      <w:r>
        <w:rPr>
          <w:rFonts w:ascii="仿宋_GB2312" w:eastAsia="仿宋_GB2312" w:cs="Arial" w:hAnsi="黑体" w:hint="eastAsia"/>
          <w:b w:val="0"/>
          <w:bCs w:val="0"/>
          <w:sz w:val="32"/>
          <w:szCs w:val="32"/>
          <w:lang w:val="en-US" w:eastAsia="zh-CN"/>
          <w:highlight w:val="auto"/>
        </w:rPr>
        <w:t>（一）《办法》第四条第二款新增</w:t>
      </w:r>
      <w:r>
        <w:rPr>
          <w:rFonts w:ascii="仿宋_GB2312" w:eastAsia="仿宋_GB2312" w:hAnsi="黑体" w:hint="eastAsia"/>
          <w:b w:val="0"/>
          <w:bCs w:val="0"/>
          <w:sz w:val="32"/>
          <w:szCs w:val="32"/>
          <w:lang w:eastAsia="zh-CN"/>
          <w:highlight w:val="auto"/>
        </w:rPr>
        <w:t>城市轨道交通建设期、运营期保护区属地监管</w:t>
      </w:r>
      <w:r>
        <w:rPr>
          <w:rFonts w:ascii="仿宋_GB2312" w:eastAsia="仿宋_GB2312" w:cs="Arial" w:hAnsi="黑体" w:hint="eastAsia"/>
          <w:b w:val="0"/>
          <w:bCs w:val="0"/>
          <w:sz w:val="32"/>
          <w:szCs w:val="32"/>
          <w:lang w:val="en-US" w:eastAsia="zh-CN"/>
          <w:highlight w:val="auto"/>
        </w:rPr>
        <w:t>条款，授权</w:t>
      </w:r>
      <w:r>
        <w:rPr>
          <w:rFonts w:ascii="仿宋_GB2312" w:eastAsia="仿宋_GB2312" w:hAnsi="黑体" w:hint="eastAsia"/>
          <w:b w:val="0"/>
          <w:bCs w:val="0"/>
          <w:sz w:val="32"/>
          <w:szCs w:val="32"/>
          <w:lang w:eastAsia="zh-CN"/>
          <w:highlight w:val="auto"/>
        </w:rPr>
        <w:t>城市轨道交通沿线的县（市）人民政府确定的行政部门负责辖区城市轨道交通建设期、运营期保护区的监督管理工作。</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仿宋_GB2312" w:eastAsia="仿宋_GB2312" w:cs="Arial" w:hAnsi="黑体" w:hint="eastAsia"/>
          <w:b w:val="0"/>
          <w:bCs w:val="0"/>
          <w:sz w:val="32"/>
          <w:szCs w:val="32"/>
          <w:lang w:val="en-US" w:eastAsia="zh-CN"/>
          <w:highlight w:val="auto"/>
        </w:rPr>
      </w:pPr>
      <w:r>
        <w:rPr>
          <w:rFonts w:ascii="仿宋_GB2312" w:eastAsia="仿宋_GB2312" w:cs="Arial" w:hAnsi="黑体" w:hint="eastAsia"/>
          <w:b w:val="0"/>
          <w:bCs w:val="0"/>
          <w:sz w:val="32"/>
          <w:szCs w:val="32"/>
          <w:lang w:val="en-US" w:eastAsia="zh-CN"/>
          <w:highlight w:val="auto"/>
        </w:rPr>
        <w:t>（二）根据行政体制改革的情况，删</w:t>
      </w:r>
      <w:r>
        <w:rPr>
          <w:rFonts w:ascii="仿宋_GB2312" w:eastAsia="仿宋_GB2312" w:cs="Arial" w:hAnsi="黑体"/>
          <w:b w:val="0"/>
          <w:bCs w:val="0"/>
          <w:sz w:val="32"/>
          <w:szCs w:val="32"/>
          <w:lang w:val="en-US" w:eastAsia="zh-CN"/>
          <w:highlight w:val="auto"/>
        </w:rPr>
        <w:t>除</w:t>
      </w:r>
      <w:r>
        <w:rPr>
          <w:rFonts w:ascii="仿宋_GB2312" w:eastAsia="仿宋_GB2312" w:cs="Arial" w:hAnsi="黑体" w:hint="eastAsia"/>
          <w:b w:val="0"/>
          <w:bCs w:val="0"/>
          <w:sz w:val="32"/>
          <w:szCs w:val="32"/>
          <w:lang w:val="en-US" w:eastAsia="zh-CN"/>
          <w:highlight w:val="auto"/>
        </w:rPr>
        <w:t>《办法》第五条第一款中关于市交通运输主管部门可以委托城市轨道交通监督管理机构承担日常监督管理工作的规定。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Arial" w:hAnsi="黑体" w:hint="eastAsia"/>
          <w:b w:val="0"/>
          <w:bCs w:val="0"/>
          <w:sz w:val="32"/>
          <w:szCs w:val="32"/>
          <w:lang w:val="en-US" w:eastAsia="zh-CN"/>
          <w:highlight w:val="auto"/>
        </w:rPr>
      </w:pPr>
      <w:r>
        <w:rPr>
          <w:rFonts w:ascii="仿宋_GB2312" w:eastAsia="仿宋_GB2312" w:cs="Arial" w:hAnsi="黑体" w:hint="eastAsia"/>
          <w:b w:val="0"/>
          <w:bCs w:val="0"/>
          <w:sz w:val="32"/>
          <w:szCs w:val="32"/>
          <w:lang w:val="en-US" w:eastAsia="zh-CN"/>
          <w:highlight w:val="auto"/>
        </w:rPr>
        <w:t>（三）增加关于城市轨道交通线路两侧建设噪声敏感建筑物的规范（修改后的第十八条）。</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Arial" w:hAnsi="黑体" w:hint="eastAsia"/>
          <w:b w:val="0"/>
          <w:bCs w:val="0"/>
          <w:sz w:val="32"/>
          <w:szCs w:val="32"/>
          <w:lang w:val="en-US" w:eastAsia="zh-CN"/>
          <w:highlight w:val="auto"/>
        </w:rPr>
      </w:pPr>
      <w:r>
        <w:rPr>
          <w:rFonts w:ascii="仿宋_GB2312" w:eastAsia="仿宋_GB2312" w:cs="Arial" w:hAnsi="黑体" w:hint="eastAsia"/>
          <w:b w:val="0"/>
          <w:bCs w:val="0"/>
          <w:sz w:val="32"/>
          <w:szCs w:val="32"/>
          <w:lang w:val="en-US" w:eastAsia="zh-CN"/>
          <w:highlight w:val="auto"/>
        </w:rPr>
        <w:t>（四）新增授权规定，授权市交通运输主管部门可以根据实际情况，制定城市轨道交通建设管理相关规定（修改后的第二十条第三款）。</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Arial" w:hAnsi="黑体" w:hint="eastAsia"/>
          <w:b w:val="0"/>
          <w:bCs w:val="0"/>
          <w:sz w:val="32"/>
          <w:szCs w:val="32"/>
          <w:lang w:val="en-US" w:eastAsia="zh-CN"/>
          <w:highlight w:val="auto"/>
        </w:rPr>
      </w:pPr>
      <w:r>
        <w:rPr>
          <w:rFonts w:ascii="仿宋_GB2312" w:eastAsia="仿宋_GB2312" w:cs="Arial" w:hAnsi="黑体" w:hint="eastAsia"/>
          <w:b w:val="0"/>
          <w:bCs w:val="0"/>
          <w:sz w:val="32"/>
          <w:szCs w:val="32"/>
          <w:lang w:val="en-US" w:eastAsia="zh-CN"/>
          <w:highlight w:val="auto"/>
        </w:rPr>
        <w:t>（五）增加特别保护区进行高架线路桥下空间保护性利用项目的规定（修改后的第二十三条）</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Arial" w:hAnsi="黑体" w:hint="eastAsia"/>
          <w:b w:val="0"/>
          <w:bCs w:val="0"/>
          <w:sz w:val="32"/>
          <w:szCs w:val="32"/>
          <w:lang w:val="en-US" w:eastAsia="zh-CN"/>
          <w:highlight w:val="auto"/>
        </w:rPr>
      </w:pPr>
      <w:r>
        <w:rPr>
          <w:rFonts w:ascii="仿宋_GB2312" w:eastAsia="仿宋_GB2312" w:cs="Arial" w:hAnsi="黑体" w:hint="eastAsia"/>
          <w:b w:val="0"/>
          <w:bCs w:val="0"/>
          <w:sz w:val="32"/>
          <w:szCs w:val="32"/>
          <w:lang w:val="en-US" w:eastAsia="zh-CN"/>
          <w:highlight w:val="auto"/>
        </w:rPr>
        <w:t>（六）修改《办法》关于城市轨道交通安全防护方案的相关规定（修改后的第二十四条）。</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Arial" w:hAnsi="黑体" w:hint="eastAsia"/>
          <w:b w:val="0"/>
          <w:bCs w:val="0"/>
          <w:sz w:val="32"/>
          <w:szCs w:val="32"/>
          <w:lang w:val="en-US" w:eastAsia="zh-CN"/>
          <w:highlight w:val="auto"/>
        </w:rPr>
      </w:pPr>
      <w:r>
        <w:rPr>
          <w:rFonts w:ascii="仿宋_GB2312" w:eastAsia="仿宋_GB2312" w:cs="Arial" w:hAnsi="黑体" w:hint="eastAsia"/>
          <w:b w:val="0"/>
          <w:bCs w:val="0"/>
          <w:sz w:val="32"/>
          <w:szCs w:val="32"/>
          <w:lang w:val="en-US" w:eastAsia="zh-CN"/>
          <w:highlight w:val="auto"/>
        </w:rPr>
        <w:t>（七）修改部分影响城市轨道交通公共场所容貌、环境卫生和公共秩序的禁止行为类型（修改后的第三十五条、第三十六条）。</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Arial" w:hAnsi="黑体" w:hint="eastAsia"/>
          <w:b w:val="0"/>
          <w:bCs w:val="0"/>
          <w:sz w:val="32"/>
          <w:szCs w:val="32"/>
          <w:lang w:val="en-US" w:eastAsia="zh-CN"/>
          <w:highlight w:val="auto"/>
        </w:rPr>
      </w:pPr>
      <w:r>
        <w:rPr>
          <w:rFonts w:ascii="仿宋_GB2312" w:eastAsia="仿宋_GB2312" w:cs="Arial" w:hAnsi="黑体" w:hint="eastAsia"/>
          <w:b w:val="0"/>
          <w:bCs w:val="0"/>
          <w:sz w:val="32"/>
          <w:szCs w:val="32"/>
          <w:lang w:val="en-US" w:eastAsia="zh-CN"/>
          <w:highlight w:val="auto"/>
        </w:rPr>
        <w:t>（七）修改作业单位或者个人违反《办法》在城市轨道交通控制保护区内从事施工作业活动的处罚规定（修改后的第六十条）。</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Arial" w:hAnsi="黑体" w:hint="eastAsia"/>
          <w:b w:val="0"/>
          <w:bCs w:val="0"/>
          <w:sz w:val="32"/>
          <w:szCs w:val="32"/>
          <w:lang w:val="en-US" w:eastAsia="zh-CN"/>
          <w:highlight w:val="auto"/>
        </w:rPr>
      </w:pPr>
      <w:r>
        <w:rPr>
          <w:rFonts w:ascii="仿宋_GB2312" w:eastAsia="仿宋_GB2312" w:cs="Arial" w:hAnsi="黑体" w:hint="eastAsia"/>
          <w:b w:val="0"/>
          <w:bCs w:val="0"/>
          <w:sz w:val="32"/>
          <w:szCs w:val="32"/>
          <w:lang w:val="en-US" w:eastAsia="zh-CN"/>
          <w:highlight w:val="auto"/>
        </w:rPr>
        <w:t>（八）删</w:t>
      </w:r>
      <w:r>
        <w:rPr>
          <w:rFonts w:ascii="仿宋_GB2312" w:eastAsia="仿宋_GB2312" w:cs="Arial" w:hAnsi="黑体"/>
          <w:b w:val="0"/>
          <w:bCs w:val="0"/>
          <w:sz w:val="32"/>
          <w:szCs w:val="32"/>
          <w:lang w:val="en-US" w:eastAsia="zh-CN"/>
          <w:highlight w:val="auto"/>
        </w:rPr>
        <w:t>除</w:t>
      </w:r>
      <w:r>
        <w:rPr>
          <w:rFonts w:ascii="仿宋_GB2312" w:eastAsia="仿宋_GB2312" w:cs="Arial" w:hAnsi="黑体" w:hint="eastAsia"/>
          <w:b w:val="0"/>
          <w:bCs w:val="0"/>
          <w:sz w:val="32"/>
          <w:szCs w:val="32"/>
          <w:lang w:val="en-US" w:eastAsia="zh-CN"/>
          <w:highlight w:val="auto"/>
        </w:rPr>
        <w:t>《办法》第六十二条。</w:t>
      </w:r>
    </w:p>
    <w:p>
      <w:pPr>
        <w:keepNext w:val="0"/>
        <w:keepLines w:val="0"/>
        <w:pageBreakBefore w:val="0"/>
        <w:widowControl w:val="0"/>
        <w:kinsoku/>
        <w:wordWrap/>
        <w:overflowPunct/>
        <w:topLinePunct w:val="0"/>
        <w:autoSpaceDE/>
        <w:autoSpaceDN/>
        <w:adjustRightInd/>
        <w:snapToGrid/>
        <w:spacing w:line="600" w:lineRule="exact"/>
        <w:ind w:firstLineChars="200" w:firstLine="640"/>
        <w:rPr>
          <w:rFonts w:ascii="仿宋_GB2312" w:eastAsia="仿宋_GB2312" w:hint="eastAsia"/>
          <w:sz w:val="32"/>
          <w:szCs w:val="32"/>
        </w:rPr>
      </w:pPr>
      <w:r>
        <w:rPr>
          <w:rFonts w:ascii="仿宋_GB2312" w:eastAsia="仿宋_GB2312" w:hAnsi="黑体" w:hint="eastAsia"/>
          <w:b w:val="0"/>
          <w:bCs w:val="0"/>
          <w:sz w:val="32"/>
          <w:szCs w:val="32"/>
          <w:highlight w:val="auto"/>
        </w:rPr>
        <w:t>此外，规章名称删除“试行”，并对条文序号作相应调整。</w:t>
      </w:r>
    </w:p>
    <w:sectPr>
      <w:footerReference w:type="default" r:id="rId2"/>
      <w:pgSz w:w="11907" w:h="16840"/>
      <w:pgMar w:top="1418" w:right="1474" w:bottom="1418" w:left="1474" w:header="851" w:footer="992" w:gutter="0"/>
      <w:pgNumType/>
      <w:docGrid w:linePitch="312"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modern"/>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方正大标宋_GBK">
    <w:panose1 w:val="03000509000000000000"/>
    <w:charset w:val="86"/>
    <w:family w:val="script"/>
    <w:pitch w:val="variable"/>
    <w:sig w:usb0="00000001" w:usb1="080E0000" w:usb2="00000010" w:usb3="00000000" w:csb0="00040000" w:csb1="00000000"/>
  </w:font>
  <w:font w:name="楷体_GB2312">
    <w:panose1 w:val="02010609030101010101"/>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977827933"/>
      <w:docPartObj>
        <w:docPartGallery w:val="Page Numbers (Bottom of Page)"/>
        <w:docPartUnique/>
      </w:docPartObj>
    </w:sdtPr>
    <w:sdtContent>
      <w:p>
        <w:pPr>
          <w:pStyle w:val="17"/>
          <w:tabs>
            <w:tab w:val="center" w:pos="4153"/>
            <w:tab w:val="right" w:pos="8306"/>
          </w:tabs>
          <w:jc w:val="center"/>
        </w:pPr>
        <w:r>
          <w:fldChar w:fldCharType="begin"/>
        </w:r>
        <w:r>
          <w:instrText>PAGE   \* MERGEFORMAT</w:instrText>
        </w:r>
        <w:r>
          <w:fldChar w:fldCharType="separate"/>
        </w:r>
        <w:r>
          <w:rPr>
            <w:lang w:val="zh-CN"/>
          </w:rPr>
          <w:t>20</w:t>
        </w:r>
        <w:r>
          <w:fldChar w:fldCharType="end"/>
        </w:r>
      </w:p>
    </w:sdtContent>
  </w:sdt>
  <w:p>
    <w:pPr>
      <w:pStyle w:val="17"/>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widowControl/>
      <w:spacing w:before="200" w:line="276" w:lineRule="auto"/>
      <w:jc w:val="left"/>
      <w:outlineLvl w:val="2"/>
    </w:pPr>
    <w:rPr>
      <w:rFonts w:ascii="Cambria" w:cs="Times New Roman" w:hAnsi="Cambria"/>
      <w:b/>
      <w:bCs/>
      <w:color w:val="4F81BD"/>
      <w:kern w:val="0"/>
      <w:sz w:val="22"/>
    </w:rPr>
  </w:style>
  <w:style w:type="character" w:default="1" w:styleId="10">
    <w:name w:val="Default Paragraph Font"/>
  </w:style>
  <w:style w:type="paragraph" w:styleId="15">
    <w:name w:val="Body Text"/>
    <w:basedOn w:val="0"/>
    <w:rPr>
      <w:rFonts w:cs="Times New Roman"/>
    </w:rPr>
  </w:style>
  <w:style w:type="paragraph" w:styleId="16">
    <w:name w:val="Body Text First Indent"/>
    <w:basedOn w:val="15"/>
    <w:next w:val="0"/>
    <w:pPr>
      <w:spacing w:line="360" w:lineRule="auto"/>
      <w:ind w:firstLineChars="200" w:firstLine="200"/>
    </w:pPr>
    <w:rPr>
      <w:rFonts w:ascii="Times New Roman" w:hAnsi="Times New Roman"/>
      <w:sz w:val="28"/>
      <w:szCs w:val="24"/>
    </w:rPr>
  </w:style>
  <w:style w:type="paragraph" w:styleId="17">
    <w:name w:val="footer"/>
    <w:basedOn w:val="0"/>
    <w:pPr>
      <w:tabs>
        <w:tab w:val="center" w:pos="4153"/>
        <w:tab w:val="right" w:pos="8306"/>
      </w:tabs>
      <w:snapToGrid w:val="0"/>
      <w:ind w:firstLineChars="200" w:firstLine="200"/>
    </w:pPr>
    <w:rPr>
      <w:rFonts w:ascii="Times New Roman" w:cs="Times New Roman" w:hAnsi="Times New Roman"/>
      <w:sz w:val="18"/>
      <w:szCs w:val="18"/>
    </w:rPr>
  </w:style>
  <w:style w:type="paragraph" w:styleId="18">
    <w:name w:val="header"/>
    <w:basedOn w:val="0"/>
    <w:pPr>
      <w:pBdr>
        <w:bottom w:val="single" w:sz="6" w:space="1" w:color="auto"/>
      </w:pBdr>
      <w:tabs>
        <w:tab w:val="center" w:pos="4153"/>
        <w:tab w:val="right" w:pos="8306"/>
      </w:tabs>
      <w:snapToGrid w:val="0"/>
      <w:ind w:firstLineChars="200" w:firstLine="200"/>
      <w:jc w:val="center"/>
    </w:pPr>
    <w:rPr>
      <w:rFonts w:ascii="Times New Roman" w:cs="Times New Roman" w:hAnsi="Times New Roman"/>
      <w:sz w:val="18"/>
      <w:szCs w:val="18"/>
    </w:rPr>
  </w:style>
  <w:style w:type="paragraph" w:styleId="19">
    <w:name w:val="List Paragraph"/>
    <w:basedOn w:val="0"/>
    <w:pPr>
      <w:spacing w:line="360" w:lineRule="auto"/>
      <w:ind w:firstLineChars="200" w:firstLine="200"/>
    </w:pPr>
    <w:rPr>
      <w:rFonts w:ascii="Times New Roman" w:cs="Times New Roman" w:hAnsi="Times New Roman"/>
      <w:sz w:val="28"/>
      <w:szCs w:val="24"/>
    </w:rPr>
  </w:style>
  <w:style w:type="paragraph" w:styleId="20">
    <w:name w:val="annotation text"/>
    <w:basedOn w:val="0"/>
    <w:pPr>
      <w:jc w:val="left"/>
    </w:pPr>
    <w:rPr>
      <w:rFonts w:ascii="Times New Roman" w:cs="Times New Roman" w:hAnsi="Times New Roman"/>
      <w:szCs w:val="24"/>
    </w:rPr>
  </w:style>
  <w:style w:type="paragraph" w:styleId="21">
    <w:name w:val="Balloon Text"/>
    <w:basedOn w:val="0"/>
    <w:rPr>
      <w:sz w:val="18"/>
      <w:szCs w:val="18"/>
    </w:rPr>
  </w:style>
  <w:style w:type="character" w:styleId="22">
    <w:name w:val="annotation reference"/>
    <w:basedOn w:val="10"/>
    <w:rPr>
      <w:sz w:val="21"/>
      <w:szCs w:val="21"/>
    </w:rPr>
  </w:style>
  <w:style w:type="paragraph" w:styleId="23">
    <w:name w:val="Normal (Web)"/>
    <w:basedOn w:val="0"/>
    <w:pPr>
      <w:widowControl w:val="0"/>
      <w:jc w:val="left"/>
    </w:pPr>
    <w:rPr>
      <w:rFonts w:ascii="Calibri" w:eastAsia="宋体" w:cs="宋体" w:hAnsi="Calibri"/>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D50607AE-63AD-4823-BE72-6721CAFA2EE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1832</TotalTime>
  <Application>Yozo_Office27021597764231179</Application>
  <Pages>3</Pages>
  <Words>0</Words>
  <Characters>935</Characters>
  <Lines>0</Lines>
  <Paragraphs>23</Paragraphs>
  <CharactersWithSpaces>1247</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greatwall</cp:lastModifiedBy>
  <cp:revision>724</cp:revision>
  <cp:lastPrinted>2023-01-17T08:05:27Z</cp:lastPrinted>
  <dcterms:created xsi:type="dcterms:W3CDTF">2021-05-25T02:21:00Z</dcterms:created>
  <dcterms:modified xsi:type="dcterms:W3CDTF">2024-07-18T07:53:47Z</dcterms:modified>
</cp:coreProperties>
</file>