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方正小标宋简体" w:hAnsi="方正小标宋简体" w:eastAsia="方正小标宋简体" w:cs="方正小标宋简体"/>
          <w:sz w:val="44"/>
          <w:szCs w:val="44"/>
        </w:rPr>
      </w:pPr>
    </w:p>
    <w:p>
      <w:pPr>
        <w:spacing w:line="580" w:lineRule="exact"/>
        <w:jc w:val="center"/>
        <w:rPr>
          <w:rFonts w:hint="eastAsia" w:ascii="方正小标宋简体" w:hAnsi="方正小标宋简体" w:eastAsia="方正小标宋简体" w:cs="方正小标宋简体"/>
          <w:sz w:val="44"/>
          <w:szCs w:val="44"/>
        </w:rPr>
      </w:pPr>
    </w:p>
    <w:p>
      <w:pPr>
        <w:spacing w:line="580" w:lineRule="exact"/>
        <w:jc w:val="center"/>
        <w:rPr>
          <w:rFonts w:hint="eastAsia" w:ascii="仿宋_GB2312" w:hAnsi="仿宋_GB2312" w:eastAsia="仿宋_GB2312" w:cs="仿宋_GB2312"/>
          <w:sz w:val="32"/>
          <w:szCs w:val="32"/>
        </w:rPr>
      </w:pPr>
      <w:r>
        <w:rPr>
          <w:rFonts w:hint="eastAsia" w:ascii="方正小标宋简体" w:hAnsi="方正小标宋简体" w:eastAsia="方正小标宋简体" w:cs="方正小标宋简体"/>
          <w:sz w:val="44"/>
          <w:szCs w:val="44"/>
        </w:rPr>
        <w:t>关于进一步规范建设工程领域砂石土开采管理的通知</w:t>
      </w:r>
    </w:p>
    <w:p>
      <w:pPr>
        <w:spacing w:line="580" w:lineRule="exact"/>
        <w:jc w:val="center"/>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（征求意见稿）</w:t>
      </w:r>
    </w:p>
    <w:p>
      <w:pPr>
        <w:spacing w:line="580" w:lineRule="exact"/>
        <w:rPr>
          <w:rFonts w:hint="eastAsia" w:ascii="仿宋_GB2312" w:hAnsi="仿宋_GB2312" w:eastAsia="仿宋_GB2312" w:cs="仿宋_GB2312"/>
          <w:sz w:val="32"/>
          <w:szCs w:val="32"/>
        </w:rPr>
      </w:pP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各县（区）人民政府，各功能区管委会，市政府直属各单位：</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为进一步加强全市砂石土资源管理，规范工程建设项目动用砂石土资源(以下简称工程性开采)，促进行业健康有序发展，根据《自然资源部关于规范和完善砂石开采管理的通知》（自然资发〔2023〕57号）和《自然资源部办公厅关于严守土石料利用政策底线进一步完善矿山生态修复激励措施的通知》（自然资办发〔2024〕39号）文件精神，结合舟山实际，现将有关事项通知如下：</w:t>
      </w:r>
    </w:p>
    <w:p>
      <w:pPr>
        <w:spacing w:line="580" w:lineRule="exact"/>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一、明确工程性开采范围</w:t>
      </w:r>
      <w:r>
        <w:rPr>
          <w:rFonts w:hint="eastAsia" w:ascii="仿宋_GB2312" w:hAnsi="仿宋_GB2312" w:eastAsia="仿宋_GB2312" w:cs="仿宋_GB2312"/>
          <w:sz w:val="32"/>
          <w:szCs w:val="32"/>
        </w:rPr>
        <w:t>。舟山市域内经批准设立的能源、交通、水利等基础设施、线性工程建设项目,在批准的建设项目用地范围内（不含临时用地）;因消除地质灾害隐患和废弃矿山生态修复涉及少量削坡减荷的工程项目,因工程施工动用砂石土，可以不办理采矿许可证。</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工程性开采应按照节约集约原则，尽量控制开采范围和规模，严禁擅自扩大施工范围采挖砂石土，情形以外需动用砂石土的工程建设项目，应按规定办理采矿许可证。</w:t>
      </w:r>
    </w:p>
    <w:p>
      <w:pPr>
        <w:spacing w:line="580" w:lineRule="exact"/>
        <w:rPr>
          <w:rFonts w:hint="eastAsia" w:ascii="仿宋_GB2312" w:hAnsi="仿宋_GB2312" w:eastAsia="仿宋_GB2312" w:cs="仿宋_GB2312"/>
          <w:sz w:val="32"/>
          <w:szCs w:val="32"/>
        </w:rPr>
      </w:pPr>
      <w:r>
        <w:rPr>
          <w:rFonts w:hint="eastAsia" w:ascii="黑体" w:hAnsi="黑体" w:eastAsia="黑体" w:cs="黑体"/>
          <w:sz w:val="32"/>
          <w:szCs w:val="32"/>
        </w:rPr>
        <w:t xml:space="preserve">    二、优化工程性开采报审</w:t>
      </w:r>
      <w:r>
        <w:rPr>
          <w:rFonts w:hint="eastAsia" w:ascii="仿宋_GB2312" w:hAnsi="仿宋_GB2312" w:eastAsia="仿宋_GB2312" w:cs="仿宋_GB2312"/>
          <w:sz w:val="32"/>
          <w:szCs w:val="32"/>
        </w:rPr>
        <w:t>。对符合工程性开采范围的项目，由建设单位提出申请，经工程行业主管部门组织相关部门联合踏勘会审后，报县（区）人民政府、功能区管委会审批。开采总量在100万吨（含）以上的工程项目和跨县（区）、功能区的工程项目，由县（区）人民政府、功能区管委会审查后报市政府，审核通过后实施。</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bookmarkStart w:id="0" w:name="_GoBack"/>
      <w:bookmarkEnd w:id="0"/>
      <w:r>
        <w:rPr>
          <w:rFonts w:hint="eastAsia" w:ascii="仿宋_GB2312" w:hAnsi="仿宋_GB2312" w:eastAsia="仿宋_GB2312" w:cs="仿宋_GB2312"/>
          <w:sz w:val="32"/>
          <w:szCs w:val="32"/>
        </w:rPr>
        <w:t>工程建设中因施工方案调整等原因引起砂石土开采量变化的（超过原定方案的10%或总量超过5万吨的），由行业主管部门牵头组织有关部门及专家进行论证，签署变更意见，并报县（区）人民政府、功能区管委会备案。</w:t>
      </w:r>
    </w:p>
    <w:p>
      <w:pPr>
        <w:spacing w:line="580" w:lineRule="exact"/>
        <w:rPr>
          <w:rFonts w:hint="eastAsia" w:ascii="仿宋_GB2312" w:hAnsi="仿宋_GB2312" w:eastAsia="仿宋_GB2312" w:cs="仿宋_GB2312"/>
          <w:sz w:val="32"/>
          <w:szCs w:val="32"/>
        </w:rPr>
      </w:pPr>
      <w:r>
        <w:rPr>
          <w:rFonts w:hint="eastAsia" w:ascii="黑体" w:hAnsi="黑体" w:eastAsia="黑体" w:cs="黑体"/>
          <w:sz w:val="32"/>
          <w:szCs w:val="32"/>
        </w:rPr>
        <w:t xml:space="preserve">    三、加强工程性开采管理</w:t>
      </w:r>
      <w:r>
        <w:rPr>
          <w:rFonts w:hint="eastAsia" w:ascii="仿宋_GB2312" w:hAnsi="仿宋_GB2312" w:eastAsia="仿宋_GB2312" w:cs="仿宋_GB2312"/>
          <w:sz w:val="32"/>
          <w:szCs w:val="32"/>
        </w:rPr>
        <w:t>。工程性开采是工程建设施工重要组成部分，各地各部门要按照建设项目管理要求，围绕依法施工，安全施工，切实抓好工程性开采监督管理。</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各县（区）人民政府、功能区管委会要健全工程性开采管理机制，履行好属地管理职责。督促属地建设工程行业主管部门履行主体责任以及所属乡镇（街道）履行协同管理职责。负责多余砂石土交易（拍卖）的监督管理。</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各级自然资源和规划部门负责工程性开采准入条件审查，负责工程性开采项目和处置信息的汇总统计，牵头建立信息共享机制。各级交通、住建、水利、港航、经信等建设工程行业主管部门负责本行业内建设工程项目工程性开采施工质量和安全监管。强化项目全程监管，严格落实事中监管和事后验收等制度，督促建设单位、施工单位落实主体责任，严格按方案安全施工，严禁私设石料加工机组、变相开矿、违规处置多余砂石土料、污染环境等违法违规行为。财政（国资）部门负责多余砂石土处置收益的结算工作。 公安部门负责工程开采过程中民爆物品管理。生态环境部门负责项目环评审批和实施过程中水气声污染防控监管。应急管理部门履行安全生产综合监管职责。</w:t>
      </w:r>
    </w:p>
    <w:p>
      <w:pPr>
        <w:spacing w:line="580" w:lineRule="exact"/>
        <w:rPr>
          <w:rFonts w:hint="eastAsia" w:ascii="仿宋_GB2312" w:hAnsi="仿宋_GB2312" w:eastAsia="仿宋_GB2312" w:cs="仿宋_GB2312"/>
          <w:sz w:val="32"/>
          <w:szCs w:val="32"/>
        </w:rPr>
      </w:pPr>
      <w:r>
        <w:rPr>
          <w:rFonts w:hint="eastAsia" w:ascii="黑体" w:hAnsi="黑体" w:eastAsia="黑体" w:cs="黑体"/>
          <w:sz w:val="32"/>
          <w:szCs w:val="32"/>
        </w:rPr>
        <w:t xml:space="preserve">    四、规范多余砂石土处置</w:t>
      </w:r>
      <w:r>
        <w:rPr>
          <w:rFonts w:hint="eastAsia" w:ascii="仿宋_GB2312" w:hAnsi="仿宋_GB2312" w:eastAsia="仿宋_GB2312" w:cs="仿宋_GB2312"/>
          <w:sz w:val="32"/>
          <w:szCs w:val="32"/>
        </w:rPr>
        <w:t>。建设工程行业主管部门根据项目设计、施工方案，对砂石土开采总量、本工程（指同一项目，同一建设主体）自用量（仅限场地平整围填、挡土墙砌筑，对于国家、省批准的战略项目和重大基础设施建设项目对砂石土使用有特殊规定的除外）和多余量进行审查。</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多余砂石土料由建设单位移交属地县(区)人民政府、功能区管委会,纳入公共资源交易平台以公开竞争方式处置，处置收入纳入同级财政统一管理，相关单位按规定缴纳规费。</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各县（区）人民政府、功能区管委会、建设工程行业主管部门要督促建设单位、施工单位依规做好开采砂石土料的使用、多余砂石土料移交等工作，做到闭环管理。</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原市政府办公室《关于加强不设采矿权的建设工程领域砂石土开采监管工作的通知》（舟政办法〔2021〕7号）废止，本通知自发文之日起施行。</w:t>
      </w:r>
    </w:p>
    <w:p>
      <w:pPr>
        <w:spacing w:line="580" w:lineRule="exact"/>
        <w:rPr>
          <w:rFonts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黑体">
    <w:panose1 w:val="02010609060101010101"/>
    <w:charset w:val="86"/>
    <w:family w:val="swiss"/>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21562D"/>
    <w:rsid w:val="00131703"/>
    <w:rsid w:val="0021562D"/>
    <w:rsid w:val="37F27D1A"/>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1"/>
    <w:basedOn w:val="1"/>
    <w:next w:val="1"/>
    <w:link w:val="10"/>
    <w:qFormat/>
    <w:uiPriority w:val="9"/>
    <w:pPr>
      <w:keepNext/>
      <w:keepLines/>
      <w:spacing w:before="340" w:after="330" w:line="576" w:lineRule="auto"/>
      <w:outlineLvl w:val="0"/>
    </w:pPr>
    <w:rPr>
      <w:b/>
      <w:bCs/>
      <w:kern w:val="44"/>
      <w:sz w:val="44"/>
      <w:szCs w:val="44"/>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9"/>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7">
    <w:name w:val="Table Grid"/>
    <w:basedOn w:val="6"/>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5"/>
    <w:link w:val="4"/>
    <w:semiHidden/>
    <w:uiPriority w:val="99"/>
    <w:rPr>
      <w:sz w:val="18"/>
      <w:szCs w:val="18"/>
    </w:rPr>
  </w:style>
  <w:style w:type="character" w:customStyle="1" w:styleId="9">
    <w:name w:val="页脚 Char"/>
    <w:basedOn w:val="5"/>
    <w:link w:val="3"/>
    <w:semiHidden/>
    <w:uiPriority w:val="99"/>
    <w:rPr>
      <w:sz w:val="18"/>
      <w:szCs w:val="18"/>
    </w:rPr>
  </w:style>
  <w:style w:type="character" w:customStyle="1" w:styleId="10">
    <w:name w:val="标题 1 Char"/>
    <w:basedOn w:val="5"/>
    <w:link w:val="2"/>
    <w:uiPriority w:val="9"/>
    <w:rPr>
      <w:rFonts w:ascii="Calibri" w:hAnsi="Calibri" w:eastAsia="宋体" w:cs="宋体"/>
      <w:b/>
      <w:bCs/>
      <w:kern w:val="44"/>
      <w:sz w:val="44"/>
      <w:szCs w:val="44"/>
    </w:rPr>
  </w:style>
  <w:style w:type="table" w:customStyle="1" w:styleId="11">
    <w:name w:val="Table Normal"/>
    <w:qFormat/>
    <w:uiPriority w:val="0"/>
    <w:rPr>
      <w:rFonts w:ascii="Times New Roman" w:hAnsi="Times New Roman" w:eastAsia="宋体" w:cs="Times New Roman"/>
      <w:kern w:val="0"/>
      <w:sz w:val="20"/>
      <w:szCs w:val="20"/>
    </w:rPr>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225</Words>
  <Characters>1289</Characters>
  <Lines>10</Lines>
  <Paragraphs>3</Paragraphs>
  <TotalTime>0</TotalTime>
  <ScaleCrop>false</ScaleCrop>
  <LinksUpToDate>false</LinksUpToDate>
  <CharactersWithSpaces>1511</CharactersWithSpaces>
  <Application>WPS Office_10.1.0.5842_F1E327BC-269C-435d-A152-05C5408002CA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2024-09-26T07:10:00Z</dcterms:created>
  <dc:creator>NTKO</dc:creator>
  <cp:lastModifiedBy>潘一朝</cp:lastModifiedBy>
  <dcterms:modified xsi:type="dcterms:W3CDTF">2024-09-26T07:12:21Z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2052-10.1.0.5842</vt:lpwstr>
  </property>
</Properties>
</file>