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afterLines="0" w:line="580" w:lineRule="exact"/>
        <w:jc w:val="center"/>
        <w:textAlignment w:val="auto"/>
        <w:rPr>
          <w:rFonts w:hint="default" w:ascii="Times New Roman" w:hAnsi="Times New Roman" w:eastAsia="方正小标宋简体" w:cs="方正小标宋简体"/>
          <w:sz w:val="44"/>
          <w:szCs w:val="44"/>
          <w:lang w:val="en-US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关</w:t>
      </w:r>
      <w:r>
        <w:rPr>
          <w:rFonts w:ascii="Times New Roman" w:hAnsi="Times New Roman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于</w:t>
      </w:r>
      <w:r>
        <w:rPr>
          <w:rFonts w:hint="eastAsia" w:ascii="Times New Roman" w:hAnsi="Times New Roman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上城区推动总部经济发展的若干政策措施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80" w:lineRule="exact"/>
        <w:ind w:firstLine="640" w:firstLineChars="20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（征求意见稿）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为深入贯彻落实杭州市总部经济相关文件精神，</w:t>
      </w:r>
      <w:r>
        <w:rPr>
          <w:rFonts w:ascii="Times New Roman" w:hAnsi="Times New Roman" w:eastAsia="仿宋_GB2312" w:cs="仿宋_GB2312"/>
          <w:sz w:val="32"/>
          <w:szCs w:val="32"/>
        </w:rPr>
        <w:t>进一步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扶持、培育和引进总部企业，推动</w:t>
      </w:r>
      <w:r>
        <w:rPr>
          <w:rFonts w:ascii="Times New Roman" w:hAnsi="Times New Roman" w:eastAsia="仿宋_GB2312" w:cs="仿宋_GB2312"/>
          <w:sz w:val="32"/>
          <w:szCs w:val="32"/>
        </w:rPr>
        <w:t>总部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企业做大做强，更好发挥总部经济在促进构建现代产业体系的积极作用，</w:t>
      </w:r>
      <w:r>
        <w:rPr>
          <w:rFonts w:ascii="Times New Roman" w:hAnsi="Times New Roman" w:eastAsia="仿宋_GB2312" w:cs="仿宋_GB2312"/>
          <w:sz w:val="32"/>
          <w:szCs w:val="32"/>
        </w:rPr>
        <w:t>加速总部企业集聚，打造都市经济标杆区、共同富裕典范城区，制定如下意见。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一、支持对象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yellow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本意见所称总部企业，</w:t>
      </w:r>
      <w:r>
        <w:rPr>
          <w:rFonts w:hint="default" w:ascii="Times New Roman" w:hAnsi="Times New Roman" w:eastAsia="仿宋_GB2312" w:cs="Times New Roman"/>
          <w:bCs/>
          <w:spacing w:val="6"/>
          <w:sz w:val="32"/>
          <w:szCs w:val="32"/>
        </w:rPr>
        <w:t>是指经审核，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符合上城区产业发展导向，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对不少于2家控股企业或分支机构行使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总部职能的企业。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黑体"/>
          <w:sz w:val="32"/>
          <w:szCs w:val="32"/>
        </w:rPr>
        <w:t>支持内容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楷体_GB2312" w:cs="楷体_GB2312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napToGrid w:val="0"/>
          <w:kern w:val="0"/>
          <w:sz w:val="32"/>
          <w:szCs w:val="32"/>
          <w:lang w:val="en-US" w:eastAsia="zh-CN"/>
        </w:rPr>
        <w:t>1.招大引强奖励。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鼓励“世界500强”、“中国企业500强”、“中国民营企业500强”、“中央管理企业”等总部企业在上城发展，对符合条件的最高予以1亿元一次性奖励。对总部企业引育产业链上下游企业的，最高予以500万元一次性奖励。</w:t>
      </w: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lang w:val="en-US" w:eastAsia="zh-CN"/>
        </w:rPr>
        <w:t>（牵头单位：区投资促进局）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楷体_GB2312" w:cs="楷体_GB2312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napToGrid w:val="0"/>
          <w:kern w:val="0"/>
          <w:sz w:val="32"/>
          <w:szCs w:val="32"/>
          <w:lang w:val="en-US" w:eastAsia="zh-CN"/>
        </w:rPr>
        <w:t>2.做大做强奖励。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鼓励企业做大做强，重点扶持研发类、销售类功能性总部，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支持总部企业规模增长、发展壮大，鼓励总部企业持续实现营收突破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，最高予以4000万元奖励。</w:t>
      </w: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  <w:lang w:val="en-US" w:eastAsia="zh-CN"/>
        </w:rPr>
        <w:t>（牵头单位：区发改经信局）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snapToGrid w:val="0"/>
          <w:kern w:val="0"/>
          <w:sz w:val="32"/>
          <w:szCs w:val="32"/>
          <w:lang w:val="en-US" w:eastAsia="zh-CN"/>
        </w:rPr>
        <w:t>3.星级培育奖励。</w:t>
      </w:r>
      <w:r>
        <w:rPr>
          <w:rFonts w:ascii="Times New Roman" w:hAnsi="Times New Roman" w:eastAsia="仿宋_GB2312" w:cs="仿宋_GB2312"/>
          <w:sz w:val="32"/>
          <w:szCs w:val="32"/>
        </w:rPr>
        <w:t>对首次评为</w:t>
      </w:r>
      <w:r>
        <w:rPr>
          <w:rFonts w:hint="default" w:ascii="Times New Roman" w:hAnsi="Times New Roman" w:eastAsia="仿宋_GB2312" w:cs="仿宋_GB2312"/>
          <w:sz w:val="32"/>
          <w:szCs w:val="32"/>
        </w:rPr>
        <w:t>杭州市</w:t>
      </w:r>
      <w:r>
        <w:rPr>
          <w:rFonts w:ascii="Times New Roman" w:hAnsi="Times New Roman" w:eastAsia="仿宋_GB2312" w:cs="仿宋_GB2312"/>
          <w:sz w:val="32"/>
          <w:szCs w:val="32"/>
        </w:rPr>
        <w:t>“五星级”“四星级”和“三星级”总部企业的，分别予以500万元、200万元、100万元奖励。星级评定等次提升的，给予补差奖励。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牵头单位：区发改经信局）</w:t>
      </w:r>
      <w:r>
        <w:rPr>
          <w:rFonts w:hint="default" w:ascii="Times New Roman" w:hAnsi="Times New Roman" w:eastAsia="楷体_GB2312" w:cs="楷体_GB2312"/>
          <w:b w:val="0"/>
          <w:bCs w:val="0"/>
          <w:color w:val="auto"/>
          <w:sz w:val="32"/>
          <w:szCs w:val="32"/>
          <w:lang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楷体_GB2312" w:cs="楷体_GB2312"/>
          <w:b/>
          <w:bCs/>
          <w:snapToGrid w:val="0"/>
          <w:kern w:val="0"/>
          <w:sz w:val="32"/>
          <w:szCs w:val="32"/>
          <w:lang w:val="en-US" w:eastAsia="zh-CN"/>
        </w:rPr>
        <w:t>4.租房购房补助。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在我区无自有办公用房的“三星级”及以上总部企业，租用总部自用办公用房的，可按认定当年实际支付租金50%予以补助，补助金额每年不超过300万元，最多不超过两年。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highlight w:val="none"/>
          <w:u w:val="none"/>
          <w:lang w:val="en-US" w:eastAsia="zh-CN"/>
        </w:rPr>
        <w:t>在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我区无自有办公用房的“三星级”及以上总部企业，首次购置总部自用办公用房的，按不超过购房价10%最高予以3000万元补助。租房、购房补助政策不能同时享受。对总部企业生态型子公司视情给予补助。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牵头单位：区发改经信局）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 w:val="0"/>
        <w:autoSpaceDN w:val="0"/>
        <w:bidi w:val="0"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b/>
          <w:bCs/>
          <w:snapToGrid w:val="0"/>
          <w:kern w:val="0"/>
          <w:sz w:val="32"/>
          <w:szCs w:val="32"/>
          <w:lang w:val="en-US" w:eastAsia="zh-CN"/>
        </w:rPr>
        <w:t>5.创新发展补助。</w:t>
      </w:r>
      <w:r>
        <w:rPr>
          <w:rFonts w:hint="default" w:ascii="Times New Roman" w:hAnsi="Times New Roman" w:eastAsia="仿宋_GB2312" w:cs="仿宋_GB2312"/>
          <w:b w:val="0"/>
          <w:bCs w:val="0"/>
          <w:snapToGrid/>
          <w:kern w:val="2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仿宋_GB2312"/>
          <w:b w:val="0"/>
          <w:bCs w:val="0"/>
          <w:snapToGrid/>
          <w:spacing w:val="0"/>
          <w:kern w:val="2"/>
          <w:sz w:val="32"/>
          <w:szCs w:val="32"/>
          <w:shd w:val="clear" w:color="auto" w:fill="auto"/>
          <w:lang w:val="en-US" w:eastAsia="zh-CN"/>
        </w:rPr>
        <w:t>杭州市</w:t>
      </w:r>
      <w:r>
        <w:rPr>
          <w:rFonts w:hint="default" w:ascii="Times New Roman" w:hAnsi="Times New Roman" w:eastAsia="仿宋_GB2312" w:cs="仿宋_GB2312"/>
          <w:spacing w:val="0"/>
          <w:sz w:val="32"/>
          <w:szCs w:val="32"/>
          <w:shd w:val="clear" w:color="auto" w:fill="auto"/>
          <w:lang w:val="en-US" w:eastAsia="zh-CN"/>
        </w:rPr>
        <w:t>“三星级”及以上总部企业，按不超过其年度新增研发额（扣除500万元后的增量部分）6%，给予最高补助300万元。对年度研发投入额达5亿元以上的总部企业，直接给予300万元补助。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对总部企业牵头承担国家、省市各类科技研发项目的，按规定予以资金支持。对总部企业设立博士后科研工作站，招收博士后人员进站并在我区开展课题、项目研究的，按照有关规定予以建站资助、日常经费资助、科研资助等。支持总部企业设立产业联盟、行业协会，参与制定国际、国内标准的，按规定予以补助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牵头单位：区科技局、区人社局、区市</w:t>
      </w:r>
      <w:bookmarkStart w:id="0" w:name="_GoBack"/>
      <w:bookmarkEnd w:id="0"/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场监管局）</w:t>
      </w:r>
      <w:r>
        <w:rPr>
          <w:rFonts w:hint="default" w:ascii="Times New Roman" w:hAnsi="Times New Roman" w:eastAsia="楷体_GB2312" w:cs="楷体_GB2312"/>
          <w:b w:val="0"/>
          <w:bCs w:val="0"/>
          <w:color w:val="auto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 w:val="0"/>
        <w:autoSpaceDN w:val="0"/>
        <w:bidi w:val="0"/>
        <w:spacing w:line="580" w:lineRule="exact"/>
        <w:ind w:firstLine="643" w:firstLineChars="200"/>
        <w:jc w:val="both"/>
        <w:textAlignment w:val="auto"/>
        <w:rPr>
          <w:rFonts w:hint="eastAsia" w:ascii="Times New Roman" w:hAnsi="Times New Roman" w:eastAsia="楷体_GB2312" w:cs="楷体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napToGrid w:val="0"/>
          <w:kern w:val="0"/>
          <w:sz w:val="32"/>
          <w:szCs w:val="32"/>
          <w:lang w:val="en-US" w:eastAsia="zh-CN"/>
        </w:rPr>
        <w:t xml:space="preserve"> 6.加强用地支持。</w:t>
      </w:r>
      <w:r>
        <w:rPr>
          <w:rFonts w:hint="default" w:ascii="Times New Roman" w:hAnsi="Times New Roman" w:eastAsia="仿宋_GB2312" w:cs="仿宋_GB2312"/>
          <w:spacing w:val="0"/>
          <w:sz w:val="32"/>
          <w:szCs w:val="32"/>
        </w:rPr>
        <w:t>对符合条件的总部企业建设项目，支持其申报列入省市重大产业项目。鼓励总部企业节约集约利用自有工业用地，在符合规划、不改变用途的前提下提高现有土地利用率和容积率，不再增收土地款。</w:t>
      </w:r>
      <w:r>
        <w:rPr>
          <w:rFonts w:hint="default" w:ascii="Times New Roman" w:hAnsi="Times New Roman" w:eastAsia="仿宋_GB2312" w:cs="仿宋_GB2312"/>
          <w:sz w:val="32"/>
          <w:szCs w:val="32"/>
        </w:rPr>
        <w:t>支持商业商务用地“带项目条件”出让。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eastAsia="楷体_GB2312" w:cs="楷体_GB2312"/>
          <w:color w:val="auto"/>
          <w:spacing w:val="0"/>
          <w:sz w:val="32"/>
          <w:szCs w:val="32"/>
          <w:lang w:val="en-US" w:eastAsia="zh-CN"/>
        </w:rPr>
        <w:t>区发改经信局）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FF0000"/>
          <w:spacing w:val="6"/>
          <w:sz w:val="32"/>
          <w:szCs w:val="32"/>
          <w:highlight w:val="green"/>
          <w:u w:val="wave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snapToGrid w:val="0"/>
          <w:kern w:val="0"/>
          <w:sz w:val="32"/>
          <w:szCs w:val="32"/>
          <w:lang w:val="en-US" w:eastAsia="zh-CN"/>
        </w:rPr>
        <w:t>7.强化人才支持。</w:t>
      </w:r>
      <w:r>
        <w:rPr>
          <w:rFonts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在高层次人才分类评价中对总部企业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予以支持，根据总部企业的星级评定结果，分类给予人才授权认定名额，并按规定享受相关人才政策。</w:t>
      </w:r>
      <w:r>
        <w:rPr>
          <w:rFonts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在满足入（转）学基本条件的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前提下，统筹协调落实非本市户籍的总部企业高级管理人员子女，就近入（转）学公办幼儿园及公办义务教育阶段学校。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为总部企业开通绿色通道，对其高管医疗予以支持。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优化总部企业人才服务，给予总部企业区级人才专项用房配租支持。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牵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头单位：区委人才办、</w:t>
      </w:r>
      <w:r>
        <w:rPr>
          <w:rFonts w:hint="default" w:ascii="Times New Roman" w:hAnsi="Times New Roman" w:eastAsia="楷体_GB2312" w:cs="楷体_GB2312"/>
          <w:b w:val="0"/>
          <w:bCs w:val="0"/>
          <w:color w:val="auto"/>
          <w:sz w:val="32"/>
          <w:szCs w:val="32"/>
          <w:lang w:eastAsia="zh-CN"/>
        </w:rPr>
        <w:t>区发改经信局、区教育局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、区住建局、区人社局、区卫健局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80" w:lineRule="exact"/>
        <w:ind w:firstLine="643" w:firstLineChars="200"/>
        <w:jc w:val="both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楷体_GB2312" w:cs="楷体_GB2312"/>
          <w:b/>
          <w:bCs/>
          <w:snapToGrid w:val="0"/>
          <w:kern w:val="0"/>
          <w:sz w:val="32"/>
          <w:szCs w:val="32"/>
          <w:lang w:val="en-US" w:eastAsia="zh-CN"/>
        </w:rPr>
        <w:t>8.强化金融支持。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鼓励</w:t>
      </w:r>
      <w:r>
        <w:rPr>
          <w:rFonts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总部企业股改、上市、并购重组</w:t>
      </w:r>
      <w:r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。支持符合条件的总部企业利用银行间市场融资和债券融资。支持总部企业参与各类政府引导基金和产业基金合作。鼓励总部企业与境内外知名股权投资基金管理公司合作，发起设立符合产业规划方向的行业性投资基金。鼓励金融机构创新总部经济金融产品，支持总部成员企业融资需求。</w:t>
      </w:r>
      <w:r>
        <w:rPr>
          <w:rFonts w:hint="eastAsia" w:ascii="Times New Roman" w:hAnsi="Times New Roman" w:eastAsia="楷体_GB2312" w:cs="楷体_GB2312"/>
          <w:color w:val="0000FF"/>
          <w:sz w:val="32"/>
          <w:szCs w:val="32"/>
        </w:rPr>
        <w:t>（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牵头单位：玉皇山南基金小镇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楷体_GB2312" w:cs="楷体_GB2312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napToGrid w:val="0"/>
          <w:kern w:val="0"/>
          <w:sz w:val="32"/>
          <w:szCs w:val="32"/>
          <w:lang w:val="en-US" w:eastAsia="zh-CN"/>
        </w:rPr>
        <w:t>9.加强为企服务。</w:t>
      </w:r>
      <w:r>
        <w:rPr>
          <w:rFonts w:hint="default" w:ascii="Times New Roman" w:hAnsi="Times New Roman" w:eastAsia="仿宋_GB2312" w:cs="仿宋_GB2312"/>
          <w:sz w:val="32"/>
          <w:szCs w:val="32"/>
          <w:u w:val="none"/>
        </w:rPr>
        <w:t>建立“区领导挂包</w:t>
      </w:r>
      <w:r>
        <w:rPr>
          <w:rFonts w:ascii="Times New Roman" w:hAnsi="Times New Roman" w:eastAsia="仿宋_GB2312" w:cs="仿宋_GB2312"/>
          <w:sz w:val="32"/>
          <w:szCs w:val="32"/>
          <w:u w:val="none"/>
        </w:rPr>
        <w:t>+</w:t>
      </w:r>
      <w:r>
        <w:rPr>
          <w:rFonts w:hint="default" w:ascii="Times New Roman" w:hAnsi="Times New Roman" w:eastAsia="仿宋_GB2312" w:cs="仿宋_GB2312"/>
          <w:sz w:val="32"/>
          <w:szCs w:val="32"/>
          <w:u w:val="none"/>
        </w:rPr>
        <w:t>专员服务”工作机制，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u w:val="none"/>
        </w:rPr>
        <w:t>常态化开展总部企业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  <w:u w:val="none"/>
        </w:rPr>
        <w:t>“</w:t>
      </w:r>
      <w:r>
        <w:rPr>
          <w:rFonts w:hint="default" w:ascii="Times New Roman" w:hAnsi="Times New Roman" w:eastAsia="仿宋_GB2312" w:cs="仿宋_GB2312"/>
          <w:sz w:val="32"/>
          <w:szCs w:val="32"/>
          <w:u w:val="none"/>
        </w:rPr>
        <w:t>三服务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  <w:u w:val="none"/>
        </w:rPr>
        <w:t>”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u w:val="none"/>
        </w:rPr>
        <w:t>活动，为总部企业在投资落地、开办经营、工程项目审批等环节提供全生命周期的高效服务。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  <w:lang w:val="en-US" w:eastAsia="zh-CN"/>
        </w:rPr>
        <w:t>审管办、区发改经信局</w:t>
      </w:r>
      <w:r>
        <w:rPr>
          <w:rFonts w:hint="eastAsia" w:ascii="Times New Roman" w:hAnsi="Times New Roman" w:eastAsia="楷体_GB2312" w:cs="楷体_GB2312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 w:val="0"/>
        <w:spacing w:line="580" w:lineRule="exact"/>
        <w:ind w:firstLine="643" w:firstLineChars="200"/>
        <w:textAlignment w:val="auto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napToGrid w:val="0"/>
          <w:kern w:val="0"/>
          <w:sz w:val="32"/>
          <w:szCs w:val="32"/>
          <w:lang w:val="en-US" w:eastAsia="zh-CN"/>
        </w:rPr>
        <w:t>10.加强载体建设。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  <w:u w:val="none"/>
        </w:rPr>
        <w:t>推动钱江新城二期、杭州金融城、玉皇山南基金小镇、杭港高端服务业示范区等片区一体化发展，打造钱塘江黄金江岸线总部经济带，为总部企业落地、发展提供优质空间。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lang w:val="en-US" w:eastAsia="zh-CN"/>
        </w:rPr>
        <w:t>牵头单位：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</w:rPr>
        <w:t>区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lang w:val="en-US" w:eastAsia="zh-CN"/>
        </w:rPr>
        <w:t>投促局、区发改经信局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snapToGrid w:val="0"/>
        <w:spacing w:line="580" w:lineRule="exact"/>
        <w:ind w:left="640" w:firstLine="0" w:firstLineChars="0"/>
        <w:textAlignment w:val="auto"/>
        <w:rPr>
          <w:rFonts w:ascii="Times New Roman" w:hAnsi="Times New Roman" w:eastAsia="黑体" w:cs="黑体"/>
          <w:sz w:val="32"/>
          <w:szCs w:val="32"/>
        </w:rPr>
      </w:pPr>
      <w:r>
        <w:rPr>
          <w:rFonts w:hint="default" w:ascii="Times New Roman" w:hAnsi="Times New Roman" w:eastAsia="黑体" w:cs="黑体"/>
          <w:sz w:val="32"/>
          <w:szCs w:val="32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、附则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  <w:highlight w:val="none"/>
          <w:lang w:val="en-US" w:eastAsia="zh-CN"/>
        </w:rPr>
        <w:t>意见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扶持资金由区财政局统筹平衡。同一项目按从优从高不重复和进档差额原则进行补助。上级已有补助的，本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  <w:highlight w:val="none"/>
          <w:lang w:val="en-US" w:eastAsia="zh-CN"/>
        </w:rPr>
        <w:t>意见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补助含区级配套资金。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当年存在欠薪欠资行为、发生违法犯罪、安全生产、环境污染等较大责任事故和存在数据申报异常等情况的企业，不能享受本扶持政策。扶持对象均须对申请材料的真实性负责，并承担相应法律责任。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yellow"/>
          <w:u w:val="single"/>
          <w:lang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  <w:highlight w:val="none"/>
        </w:rPr>
        <w:t>本</w:t>
      </w:r>
      <w:r>
        <w:rPr>
          <w:rFonts w:hint="eastAsia" w:ascii="Times New Roman" w:hAnsi="Times New Roman" w:eastAsia="仿宋_GB2312" w:cs="Times New Roman"/>
          <w:kern w:val="21"/>
          <w:sz w:val="32"/>
          <w:szCs w:val="32"/>
          <w:highlight w:val="none"/>
          <w:lang w:val="en-US" w:eastAsia="zh-CN"/>
        </w:rPr>
        <w:t>意见由区发改经信局负责解释，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自202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日起施行，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yellow"/>
          <w:u w:val="single"/>
          <w:lang w:eastAsia="zh-CN"/>
        </w:rPr>
      </w:pPr>
    </w:p>
    <w:p>
      <w:pPr>
        <w:snapToGrid w:val="0"/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</w:p>
    <w:p>
      <w:pPr>
        <w:pStyle w:val="2"/>
        <w:rPr>
          <w:rFonts w:hint="default" w:ascii="仿宋_GB2312" w:hAnsi="Calibri" w:eastAsia="仿宋_GB2312" w:cs="仿宋_GB2312"/>
          <w:kern w:val="2"/>
          <w:sz w:val="32"/>
          <w:szCs w:val="32"/>
          <w:lang w:eastAsia="zh-CN" w:bidi="ar"/>
        </w:rPr>
      </w:pPr>
    </w:p>
    <w:sectPr>
      <w:footerReference r:id="rId3" w:type="default"/>
      <w:pgSz w:w="11906" w:h="16838"/>
      <w:pgMar w:top="2098" w:right="1474" w:bottom="192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??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A1ECA"/>
    <w:rsid w:val="0330442F"/>
    <w:rsid w:val="03763AFD"/>
    <w:rsid w:val="04415531"/>
    <w:rsid w:val="05334299"/>
    <w:rsid w:val="092738B9"/>
    <w:rsid w:val="0BC33068"/>
    <w:rsid w:val="104B4B0C"/>
    <w:rsid w:val="17CA1EDB"/>
    <w:rsid w:val="18F15B59"/>
    <w:rsid w:val="20A8279A"/>
    <w:rsid w:val="21373C8B"/>
    <w:rsid w:val="250012B3"/>
    <w:rsid w:val="28460858"/>
    <w:rsid w:val="31BC7028"/>
    <w:rsid w:val="36E75D0D"/>
    <w:rsid w:val="36F1348E"/>
    <w:rsid w:val="37D47BF8"/>
    <w:rsid w:val="37F31C7C"/>
    <w:rsid w:val="387FD75A"/>
    <w:rsid w:val="3BEF47B1"/>
    <w:rsid w:val="3D2B63EB"/>
    <w:rsid w:val="3DFE7988"/>
    <w:rsid w:val="3F3D9BB2"/>
    <w:rsid w:val="42F66156"/>
    <w:rsid w:val="4C933071"/>
    <w:rsid w:val="4DC4590D"/>
    <w:rsid w:val="56C52370"/>
    <w:rsid w:val="56FB3459"/>
    <w:rsid w:val="570F0304"/>
    <w:rsid w:val="5721306F"/>
    <w:rsid w:val="5B1B5B01"/>
    <w:rsid w:val="5B560F14"/>
    <w:rsid w:val="5BC73EC9"/>
    <w:rsid w:val="5C8BFC5A"/>
    <w:rsid w:val="5D17081C"/>
    <w:rsid w:val="5F2461E4"/>
    <w:rsid w:val="61154F09"/>
    <w:rsid w:val="630A1ECA"/>
    <w:rsid w:val="63614AE4"/>
    <w:rsid w:val="66FE3A37"/>
    <w:rsid w:val="67005556"/>
    <w:rsid w:val="6C0D3EDD"/>
    <w:rsid w:val="6CD13D90"/>
    <w:rsid w:val="6D3B0247"/>
    <w:rsid w:val="6FAA313A"/>
    <w:rsid w:val="75D30283"/>
    <w:rsid w:val="D3DC761A"/>
    <w:rsid w:val="E3DF2DD1"/>
    <w:rsid w:val="E9338565"/>
    <w:rsid w:val="EF2759B2"/>
    <w:rsid w:val="F77FF368"/>
    <w:rsid w:val="FE6F9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snapToGrid w:val="0"/>
      <w:jc w:val="left"/>
    </w:pPr>
  </w:style>
  <w:style w:type="paragraph" w:styleId="3">
    <w:name w:val="Body Text Indent"/>
    <w:basedOn w:val="1"/>
    <w:qFormat/>
    <w:uiPriority w:val="99"/>
    <w:pPr>
      <w:spacing w:after="120" w:line="360" w:lineRule="auto"/>
      <w:ind w:left="200" w:leftChars="200"/>
    </w:pPr>
    <w:rPr>
      <w:rFonts w:ascii="Times New Roman" w:hAnsi="??" w:eastAsia="仿宋_GB2312" w:cs="Times New Roman"/>
      <w:color w:val="00000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99"/>
    <w:pPr>
      <w:spacing w:line="240" w:lineRule="auto"/>
      <w:ind w:firstLine="200" w:firstLineChars="200"/>
    </w:pPr>
    <w:rPr>
      <w:rFonts w:hAnsi="Times New Roman"/>
      <w:color w:val="auto"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70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2024-12-21T08:37:00Z</dcterms:created>
  <dc:creator>谢珍梅</dc:creator>
  <cp:lastModifiedBy>谢珍梅</cp:lastModifiedBy>
  <cp:lastPrinted>2025-01-06T09:02:00Z</cp:lastPrinted>
  <dcterms:modified xsi:type="dcterms:W3CDTF">2025-01-07T01:01:53Z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759B33C290834A04BAE009CBDD94A815</vt:lpwstr>
  </property>
</Properties>
</file>