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杭州市人民政府关于加强柴油载货汽车</w:t>
      </w:r>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通行管理的通告</w:t>
      </w:r>
    </w:p>
    <w:p>
      <w:pPr>
        <w:spacing w:line="560" w:lineRule="exact"/>
        <w:jc w:val="center"/>
        <w:rPr>
          <w:rFonts w:hint="eastAsia" w:ascii="楷体_GB2312" w:hAnsi="楷体_GB2312" w:eastAsia="方正小标宋简体" w:cs="楷体_GB2312"/>
          <w:b w:val="0"/>
          <w:bCs w:val="0"/>
          <w:sz w:val="32"/>
          <w:szCs w:val="32"/>
          <w:shd w:val="clear" w:color="auto" w:fill="FFFFFF"/>
          <w:lang w:eastAsia="zh-CN"/>
        </w:rPr>
      </w:pPr>
      <w:r>
        <w:rPr>
          <w:rFonts w:hint="eastAsia" w:ascii="楷体_GB2312" w:hAnsi="楷体_GB2312" w:eastAsia="楷体_GB2312" w:cs="楷体_GB2312"/>
          <w:b w:val="0"/>
          <w:bCs w:val="0"/>
          <w:sz w:val="32"/>
          <w:szCs w:val="32"/>
          <w:shd w:val="clear" w:color="auto" w:fill="FFFFFF"/>
          <w:lang w:eastAsia="zh-CN"/>
        </w:rPr>
        <w:t>（征求意见</w:t>
      </w:r>
      <w:bookmarkStart w:id="0" w:name="_GoBack"/>
      <w:bookmarkEnd w:id="0"/>
      <w:r>
        <w:rPr>
          <w:rFonts w:hint="eastAsia" w:ascii="楷体_GB2312" w:hAnsi="楷体_GB2312" w:eastAsia="楷体_GB2312" w:cs="楷体_GB2312"/>
          <w:b w:val="0"/>
          <w:bCs w:val="0"/>
          <w:sz w:val="32"/>
          <w:szCs w:val="32"/>
          <w:shd w:val="clear" w:color="auto" w:fill="FFFFFF"/>
          <w:lang w:eastAsia="zh-CN"/>
        </w:rPr>
        <w:t>稿）</w:t>
      </w:r>
    </w:p>
    <w:p>
      <w:pPr>
        <w:spacing w:line="560" w:lineRule="exact"/>
        <w:rPr>
          <w:rFonts w:hint="eastAsia" w:ascii="黑体" w:hAnsi="黑体" w:eastAsia="黑体" w:cs="黑体"/>
          <w:sz w:val="28"/>
          <w:szCs w:val="28"/>
        </w:rPr>
      </w:pPr>
    </w:p>
    <w:p>
      <w:pPr>
        <w:pStyle w:val="8"/>
        <w:widowControl/>
        <w:spacing w:before="0" w:beforeAutospacing="0" w:after="0" w:afterAutospacing="0"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为进一步</w:t>
      </w:r>
      <w:r>
        <w:rPr>
          <w:rFonts w:hint="eastAsia" w:ascii="仿宋_GB2312" w:hAnsi="仿宋_GB2312" w:eastAsia="仿宋_GB2312" w:cs="仿宋_GB2312"/>
          <w:sz w:val="32"/>
          <w:szCs w:val="32"/>
          <w:shd w:val="clear" w:color="auto" w:fill="FFFFFF"/>
          <w:lang w:eastAsia="zh-CN"/>
        </w:rPr>
        <w:t>推动区域</w:t>
      </w:r>
      <w:r>
        <w:rPr>
          <w:rFonts w:hint="eastAsia" w:ascii="仿宋_GB2312" w:hAnsi="仿宋_GB2312" w:eastAsia="仿宋_GB2312" w:cs="仿宋_GB2312"/>
          <w:sz w:val="32"/>
          <w:szCs w:val="32"/>
          <w:shd w:val="clear" w:color="auto" w:fill="FFFFFF"/>
        </w:rPr>
        <w:t>空气质量</w:t>
      </w:r>
      <w:r>
        <w:rPr>
          <w:rFonts w:hint="eastAsia" w:ascii="仿宋_GB2312" w:hAnsi="仿宋_GB2312" w:eastAsia="仿宋_GB2312" w:cs="仿宋_GB2312"/>
          <w:sz w:val="32"/>
          <w:szCs w:val="32"/>
          <w:shd w:val="clear" w:color="auto" w:fill="FFFFFF"/>
          <w:lang w:eastAsia="zh-CN"/>
        </w:rPr>
        <w:t>改善，</w:t>
      </w:r>
      <w:r>
        <w:rPr>
          <w:rFonts w:hint="eastAsia" w:ascii="仿宋_GB2312" w:hAnsi="仿宋_GB2312" w:eastAsia="仿宋_GB2312" w:cs="仿宋_GB2312"/>
          <w:sz w:val="32"/>
          <w:szCs w:val="32"/>
          <w:shd w:val="clear" w:color="auto" w:fill="FFFFFF"/>
        </w:rPr>
        <w:t>根据《中华人民共和国大气污染防治法》《浙江省机动车排气污染防治条例》《杭州市大气污染防治规定》和《杭州市道路交通安全管理条例》等法律法规，结合我市实际，市政府决定，进一步加强对本市通行载货柴油车的交通管理，现将有关事项通告如下：</w:t>
      </w:r>
    </w:p>
    <w:p>
      <w:pPr>
        <w:pStyle w:val="8"/>
        <w:widowControl/>
        <w:spacing w:before="0" w:beforeAutospacing="0" w:after="0" w:afterAutospacing="0"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shd w:val="clear" w:color="auto" w:fill="FFFFFF"/>
        </w:rPr>
        <w:t>一、通行管理对象</w:t>
      </w:r>
    </w:p>
    <w:p>
      <w:pPr>
        <w:spacing w:line="560" w:lineRule="exact"/>
        <w:ind w:firstLine="640" w:firstLineChars="200"/>
        <w:rPr>
          <w:rFonts w:hint="eastAsia" w:ascii="仿宋_GB2312" w:hAnsi="仿宋_GB2312" w:eastAsia="仿宋_GB2312" w:cs="仿宋_GB2312"/>
          <w:sz w:val="32"/>
          <w:szCs w:val="32"/>
          <w:shd w:val="clear" w:color="auto" w:fill="FFFFFF"/>
          <w:lang w:eastAsia="zh-CN"/>
        </w:rPr>
      </w:pPr>
      <w:r>
        <w:rPr>
          <w:rFonts w:hint="eastAsia" w:ascii="仿宋_GB2312" w:hAnsi="仿宋_GB2312" w:eastAsia="仿宋_GB2312" w:cs="仿宋_GB2312"/>
          <w:sz w:val="32"/>
          <w:szCs w:val="32"/>
          <w:shd w:val="clear" w:color="auto" w:fill="FFFFFF"/>
        </w:rPr>
        <w:t>国家第四阶段排放标准（以下简称国四）及未达到国四标准的柴油燃料货车（包括低速货车、牵引车等）及专项作业车</w:t>
      </w:r>
      <w:r>
        <w:rPr>
          <w:rFonts w:hint="eastAsia" w:ascii="仿宋_GB2312" w:hAnsi="仿宋_GB2312" w:eastAsia="仿宋_GB2312" w:cs="仿宋_GB2312"/>
          <w:sz w:val="32"/>
          <w:szCs w:val="32"/>
          <w:shd w:val="clear" w:color="auto" w:fill="FFFFFF"/>
          <w:lang w:eastAsia="zh-CN"/>
        </w:rPr>
        <w:t>。</w:t>
      </w:r>
    </w:p>
    <w:p>
      <w:pPr>
        <w:spacing w:line="560" w:lineRule="exact"/>
        <w:ind w:firstLine="640" w:firstLineChars="200"/>
        <w:rPr>
          <w:rFonts w:hint="eastAsia" w:ascii="仿宋_GB2312" w:hAnsi="仿宋_GB2312" w:eastAsia="仿宋_GB2312" w:cs="仿宋_GB2312"/>
          <w:sz w:val="32"/>
          <w:szCs w:val="32"/>
          <w:highlight w:val="yellow"/>
          <w:shd w:val="clear" w:color="auto" w:fill="FFFFFF"/>
        </w:rPr>
      </w:pPr>
      <w:r>
        <w:rPr>
          <w:rFonts w:hint="eastAsia" w:ascii="仿宋_GB2312" w:hAnsi="仿宋_GB2312" w:eastAsia="仿宋_GB2312" w:cs="仿宋_GB2312"/>
          <w:sz w:val="32"/>
          <w:szCs w:val="32"/>
          <w:highlight w:val="none"/>
          <w:shd w:val="clear" w:color="auto" w:fill="FFFFFF"/>
        </w:rPr>
        <w:t>上述车辆不含军队、武警车辆及执行任务的特种车辆。</w:t>
      </w:r>
    </w:p>
    <w:p>
      <w:pPr>
        <w:pStyle w:val="8"/>
        <w:widowControl/>
        <w:spacing w:before="0" w:beforeAutospacing="0" w:after="0" w:afterAutospacing="0" w:line="560" w:lineRule="exact"/>
        <w:ind w:firstLine="640" w:firstLineChars="200"/>
        <w:rPr>
          <w:rFonts w:hint="eastAsia" w:ascii="黑体" w:hAnsi="黑体" w:eastAsia="黑体" w:cs="黑体"/>
          <w:sz w:val="32"/>
          <w:szCs w:val="32"/>
          <w:shd w:val="clear" w:color="auto" w:fill="FFFFFF"/>
        </w:rPr>
      </w:pPr>
      <w:r>
        <w:rPr>
          <w:rFonts w:hint="eastAsia" w:ascii="黑体" w:hAnsi="黑体" w:eastAsia="黑体" w:cs="黑体"/>
          <w:sz w:val="32"/>
          <w:szCs w:val="32"/>
          <w:shd w:val="clear" w:color="auto" w:fill="FFFFFF"/>
        </w:rPr>
        <w:t>二、通行管理时间和区域</w:t>
      </w:r>
    </w:p>
    <w:p>
      <w:pPr>
        <w:spacing w:line="560" w:lineRule="exact"/>
        <w:ind w:firstLine="642" w:firstLineChars="200"/>
        <w:rPr>
          <w:rFonts w:hint="eastAsia" w:ascii="楷体_GB2312" w:hAnsi="楷体_GB2312" w:eastAsia="楷体_GB2312" w:cs="楷体_GB2312"/>
          <w:b/>
          <w:bCs/>
          <w:sz w:val="32"/>
          <w:szCs w:val="32"/>
          <w:shd w:val="clear" w:color="auto" w:fill="FFFFFF"/>
        </w:rPr>
      </w:pPr>
      <w:r>
        <w:rPr>
          <w:rFonts w:hint="eastAsia" w:ascii="楷体_GB2312" w:hAnsi="楷体_GB2312" w:eastAsia="楷体_GB2312" w:cs="楷体_GB2312"/>
          <w:b/>
          <w:bCs/>
          <w:sz w:val="32"/>
          <w:szCs w:val="32"/>
          <w:shd w:val="clear" w:color="auto" w:fill="FFFFFF"/>
        </w:rPr>
        <w:t>（一）国四柴油货车通行管理措施</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分</w:t>
      </w:r>
      <w:r>
        <w:rPr>
          <w:rFonts w:hint="eastAsia" w:ascii="仿宋_GB2312" w:hAnsi="仿宋_GB2312" w:eastAsia="仿宋_GB2312" w:cs="仿宋_GB2312"/>
          <w:sz w:val="32"/>
          <w:szCs w:val="32"/>
          <w:shd w:val="clear" w:color="auto" w:fill="FFFFFF"/>
          <w:lang w:eastAsia="zh-CN"/>
        </w:rPr>
        <w:t>两个</w:t>
      </w:r>
      <w:r>
        <w:rPr>
          <w:rFonts w:hint="eastAsia" w:ascii="仿宋_GB2312" w:hAnsi="仿宋_GB2312" w:eastAsia="仿宋_GB2312" w:cs="仿宋_GB2312"/>
          <w:sz w:val="32"/>
          <w:szCs w:val="32"/>
          <w:shd w:val="clear" w:color="auto" w:fill="FFFFFF"/>
        </w:rPr>
        <w:t>阶段实施通行管理措施。</w:t>
      </w:r>
    </w:p>
    <w:p>
      <w:pPr>
        <w:spacing w:line="560" w:lineRule="exact"/>
        <w:ind w:firstLine="642"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第一阶段：</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eastAsia="zh-CN"/>
        </w:rPr>
        <w:t>至</w:t>
      </w:r>
      <w:r>
        <w:rPr>
          <w:rFonts w:hint="eastAsia" w:ascii="仿宋_GB2312" w:hAnsi="仿宋_GB2312" w:eastAsia="仿宋_GB2312" w:cs="仿宋_GB2312"/>
          <w:sz w:val="32"/>
          <w:szCs w:val="32"/>
          <w:lang w:val="en-US" w:eastAsia="zh-CN"/>
        </w:rPr>
        <w:t>2025年12月31日</w:t>
      </w:r>
      <w:r>
        <w:rPr>
          <w:rFonts w:hint="eastAsia" w:ascii="仿宋_GB2312" w:hAnsi="仿宋_GB2312" w:eastAsia="仿宋_GB2312" w:cs="仿宋_GB2312"/>
          <w:sz w:val="32"/>
          <w:szCs w:val="32"/>
          <w:lang w:eastAsia="zh-CN"/>
        </w:rPr>
        <w:t>，全天禁止上述各类车辆在以下范围内通行：石祥西路—石祥路—石桥路—秋涛北路—秋涛路—复兴路—老复兴街—虎跑路—满觉陇路—双峰路—灵溪南路—灵溪隧道—灵溪北路—西溪路—紫金港路—文一西路—古墩路合围区域内所有道路以及高架（含匝道以及附属桥梁、隧道），其中石祥西路、石祥路、石桥路、秋涛北路、秋涛路、复兴路、老复兴街、紫金港路、文一西路和古墩路不含</w:t>
      </w:r>
      <w:r>
        <w:rPr>
          <w:rFonts w:hint="eastAsia" w:ascii="仿宋_GB2312" w:hAnsi="仿宋_GB2312" w:eastAsia="仿宋_GB2312" w:cs="仿宋_GB2312"/>
          <w:sz w:val="32"/>
          <w:szCs w:val="32"/>
          <w:shd w:val="clear" w:color="auto" w:fill="FFFFFF"/>
        </w:rPr>
        <w:t>。</w:t>
      </w:r>
    </w:p>
    <w:p>
      <w:pPr>
        <w:spacing w:line="560" w:lineRule="exact"/>
        <w:ind w:firstLine="642"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第二阶段</w:t>
      </w:r>
      <w:r>
        <w:rPr>
          <w:rFonts w:hint="eastAsia" w:ascii="仿宋_GB2312" w:hAnsi="仿宋_GB2312" w:eastAsia="仿宋_GB2312" w:cs="仿宋_GB2312"/>
          <w:sz w:val="32"/>
          <w:szCs w:val="32"/>
          <w:lang w:eastAsia="zh-CN"/>
        </w:rPr>
        <w:t>：20</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lang w:eastAsia="zh-CN"/>
        </w:rPr>
        <w:t>年1月</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日起，全天禁止上述各类车辆在以下范围内通行：G2504杭州绕城高速公路（不含）合围区域所有道路及高架（含匝道以及附属桥梁、隧道）。</w:t>
      </w:r>
    </w:p>
    <w:p>
      <w:pPr>
        <w:spacing w:line="560" w:lineRule="exact"/>
        <w:ind w:firstLine="642" w:firstLineChars="200"/>
        <w:rPr>
          <w:rFonts w:hint="eastAsia" w:ascii="楷体_GB2312" w:hAnsi="楷体_GB2312" w:eastAsia="楷体_GB2312" w:cs="楷体_GB2312"/>
          <w:b/>
          <w:bCs/>
          <w:sz w:val="32"/>
          <w:szCs w:val="32"/>
          <w:shd w:val="clear" w:color="auto" w:fill="FFFFFF"/>
        </w:rPr>
      </w:pPr>
      <w:r>
        <w:rPr>
          <w:rFonts w:hint="eastAsia" w:ascii="楷体_GB2312" w:hAnsi="楷体_GB2312" w:eastAsia="楷体_GB2312" w:cs="楷体_GB2312"/>
          <w:b/>
          <w:bCs/>
          <w:sz w:val="32"/>
          <w:szCs w:val="32"/>
          <w:shd w:val="clear" w:color="auto" w:fill="FFFFFF"/>
        </w:rPr>
        <w:t>（</w:t>
      </w:r>
      <w:r>
        <w:rPr>
          <w:rFonts w:hint="eastAsia" w:ascii="楷体_GB2312" w:hAnsi="楷体_GB2312" w:eastAsia="楷体_GB2312" w:cs="楷体_GB2312"/>
          <w:b/>
          <w:bCs/>
          <w:sz w:val="32"/>
          <w:szCs w:val="32"/>
          <w:shd w:val="clear" w:color="auto" w:fill="FFFFFF"/>
          <w:lang w:eastAsia="zh-CN"/>
        </w:rPr>
        <w:t>二</w:t>
      </w:r>
      <w:r>
        <w:rPr>
          <w:rFonts w:hint="eastAsia" w:ascii="楷体_GB2312" w:hAnsi="楷体_GB2312" w:eastAsia="楷体_GB2312" w:cs="楷体_GB2312"/>
          <w:b/>
          <w:bCs/>
          <w:sz w:val="32"/>
          <w:szCs w:val="32"/>
          <w:shd w:val="clear" w:color="auto" w:fill="FFFFFF"/>
        </w:rPr>
        <w:t>）国</w:t>
      </w:r>
      <w:r>
        <w:rPr>
          <w:rFonts w:hint="eastAsia" w:ascii="楷体_GB2312" w:hAnsi="楷体_GB2312" w:eastAsia="楷体_GB2312" w:cs="楷体_GB2312"/>
          <w:b/>
          <w:bCs/>
          <w:sz w:val="32"/>
          <w:szCs w:val="32"/>
          <w:shd w:val="clear" w:color="auto" w:fill="FFFFFF"/>
          <w:lang w:eastAsia="zh-CN"/>
        </w:rPr>
        <w:t>三及以下</w:t>
      </w:r>
      <w:r>
        <w:rPr>
          <w:rFonts w:hint="eastAsia" w:ascii="楷体_GB2312" w:hAnsi="楷体_GB2312" w:eastAsia="楷体_GB2312" w:cs="楷体_GB2312"/>
          <w:b/>
          <w:bCs/>
          <w:sz w:val="32"/>
          <w:szCs w:val="32"/>
          <w:shd w:val="clear" w:color="auto" w:fill="FFFFFF"/>
        </w:rPr>
        <w:t>柴油货车通行管理措施</w:t>
      </w:r>
    </w:p>
    <w:p>
      <w:pPr>
        <w:spacing w:line="560" w:lineRule="exact"/>
        <w:ind w:firstLine="640" w:firstLineChars="200"/>
        <w:rPr>
          <w:rFonts w:hint="default"/>
          <w:lang w:val="en-US" w:eastAsia="zh-CN"/>
        </w:rPr>
      </w:pPr>
      <w:r>
        <w:rPr>
          <w:rFonts w:hint="eastAsia" w:ascii="仿宋_GB2312" w:hAnsi="仿宋_GB2312" w:eastAsia="仿宋_GB2312" w:cs="仿宋_GB2312"/>
          <w:sz w:val="32"/>
          <w:szCs w:val="32"/>
          <w:lang w:eastAsia="zh-CN"/>
        </w:rPr>
        <w:t>禁止</w:t>
      </w:r>
      <w:r>
        <w:rPr>
          <w:rFonts w:hint="eastAsia" w:ascii="仿宋_GB2312" w:hAnsi="仿宋_GB2312" w:eastAsia="仿宋_GB2312" w:cs="仿宋_GB2312"/>
          <w:sz w:val="32"/>
          <w:szCs w:val="32"/>
          <w:shd w:val="clear" w:color="auto" w:fill="FFFFFF"/>
        </w:rPr>
        <w:t>国家第</w:t>
      </w:r>
      <w:r>
        <w:rPr>
          <w:rFonts w:hint="eastAsia" w:ascii="仿宋_GB2312" w:hAnsi="仿宋_GB2312" w:eastAsia="仿宋_GB2312" w:cs="仿宋_GB2312"/>
          <w:sz w:val="32"/>
          <w:szCs w:val="32"/>
          <w:shd w:val="clear" w:color="auto" w:fill="FFFFFF"/>
          <w:lang w:val="en-US" w:eastAsia="zh-CN"/>
        </w:rPr>
        <w:t>三</w:t>
      </w:r>
      <w:r>
        <w:rPr>
          <w:rFonts w:hint="eastAsia" w:ascii="仿宋_GB2312" w:hAnsi="仿宋_GB2312" w:eastAsia="仿宋_GB2312" w:cs="仿宋_GB2312"/>
          <w:sz w:val="32"/>
          <w:szCs w:val="32"/>
          <w:shd w:val="clear" w:color="auto" w:fill="FFFFFF"/>
        </w:rPr>
        <w:t>阶段排放标准</w:t>
      </w:r>
      <w:r>
        <w:rPr>
          <w:rFonts w:hint="eastAsia" w:ascii="仿宋_GB2312" w:hAnsi="仿宋_GB2312" w:eastAsia="仿宋_GB2312" w:cs="仿宋_GB2312"/>
          <w:sz w:val="32"/>
          <w:szCs w:val="32"/>
          <w:shd w:val="clear" w:color="auto" w:fill="FFFFFF"/>
          <w:lang w:eastAsia="zh-CN"/>
        </w:rPr>
        <w:t>（以下简称国三）</w:t>
      </w:r>
      <w:r>
        <w:rPr>
          <w:rFonts w:hint="eastAsia" w:ascii="仿宋_GB2312" w:hAnsi="仿宋_GB2312" w:eastAsia="仿宋_GB2312" w:cs="仿宋_GB2312"/>
          <w:sz w:val="32"/>
          <w:szCs w:val="32"/>
          <w:shd w:val="clear" w:color="auto" w:fill="FFFFFF"/>
        </w:rPr>
        <w:t>及未达到国</w:t>
      </w:r>
      <w:r>
        <w:rPr>
          <w:rFonts w:hint="eastAsia" w:ascii="仿宋_GB2312" w:hAnsi="仿宋_GB2312" w:eastAsia="仿宋_GB2312" w:cs="仿宋_GB2312"/>
          <w:sz w:val="32"/>
          <w:szCs w:val="32"/>
          <w:shd w:val="clear" w:color="auto" w:fill="FFFFFF"/>
          <w:lang w:val="en-US" w:eastAsia="zh-CN"/>
        </w:rPr>
        <w:t>三</w:t>
      </w:r>
      <w:r>
        <w:rPr>
          <w:rFonts w:hint="eastAsia" w:ascii="仿宋_GB2312" w:hAnsi="仿宋_GB2312" w:eastAsia="仿宋_GB2312" w:cs="仿宋_GB2312"/>
          <w:sz w:val="32"/>
          <w:szCs w:val="32"/>
          <w:shd w:val="clear" w:color="auto" w:fill="FFFFFF"/>
        </w:rPr>
        <w:t>标准的柴油燃料货车（包括低速货车、牵引车等）及专项作业车</w:t>
      </w:r>
      <w:r>
        <w:rPr>
          <w:rFonts w:hint="eastAsia" w:ascii="仿宋_GB2312" w:hAnsi="仿宋_GB2312" w:eastAsia="仿宋_GB2312" w:cs="仿宋_GB2312"/>
          <w:sz w:val="32"/>
          <w:szCs w:val="32"/>
          <w:shd w:val="clear" w:color="auto" w:fill="FFFFFF"/>
          <w:lang w:eastAsia="zh-CN"/>
        </w:rPr>
        <w:t>在上城区、拱墅区、西湖区、滨江区全域范围内通行。其他区、县（市）范围按照当地通行管理政策执行。</w:t>
      </w:r>
    </w:p>
    <w:p>
      <w:pPr>
        <w:pStyle w:val="8"/>
        <w:widowControl/>
        <w:spacing w:before="0" w:beforeAutospacing="0" w:after="0" w:afterAutospacing="0" w:line="560" w:lineRule="exact"/>
        <w:ind w:firstLine="640" w:firstLineChars="200"/>
        <w:rPr>
          <w:rFonts w:hint="eastAsia" w:ascii="黑体" w:hAnsi="黑体" w:eastAsia="黑体" w:cs="黑体"/>
          <w:sz w:val="32"/>
          <w:szCs w:val="32"/>
          <w:shd w:val="clear" w:color="auto" w:fill="FFFFFF"/>
        </w:rPr>
      </w:pPr>
      <w:r>
        <w:rPr>
          <w:rFonts w:hint="eastAsia" w:ascii="黑体" w:hAnsi="黑体" w:eastAsia="黑体" w:cs="黑体"/>
          <w:sz w:val="32"/>
          <w:szCs w:val="32"/>
          <w:shd w:val="clear" w:color="auto" w:fill="FFFFFF"/>
        </w:rPr>
        <w:t>三、其他规定</w:t>
      </w:r>
    </w:p>
    <w:p>
      <w:pPr>
        <w:spacing w:line="560" w:lineRule="exact"/>
        <w:ind w:firstLine="640" w:firstLineChars="200"/>
        <w:rPr>
          <w:rFonts w:hint="eastAsia" w:ascii="仿宋_GB2312" w:hAnsi="仿宋_GB2312" w:eastAsia="仿宋_GB2312" w:cs="仿宋_GB2312"/>
          <w:sz w:val="32"/>
          <w:szCs w:val="32"/>
          <w:shd w:val="clear" w:color="auto" w:fill="FFFFFF"/>
          <w:lang w:eastAsia="zh-CN"/>
        </w:rPr>
      </w:pPr>
      <w:r>
        <w:rPr>
          <w:rFonts w:hint="eastAsia" w:ascii="仿宋_GB2312" w:hAnsi="仿宋_GB2312" w:eastAsia="仿宋_GB2312" w:cs="仿宋_GB2312"/>
          <w:sz w:val="32"/>
          <w:szCs w:val="32"/>
          <w:shd w:val="clear" w:color="auto" w:fill="FFFFFF"/>
          <w:lang w:eastAsia="zh-CN"/>
        </w:rPr>
        <w:t>上述受限车辆应提前规划行驶路线，绕开禁行区域。</w:t>
      </w:r>
    </w:p>
    <w:p>
      <w:pPr>
        <w:spacing w:line="560" w:lineRule="exact"/>
        <w:ind w:firstLine="640" w:firstLineChars="200"/>
        <w:rPr>
          <w:rFonts w:hint="eastAsia" w:ascii="仿宋_GB2312" w:hAnsi="仿宋_GB2312" w:eastAsia="仿宋_GB2312" w:cs="仿宋_GB2312"/>
          <w:sz w:val="32"/>
          <w:szCs w:val="32"/>
          <w:shd w:val="clear" w:color="auto" w:fill="FFFFFF"/>
          <w:lang w:eastAsia="zh-CN"/>
        </w:rPr>
      </w:pPr>
      <w:r>
        <w:rPr>
          <w:rFonts w:hint="eastAsia" w:ascii="仿宋_GB2312" w:hAnsi="仿宋_GB2312" w:eastAsia="仿宋_GB2312" w:cs="仿宋_GB2312"/>
          <w:sz w:val="32"/>
          <w:szCs w:val="32"/>
          <w:shd w:val="clear" w:color="auto" w:fill="FFFFFF"/>
          <w:lang w:eastAsia="zh-CN"/>
        </w:rPr>
        <w:t>对于违反本通告规定的，公安机关交通管理部门依据道路交通安全法律法规关于违反禁令标志指示的规定予以查处。</w:t>
      </w:r>
    </w:p>
    <w:p>
      <w:pPr>
        <w:spacing w:line="560" w:lineRule="exact"/>
        <w:ind w:firstLine="640" w:firstLineChars="200"/>
        <w:rPr>
          <w:rFonts w:hint="eastAsia" w:ascii="仿宋_GB2312" w:hAnsi="仿宋_GB2312" w:eastAsia="仿宋_GB2312" w:cs="仿宋_GB2312"/>
          <w:sz w:val="32"/>
          <w:szCs w:val="32"/>
          <w:shd w:val="clear" w:color="auto" w:fill="FFFFFF"/>
          <w:lang w:eastAsia="zh-CN"/>
        </w:rPr>
      </w:pPr>
      <w:r>
        <w:rPr>
          <w:rFonts w:hint="eastAsia" w:ascii="仿宋_GB2312" w:hAnsi="仿宋_GB2312" w:eastAsia="仿宋_GB2312" w:cs="仿宋_GB2312"/>
          <w:sz w:val="32"/>
          <w:szCs w:val="32"/>
          <w:shd w:val="clear" w:color="auto" w:fill="FFFFFF"/>
          <w:lang w:eastAsia="zh-CN"/>
        </w:rPr>
        <w:t>本通告自20</w:t>
      </w:r>
      <w:r>
        <w:rPr>
          <w:rFonts w:hint="eastAsia" w:ascii="仿宋_GB2312" w:hAnsi="仿宋_GB2312" w:eastAsia="仿宋_GB2312" w:cs="仿宋_GB2312"/>
          <w:sz w:val="32"/>
          <w:szCs w:val="32"/>
          <w:shd w:val="clear" w:color="auto" w:fill="FFFFFF"/>
          <w:lang w:val="en-US" w:eastAsia="zh-CN"/>
        </w:rPr>
        <w:t>25</w:t>
      </w:r>
      <w:r>
        <w:rPr>
          <w:rFonts w:hint="eastAsia" w:ascii="仿宋_GB2312" w:hAnsi="仿宋_GB2312" w:eastAsia="仿宋_GB2312" w:cs="仿宋_GB2312"/>
          <w:sz w:val="32"/>
          <w:szCs w:val="32"/>
          <w:shd w:val="clear" w:color="auto" w:fill="FFFFFF"/>
          <w:lang w:eastAsia="zh-CN"/>
        </w:rPr>
        <w:t>年</w:t>
      </w:r>
      <w:r>
        <w:rPr>
          <w:rFonts w:hint="eastAsia" w:ascii="仿宋_GB2312" w:hAnsi="仿宋_GB2312" w:eastAsia="仿宋_GB2312" w:cs="仿宋_GB2312"/>
          <w:sz w:val="32"/>
          <w:szCs w:val="32"/>
          <w:shd w:val="clear" w:color="auto" w:fill="FFFFFF"/>
          <w:lang w:val="en-US" w:eastAsia="zh-CN"/>
        </w:rPr>
        <w:t>1</w:t>
      </w:r>
      <w:r>
        <w:rPr>
          <w:rFonts w:hint="eastAsia" w:ascii="仿宋_GB2312" w:hAnsi="仿宋_GB2312" w:eastAsia="仿宋_GB2312" w:cs="仿宋_GB2312"/>
          <w:sz w:val="32"/>
          <w:szCs w:val="32"/>
          <w:shd w:val="clear" w:color="auto" w:fill="FFFFFF"/>
          <w:lang w:eastAsia="zh-CN"/>
        </w:rPr>
        <w:t>月</w:t>
      </w:r>
      <w:r>
        <w:rPr>
          <w:rFonts w:hint="eastAsia" w:ascii="仿宋_GB2312" w:hAnsi="仿宋_GB2312" w:eastAsia="仿宋_GB2312" w:cs="仿宋_GB2312"/>
          <w:sz w:val="32"/>
          <w:szCs w:val="32"/>
          <w:shd w:val="clear" w:color="auto" w:fill="FFFFFF"/>
          <w:lang w:val="en-US" w:eastAsia="zh-CN"/>
        </w:rPr>
        <w:t>1</w:t>
      </w:r>
      <w:r>
        <w:rPr>
          <w:rFonts w:hint="eastAsia" w:ascii="仿宋_GB2312" w:hAnsi="仿宋_GB2312" w:eastAsia="仿宋_GB2312" w:cs="仿宋_GB2312"/>
          <w:sz w:val="32"/>
          <w:szCs w:val="32"/>
          <w:shd w:val="clear" w:color="auto" w:fill="FFFFFF"/>
          <w:lang w:eastAsia="zh-CN"/>
        </w:rPr>
        <w:t>日起施行。</w:t>
      </w:r>
      <w:r>
        <w:rPr>
          <w:rFonts w:hint="eastAsia" w:ascii="仿宋_GB2312" w:hAnsi="仿宋_GB2312" w:eastAsia="仿宋_GB2312" w:cs="仿宋_GB2312"/>
          <w:sz w:val="32"/>
          <w:szCs w:val="32"/>
          <w:highlight w:val="none"/>
          <w:shd w:val="clear" w:color="auto" w:fill="FFFFFF"/>
          <w:lang w:eastAsia="zh-CN"/>
        </w:rPr>
        <w:t>前发《杭州市人民政府关于加强国三及以下载货柴油车通行管理的通告》（杭政函〔2019〕40号）同时废止。</w:t>
      </w:r>
      <w:r>
        <w:rPr>
          <w:rFonts w:hint="eastAsia" w:ascii="仿宋_GB2312" w:hAnsi="仿宋_GB2312" w:eastAsia="仿宋_GB2312" w:cs="仿宋_GB2312"/>
          <w:sz w:val="32"/>
          <w:szCs w:val="32"/>
          <w:shd w:val="clear" w:color="auto" w:fill="FFFFFF"/>
          <w:lang w:eastAsia="zh-CN"/>
        </w:rPr>
        <w:t>此前有关交通管理措施与本通告内容不一致的，以本通告为准。</w:t>
      </w:r>
    </w:p>
    <w:p>
      <w:pPr>
        <w:spacing w:line="560" w:lineRule="exact"/>
        <w:ind w:firstLine="640" w:firstLineChars="200"/>
        <w:rPr>
          <w:rFonts w:hint="eastAsia" w:ascii="仿宋_GB2312" w:hAnsi="仿宋_GB2312" w:eastAsia="仿宋_GB2312" w:cs="仿宋_GB2312"/>
          <w:sz w:val="32"/>
          <w:szCs w:val="32"/>
          <w:shd w:val="clear" w:color="auto" w:fill="FFFFFF"/>
          <w:lang w:eastAsia="zh-CN"/>
        </w:rPr>
      </w:pPr>
      <w:r>
        <w:rPr>
          <w:rFonts w:hint="eastAsia" w:ascii="仿宋_GB2312" w:hAnsi="仿宋_GB2312" w:eastAsia="仿宋_GB2312" w:cs="仿宋_GB2312"/>
          <w:sz w:val="32"/>
          <w:szCs w:val="32"/>
          <w:shd w:val="clear" w:color="auto" w:fill="FFFFFF"/>
          <w:lang w:eastAsia="zh-CN"/>
        </w:rPr>
        <w:t>特此通告。</w:t>
      </w:r>
    </w:p>
    <w:p>
      <w:pPr>
        <w:pStyle w:val="3"/>
        <w:ind w:left="0" w:leftChars="0" w:firstLine="0" w:firstLineChars="0"/>
        <w:rPr>
          <w:rFonts w:hint="eastAsia" w:ascii="仿宋_GB2312" w:hAnsi="仿宋_GB2312" w:eastAsia="仿宋_GB2312" w:cs="仿宋_GB2312"/>
          <w:sz w:val="32"/>
          <w:szCs w:val="32"/>
          <w:shd w:val="clear" w:color="auto" w:fill="FFFFFF"/>
          <w:lang w:eastAsia="zh-CN"/>
        </w:rPr>
      </w:pPr>
    </w:p>
    <w:p>
      <w:pPr>
        <w:spacing w:line="300" w:lineRule="exact"/>
        <w:rPr>
          <w:rFonts w:ascii="仿宋_GB2312" w:hAnsi="仿宋_GB2312" w:cs="仿宋_GB2312"/>
          <w:szCs w:val="32"/>
        </w:rPr>
      </w:pPr>
      <w:r>
        <w:rPr>
          <w:rFonts w:hint="eastAsia" w:ascii="仿宋_GB2312" w:hAnsi="Calibri" w:cs="宋体"/>
          <w:szCs w:val="32"/>
        </w:rPr>
        <w:t xml:space="preserve"> </w:t>
      </w:r>
    </w:p>
    <w:p>
      <w:pPr>
        <w:spacing w:line="560" w:lineRule="exact"/>
        <w:ind w:firstLine="640" w:firstLineChars="200"/>
        <w:jc w:val="center"/>
        <w:rPr>
          <w:rFonts w:hint="eastAsia" w:ascii="仿宋_GB2312" w:hAnsi="仿宋_GB2312" w:eastAsia="仿宋_GB2312" w:cs="仿宋_GB2312"/>
          <w:sz w:val="32"/>
          <w:szCs w:val="32"/>
          <w:shd w:val="clear" w:color="auto" w:fill="FFFFFF"/>
          <w:lang w:eastAsia="zh-CN"/>
        </w:rPr>
      </w:pPr>
      <w:r>
        <w:rPr>
          <w:rFonts w:hint="eastAsia" w:ascii="仿宋_GB2312" w:hAnsi="仿宋_GB2312" w:eastAsia="仿宋_GB2312" w:cs="仿宋_GB2312"/>
          <w:sz w:val="32"/>
          <w:szCs w:val="32"/>
          <w:shd w:val="clear" w:color="auto" w:fill="FFFFFF"/>
          <w:lang w:val="en-US" w:eastAsia="zh-CN"/>
        </w:rPr>
        <w:t xml:space="preserve">                            </w:t>
      </w:r>
      <w:r>
        <w:rPr>
          <w:rFonts w:hint="eastAsia" w:ascii="仿宋_GB2312" w:hAnsi="仿宋_GB2312" w:eastAsia="仿宋_GB2312" w:cs="仿宋_GB2312"/>
          <w:sz w:val="32"/>
          <w:szCs w:val="32"/>
          <w:shd w:val="clear" w:color="auto" w:fill="FFFFFF"/>
          <w:lang w:eastAsia="zh-CN"/>
        </w:rPr>
        <w:t>杭州市人民政府</w:t>
      </w:r>
    </w:p>
    <w:p>
      <w:pPr>
        <w:spacing w:line="560" w:lineRule="exact"/>
        <w:ind w:firstLine="640" w:firstLineChars="200"/>
        <w:jc w:val="center"/>
        <w:rPr>
          <w:rFonts w:hint="eastAsia"/>
          <w:lang w:eastAsia="zh-CN"/>
        </w:rPr>
      </w:pPr>
      <w:r>
        <w:rPr>
          <w:rFonts w:hint="eastAsia" w:ascii="仿宋_GB2312" w:hAnsi="仿宋_GB2312" w:eastAsia="仿宋_GB2312" w:cs="仿宋_GB2312"/>
          <w:sz w:val="32"/>
          <w:szCs w:val="32"/>
          <w:shd w:val="clear" w:color="auto" w:fill="FFFFFF"/>
          <w:lang w:val="en-US" w:eastAsia="zh-CN"/>
        </w:rPr>
        <w:t xml:space="preserve">                             </w:t>
      </w:r>
      <w:r>
        <w:rPr>
          <w:rFonts w:hint="eastAsia" w:ascii="仿宋_GB2312" w:hAnsi="仿宋_GB2312" w:eastAsia="仿宋_GB2312" w:cs="仿宋_GB2312"/>
          <w:sz w:val="32"/>
          <w:szCs w:val="32"/>
          <w:shd w:val="clear" w:color="auto" w:fill="FFFFFF"/>
          <w:lang w:eastAsia="zh-CN"/>
        </w:rPr>
        <w:t>20</w:t>
      </w:r>
      <w:r>
        <w:rPr>
          <w:rFonts w:hint="eastAsia" w:ascii="仿宋_GB2312" w:hAnsi="仿宋_GB2312" w:eastAsia="仿宋_GB2312" w:cs="仿宋_GB2312"/>
          <w:sz w:val="32"/>
          <w:szCs w:val="32"/>
          <w:shd w:val="clear" w:color="auto" w:fill="FFFFFF"/>
          <w:lang w:val="en-US" w:eastAsia="zh-CN"/>
        </w:rPr>
        <w:t>24</w:t>
      </w:r>
      <w:r>
        <w:rPr>
          <w:rFonts w:hint="eastAsia" w:ascii="仿宋_GB2312" w:hAnsi="仿宋_GB2312" w:eastAsia="仿宋_GB2312" w:cs="仿宋_GB2312"/>
          <w:sz w:val="32"/>
          <w:szCs w:val="32"/>
          <w:shd w:val="clear" w:color="auto" w:fill="FFFFFF"/>
          <w:lang w:eastAsia="zh-CN"/>
        </w:rPr>
        <w:t>年</w:t>
      </w:r>
      <w:r>
        <w:rPr>
          <w:rFonts w:hint="eastAsia" w:ascii="仿宋_GB2312" w:hAnsi="仿宋_GB2312" w:eastAsia="仿宋_GB2312" w:cs="仿宋_GB2312"/>
          <w:sz w:val="32"/>
          <w:szCs w:val="32"/>
          <w:shd w:val="clear" w:color="auto" w:fill="FFFFFF"/>
          <w:lang w:val="en-US" w:eastAsia="zh-CN"/>
        </w:rPr>
        <w:t xml:space="preserve"> </w:t>
      </w:r>
      <w:r>
        <w:rPr>
          <w:rFonts w:hint="eastAsia" w:ascii="仿宋_GB2312" w:hAnsi="仿宋_GB2312" w:eastAsia="仿宋_GB2312" w:cs="仿宋_GB2312"/>
          <w:sz w:val="32"/>
          <w:szCs w:val="32"/>
          <w:shd w:val="clear" w:color="auto" w:fill="FFFFFF"/>
          <w:lang w:eastAsia="zh-CN"/>
        </w:rPr>
        <w:t>月</w:t>
      </w:r>
      <w:r>
        <w:rPr>
          <w:rFonts w:hint="eastAsia" w:ascii="仿宋_GB2312" w:hAnsi="仿宋_GB2312" w:eastAsia="仿宋_GB2312" w:cs="仿宋_GB2312"/>
          <w:sz w:val="32"/>
          <w:szCs w:val="32"/>
          <w:shd w:val="clear" w:color="auto" w:fill="FFFFFF"/>
          <w:lang w:val="en-US" w:eastAsia="zh-CN"/>
        </w:rPr>
        <w:t xml:space="preserve"> </w:t>
      </w:r>
      <w:r>
        <w:rPr>
          <w:rFonts w:hint="eastAsia" w:ascii="仿宋_GB2312" w:hAnsi="仿宋_GB2312" w:eastAsia="仿宋_GB2312" w:cs="仿宋_GB2312"/>
          <w:sz w:val="32"/>
          <w:szCs w:val="32"/>
          <w:shd w:val="clear" w:color="auto" w:fill="FFFFFF"/>
          <w:lang w:eastAsia="zh-CN"/>
        </w:rPr>
        <w:t>日</w:t>
      </w:r>
    </w:p>
    <w:p>
      <w:pPr>
        <w:spacing w:line="560" w:lineRule="exact"/>
        <w:ind w:firstLine="640" w:firstLineChars="200"/>
        <w:rPr>
          <w:rFonts w:hint="default"/>
          <w:lang w:val="en" w:eastAsia="zh-CN"/>
        </w:rPr>
        <w:sectPr>
          <w:headerReference r:id="rId3" w:type="default"/>
          <w:footerReference r:id="rId4" w:type="default"/>
          <w:pgSz w:w="11906" w:h="16838"/>
          <w:pgMar w:top="2098" w:right="1474" w:bottom="1985" w:left="1588" w:header="851" w:footer="1588" w:gutter="0"/>
          <w:pgNumType w:fmt="numberInDash"/>
          <w:cols w:space="720" w:num="1"/>
          <w:docGrid w:type="lines" w:linePitch="579" w:charSpace="-849"/>
        </w:sectPr>
      </w:pPr>
      <w:r>
        <w:rPr>
          <w:rFonts w:hint="eastAsia" w:ascii="仿宋_GB2312" w:hAnsi="仿宋_GB2312" w:eastAsia="仿宋_GB2312" w:cs="仿宋_GB2312"/>
          <w:sz w:val="32"/>
          <w:szCs w:val="32"/>
          <w:shd w:val="clear" w:color="auto" w:fill="FFFFFF"/>
          <w:lang w:eastAsia="zh-CN"/>
        </w:rPr>
        <w:t>（此件可公开发布）</w:t>
      </w:r>
    </w:p>
    <w:p>
      <w:pPr>
        <w:pStyle w:val="3"/>
        <w:rPr>
          <w:rFonts w:hint="eastAsia"/>
          <w:lang w:val="en-US" w:eastAsia="zh-CN"/>
        </w:rPr>
      </w:pPr>
      <w:r>
        <w:rPr>
          <w:rFonts w:eastAsia="黑体"/>
          <w:b/>
          <w:sz w:val="44"/>
          <w:szCs w:val="44"/>
        </w:rPr>
        <w:drawing>
          <wp:anchor distT="0" distB="0" distL="114300" distR="114300" simplePos="0" relativeHeight="251660288" behindDoc="0" locked="0" layoutInCell="1" allowOverlap="1">
            <wp:simplePos x="0" y="0"/>
            <wp:positionH relativeFrom="column">
              <wp:posOffset>258445</wp:posOffset>
            </wp:positionH>
            <wp:positionV relativeFrom="paragraph">
              <wp:posOffset>28575</wp:posOffset>
            </wp:positionV>
            <wp:extent cx="7402830" cy="5558155"/>
            <wp:effectExtent l="0" t="0" r="7620" b="444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7402830" cy="5558155"/>
                    </a:xfrm>
                    <a:prstGeom prst="rect">
                      <a:avLst/>
                    </a:prstGeom>
                    <a:noFill/>
                    <a:ln>
                      <a:noFill/>
                    </a:ln>
                  </pic:spPr>
                </pic:pic>
              </a:graphicData>
            </a:graphic>
          </wp:anchor>
        </w:drawing>
      </w:r>
      <w:r>
        <w:rPr>
          <w:rFonts w:hint="default"/>
          <w:lang w:val="en" w:eastAsia="zh-CN"/>
        </w:rPr>
        <w:t>4</w:t>
      </w:r>
    </w:p>
    <w:sectPr>
      <w:headerReference r:id="rId5" w:type="default"/>
      <w:footerReference r:id="rId6" w:type="default"/>
      <w:pgSz w:w="16838" w:h="11906" w:orient="landscape"/>
      <w:pgMar w:top="1587" w:right="1984" w:bottom="1474" w:left="198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B8"/>
    <w:family w:val="auto"/>
    <w:pitch w:val="default"/>
    <w:sig w:usb0="00000000" w:usb1="00000000"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黑体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JDkjEckBAACZAwAADgAAAAAA&#10;AAABACAAAAA0AQAAZHJzL2Uyb0RvYy54bWxQSwUGAAAAAAYABgBZAQAAbwU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BG+QoMkBAACZAwAADgAAAAAA&#10;AAABACAAAAA0AQAAZHJzL2Uyb0RvYy54bWxQSwUGAAAAAAYABgBZAQAAbwU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lMTZmZjRmMDc3NTYwZjlhYjBhYTEyYzBhMWYyYmYifQ=="/>
    <w:docVar w:name="KSO_WPS_MARK_KEY" w:val="f8bae816-46c2-4c81-b848-b05d661ef2a7"/>
  </w:docVars>
  <w:rsids>
    <w:rsidRoot w:val="210E0179"/>
    <w:rsid w:val="01203143"/>
    <w:rsid w:val="022E76CE"/>
    <w:rsid w:val="039F0703"/>
    <w:rsid w:val="03E2226C"/>
    <w:rsid w:val="04A46E78"/>
    <w:rsid w:val="051F632A"/>
    <w:rsid w:val="06AB5E72"/>
    <w:rsid w:val="06DC2B9F"/>
    <w:rsid w:val="08C01BD2"/>
    <w:rsid w:val="0A8E4561"/>
    <w:rsid w:val="0C91524E"/>
    <w:rsid w:val="0D046532"/>
    <w:rsid w:val="0D8A1F3D"/>
    <w:rsid w:val="0E603C3C"/>
    <w:rsid w:val="0F017011"/>
    <w:rsid w:val="0FD078A6"/>
    <w:rsid w:val="15DB629E"/>
    <w:rsid w:val="16862088"/>
    <w:rsid w:val="1BF90C61"/>
    <w:rsid w:val="1E682698"/>
    <w:rsid w:val="1EE00481"/>
    <w:rsid w:val="1EE402F0"/>
    <w:rsid w:val="1F0C1276"/>
    <w:rsid w:val="210E0179"/>
    <w:rsid w:val="21A4301C"/>
    <w:rsid w:val="23517B9F"/>
    <w:rsid w:val="25B16899"/>
    <w:rsid w:val="26AE17E0"/>
    <w:rsid w:val="26DE5B7A"/>
    <w:rsid w:val="2974108A"/>
    <w:rsid w:val="2A5341FD"/>
    <w:rsid w:val="2CFE6A62"/>
    <w:rsid w:val="2D451A7A"/>
    <w:rsid w:val="2EDE2C2F"/>
    <w:rsid w:val="2F87455E"/>
    <w:rsid w:val="302142DC"/>
    <w:rsid w:val="31EA3699"/>
    <w:rsid w:val="32156C84"/>
    <w:rsid w:val="34321327"/>
    <w:rsid w:val="3AA73640"/>
    <w:rsid w:val="3B5D3CD3"/>
    <w:rsid w:val="3CB3374C"/>
    <w:rsid w:val="3CF5723C"/>
    <w:rsid w:val="3FDF7B59"/>
    <w:rsid w:val="3FFFD2CD"/>
    <w:rsid w:val="44024872"/>
    <w:rsid w:val="45D25197"/>
    <w:rsid w:val="469F284C"/>
    <w:rsid w:val="48163855"/>
    <w:rsid w:val="4C296DF1"/>
    <w:rsid w:val="4C614A72"/>
    <w:rsid w:val="4C9743B6"/>
    <w:rsid w:val="4DDFA497"/>
    <w:rsid w:val="4F6C2F77"/>
    <w:rsid w:val="511703CE"/>
    <w:rsid w:val="55197C6D"/>
    <w:rsid w:val="5684794A"/>
    <w:rsid w:val="58A957AC"/>
    <w:rsid w:val="5A426853"/>
    <w:rsid w:val="5B013B54"/>
    <w:rsid w:val="5BBC75A4"/>
    <w:rsid w:val="5BDB5C7C"/>
    <w:rsid w:val="5E3C6FA9"/>
    <w:rsid w:val="623A1223"/>
    <w:rsid w:val="6381535B"/>
    <w:rsid w:val="65651565"/>
    <w:rsid w:val="65FA13F5"/>
    <w:rsid w:val="662A5142"/>
    <w:rsid w:val="66BF3414"/>
    <w:rsid w:val="66BFA42E"/>
    <w:rsid w:val="67A145DC"/>
    <w:rsid w:val="6BF1B668"/>
    <w:rsid w:val="6FDF6EC1"/>
    <w:rsid w:val="6FEB75F7"/>
    <w:rsid w:val="71025602"/>
    <w:rsid w:val="72AB5F51"/>
    <w:rsid w:val="756F4E30"/>
    <w:rsid w:val="780A2D7B"/>
    <w:rsid w:val="7AD44840"/>
    <w:rsid w:val="7D9A7DA7"/>
    <w:rsid w:val="7DFFCFB7"/>
    <w:rsid w:val="7EAAA2F3"/>
    <w:rsid w:val="B54F74E5"/>
    <w:rsid w:val="D4FE7B1C"/>
    <w:rsid w:val="DB9932F6"/>
    <w:rsid w:val="DEFD15CC"/>
    <w:rsid w:val="E77FF3EB"/>
    <w:rsid w:val="EDBDA908"/>
    <w:rsid w:val="EDE78026"/>
    <w:rsid w:val="EEF9551B"/>
    <w:rsid w:val="F7FE101E"/>
    <w:rsid w:val="FACB8925"/>
    <w:rsid w:val="FBF1F9C5"/>
    <w:rsid w:val="FFFF0FC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50" w:beforeLines="50" w:after="50" w:afterLines="50"/>
      <w:jc w:val="center"/>
      <w:outlineLvl w:val="0"/>
    </w:pPr>
    <w:rPr>
      <w:rFonts w:eastAsia="黑体"/>
      <w:b/>
      <w:bCs/>
      <w:kern w:val="44"/>
      <w:sz w:val="36"/>
      <w:szCs w:val="44"/>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0"/>
    <w:pPr>
      <w:widowControl w:val="0"/>
      <w:ind w:firstLine="200" w:firstLineChars="200"/>
      <w:jc w:val="both"/>
    </w:pPr>
    <w:rPr>
      <w:rFonts w:ascii="Times New Roman" w:hAnsi="Times New Roman" w:eastAsia="宋体" w:cs="Times New Roman"/>
      <w:kern w:val="2"/>
      <w:sz w:val="21"/>
      <w:szCs w:val="22"/>
      <w:lang w:val="en-US" w:eastAsia="zh-CN" w:bidi="ar-SA"/>
    </w:r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851</Words>
  <Characters>877</Characters>
  <Lines>0</Lines>
  <Paragraphs>0</Paragraphs>
  <TotalTime>5</TotalTime>
  <ScaleCrop>false</ScaleCrop>
  <LinksUpToDate>false</LinksUpToDate>
  <CharactersWithSpaces>937</CharactersWithSpaces>
  <Application>WPS Office_11.8.2.12185_F1E327BC-269C-435d-A152-05C5408002CA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2024-05-20T18:22:00Z</dcterms:created>
  <dc:creator>Sean周</dc:creator>
  <cp:lastModifiedBy>user</cp:lastModifiedBy>
  <cp:lastPrinted>2024-08-20T08:28:00Z</cp:lastPrinted>
  <dcterms:modified xsi:type="dcterms:W3CDTF">2024-11-11T10:08:51Z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2052-11.8.2.12185</vt:lpwstr>
  </property>
  <property fmtid="{D5CDD505-2E9C-101B-9397-08002B2CF9AE}" pid="3" name="ICV">
    <vt:lpwstr>145A4E61FAEC47B9870617751C94BED8_13</vt:lpwstr>
  </property>
</Properties>
</file>