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6DDBB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8"/>
          <w:szCs w:val="48"/>
        </w:rPr>
      </w:pPr>
    </w:p>
    <w:p w14:paraId="5FE9F17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8"/>
          <w:szCs w:val="48"/>
        </w:rPr>
      </w:pPr>
      <w:r>
        <w:rPr>
          <w:rFonts w:hint="eastAsia" w:ascii="方正小标宋简体" w:hAnsi="方正小标宋简体" w:eastAsia="方正小标宋简体" w:cs="方正小标宋简体"/>
          <w:color w:val="auto"/>
          <w:sz w:val="48"/>
          <w:szCs w:val="48"/>
        </w:rPr>
        <w:t>上</w:t>
      </w:r>
    </w:p>
    <w:p w14:paraId="3185F93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8"/>
          <w:szCs w:val="48"/>
        </w:rPr>
      </w:pPr>
      <w:r>
        <w:rPr>
          <w:rFonts w:hint="eastAsia" w:ascii="方正小标宋简体" w:hAnsi="方正小标宋简体" w:eastAsia="方正小标宋简体" w:cs="方正小标宋简体"/>
          <w:color w:val="auto"/>
          <w:sz w:val="48"/>
          <w:szCs w:val="48"/>
        </w:rPr>
        <w:t>虞</w:t>
      </w:r>
    </w:p>
    <w:p w14:paraId="1065CDA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8"/>
          <w:szCs w:val="48"/>
        </w:rPr>
      </w:pPr>
      <w:r>
        <w:rPr>
          <w:rFonts w:hint="eastAsia" w:ascii="方正小标宋简体" w:hAnsi="方正小标宋简体" w:eastAsia="方正小标宋简体" w:cs="方正小标宋简体"/>
          <w:color w:val="auto"/>
          <w:sz w:val="48"/>
          <w:szCs w:val="48"/>
        </w:rPr>
        <w:t>区</w:t>
      </w:r>
    </w:p>
    <w:p w14:paraId="1B8F755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8"/>
          <w:szCs w:val="48"/>
          <w:lang w:val="en-US" w:eastAsia="zh-CN"/>
        </w:rPr>
      </w:pPr>
      <w:r>
        <w:rPr>
          <w:rFonts w:hint="eastAsia" w:ascii="方正小标宋简体" w:hAnsi="方正小标宋简体" w:eastAsia="方正小标宋简体" w:cs="方正小标宋简体"/>
          <w:color w:val="auto"/>
          <w:sz w:val="48"/>
          <w:szCs w:val="48"/>
          <w:lang w:val="en-US" w:eastAsia="zh-CN"/>
        </w:rPr>
        <w:t>绿</w:t>
      </w:r>
    </w:p>
    <w:p w14:paraId="692E646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8"/>
          <w:szCs w:val="48"/>
          <w:lang w:val="en-US" w:eastAsia="zh-CN"/>
        </w:rPr>
      </w:pPr>
      <w:r>
        <w:rPr>
          <w:rFonts w:hint="eastAsia" w:ascii="方正小标宋简体" w:hAnsi="方正小标宋简体" w:eastAsia="方正小标宋简体" w:cs="方正小标宋简体"/>
          <w:color w:val="auto"/>
          <w:sz w:val="48"/>
          <w:szCs w:val="48"/>
          <w:lang w:val="en-US" w:eastAsia="zh-CN"/>
        </w:rPr>
        <w:t>色</w:t>
      </w:r>
    </w:p>
    <w:p w14:paraId="5DFEDB4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8"/>
          <w:szCs w:val="48"/>
        </w:rPr>
      </w:pPr>
      <w:r>
        <w:rPr>
          <w:rFonts w:hint="eastAsia" w:ascii="方正小标宋简体" w:hAnsi="方正小标宋简体" w:eastAsia="方正小标宋简体" w:cs="方正小标宋简体"/>
          <w:color w:val="auto"/>
          <w:sz w:val="48"/>
          <w:szCs w:val="48"/>
        </w:rPr>
        <w:t>化</w:t>
      </w:r>
    </w:p>
    <w:p w14:paraId="743A59C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8"/>
          <w:szCs w:val="48"/>
        </w:rPr>
      </w:pPr>
      <w:r>
        <w:rPr>
          <w:rFonts w:hint="eastAsia" w:ascii="方正小标宋简体" w:hAnsi="方正小标宋简体" w:eastAsia="方正小标宋简体" w:cs="方正小标宋简体"/>
          <w:color w:val="auto"/>
          <w:sz w:val="48"/>
          <w:szCs w:val="48"/>
        </w:rPr>
        <w:t>工</w:t>
      </w:r>
    </w:p>
    <w:p w14:paraId="15D17CF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8"/>
          <w:szCs w:val="48"/>
        </w:rPr>
      </w:pPr>
      <w:r>
        <w:rPr>
          <w:rFonts w:hint="eastAsia" w:ascii="方正小标宋简体" w:hAnsi="方正小标宋简体" w:eastAsia="方正小标宋简体" w:cs="方正小标宋简体"/>
          <w:color w:val="auto"/>
          <w:sz w:val="48"/>
          <w:szCs w:val="48"/>
        </w:rPr>
        <w:t>产</w:t>
      </w:r>
    </w:p>
    <w:p w14:paraId="485612B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8"/>
          <w:szCs w:val="48"/>
        </w:rPr>
      </w:pPr>
      <w:r>
        <w:rPr>
          <w:rFonts w:hint="eastAsia" w:ascii="方正小标宋简体" w:hAnsi="方正小标宋简体" w:eastAsia="方正小标宋简体" w:cs="方正小标宋简体"/>
          <w:color w:val="auto"/>
          <w:sz w:val="48"/>
          <w:szCs w:val="48"/>
        </w:rPr>
        <w:t>业</w:t>
      </w:r>
    </w:p>
    <w:p w14:paraId="3ECE35A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8"/>
          <w:szCs w:val="48"/>
          <w:lang w:val="en-US" w:eastAsia="zh-CN"/>
        </w:rPr>
      </w:pPr>
      <w:r>
        <w:rPr>
          <w:rFonts w:hint="eastAsia" w:ascii="方正小标宋简体" w:hAnsi="方正小标宋简体" w:eastAsia="方正小标宋简体" w:cs="方正小标宋简体"/>
          <w:color w:val="auto"/>
          <w:sz w:val="48"/>
          <w:szCs w:val="48"/>
          <w:lang w:val="en-US" w:eastAsia="zh-CN"/>
        </w:rPr>
        <w:t>高</w:t>
      </w:r>
    </w:p>
    <w:p w14:paraId="2E9E713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8"/>
          <w:szCs w:val="48"/>
          <w:lang w:val="en-US" w:eastAsia="zh-CN"/>
        </w:rPr>
      </w:pPr>
      <w:r>
        <w:rPr>
          <w:rFonts w:hint="eastAsia" w:ascii="方正小标宋简体" w:hAnsi="方正小标宋简体" w:eastAsia="方正小标宋简体" w:cs="方正小标宋简体"/>
          <w:color w:val="auto"/>
          <w:sz w:val="48"/>
          <w:szCs w:val="48"/>
          <w:lang w:val="en-US" w:eastAsia="zh-CN"/>
        </w:rPr>
        <w:t>质</w:t>
      </w:r>
    </w:p>
    <w:p w14:paraId="3AA55AF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8"/>
          <w:szCs w:val="48"/>
          <w:lang w:val="en-US" w:eastAsia="zh-CN"/>
        </w:rPr>
      </w:pPr>
      <w:r>
        <w:rPr>
          <w:rFonts w:hint="eastAsia" w:ascii="方正小标宋简体" w:hAnsi="方正小标宋简体" w:eastAsia="方正小标宋简体" w:cs="方正小标宋简体"/>
          <w:color w:val="auto"/>
          <w:sz w:val="48"/>
          <w:szCs w:val="48"/>
          <w:lang w:val="en-US" w:eastAsia="zh-CN"/>
        </w:rPr>
        <w:t>量</w:t>
      </w:r>
    </w:p>
    <w:p w14:paraId="7CB8948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8"/>
          <w:szCs w:val="48"/>
          <w:lang w:val="en-US" w:eastAsia="zh-CN"/>
        </w:rPr>
      </w:pPr>
      <w:r>
        <w:rPr>
          <w:rFonts w:hint="eastAsia" w:ascii="方正小标宋简体" w:hAnsi="方正小标宋简体" w:eastAsia="方正小标宋简体" w:cs="方正小标宋简体"/>
          <w:color w:val="auto"/>
          <w:sz w:val="48"/>
          <w:szCs w:val="48"/>
          <w:lang w:val="en-US" w:eastAsia="zh-CN"/>
        </w:rPr>
        <w:t>发</w:t>
      </w:r>
    </w:p>
    <w:p w14:paraId="1EDB336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8"/>
          <w:szCs w:val="48"/>
          <w:lang w:val="en-US" w:eastAsia="zh-CN"/>
        </w:rPr>
      </w:pPr>
      <w:r>
        <w:rPr>
          <w:rFonts w:hint="eastAsia" w:ascii="方正小标宋简体" w:hAnsi="方正小标宋简体" w:eastAsia="方正小标宋简体" w:cs="方正小标宋简体"/>
          <w:color w:val="auto"/>
          <w:sz w:val="48"/>
          <w:szCs w:val="48"/>
          <w:lang w:val="en-US" w:eastAsia="zh-CN"/>
        </w:rPr>
        <w:t>展</w:t>
      </w:r>
    </w:p>
    <w:p w14:paraId="71FB574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8"/>
          <w:szCs w:val="48"/>
          <w:lang w:val="en-US" w:eastAsia="zh-CN"/>
        </w:rPr>
      </w:pPr>
      <w:r>
        <w:rPr>
          <w:rFonts w:hint="eastAsia" w:ascii="方正小标宋简体" w:hAnsi="方正小标宋简体" w:eastAsia="方正小标宋简体" w:cs="方正小标宋简体"/>
          <w:color w:val="auto"/>
          <w:sz w:val="48"/>
          <w:szCs w:val="48"/>
          <w:lang w:val="en-US" w:eastAsia="zh-CN"/>
        </w:rPr>
        <w:t>规</w:t>
      </w:r>
    </w:p>
    <w:p w14:paraId="1DEF8ED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8"/>
          <w:szCs w:val="48"/>
          <w:lang w:val="en-US" w:eastAsia="zh-CN"/>
        </w:rPr>
      </w:pPr>
      <w:r>
        <w:rPr>
          <w:rFonts w:hint="eastAsia" w:ascii="方正小标宋简体" w:hAnsi="方正小标宋简体" w:eastAsia="方正小标宋简体" w:cs="方正小标宋简体"/>
          <w:color w:val="auto"/>
          <w:sz w:val="48"/>
          <w:szCs w:val="48"/>
          <w:lang w:val="en-US" w:eastAsia="zh-CN"/>
        </w:rPr>
        <w:t>范</w:t>
      </w:r>
    </w:p>
    <w:p w14:paraId="42F8DEA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48"/>
          <w:szCs w:val="48"/>
          <w:lang w:val="en-US" w:eastAsia="zh-CN"/>
        </w:rPr>
        <w:t>2025</w:t>
      </w:r>
    </w:p>
    <w:p w14:paraId="15495C6E">
      <w:pPr>
        <w:bidi w:val="0"/>
        <w:jc w:val="center"/>
        <w:rPr>
          <w:rFonts w:hint="eastAsia" w:ascii="方正小标宋简体" w:hAnsi="方正小标宋简体" w:eastAsia="方正小标宋简体" w:cs="方正小标宋简体"/>
          <w:color w:val="auto"/>
          <w:sz w:val="36"/>
          <w:szCs w:val="36"/>
        </w:rPr>
      </w:pPr>
    </w:p>
    <w:p w14:paraId="2E42412E">
      <w:pPr>
        <w:bidi w:val="0"/>
        <w:jc w:val="center"/>
        <w:rPr>
          <w:rFonts w:hint="eastAsia" w:ascii="方正小标宋简体" w:hAnsi="方正小标宋简体" w:eastAsia="方正小标宋简体" w:cs="方正小标宋简体"/>
          <w:color w:val="auto"/>
          <w:sz w:val="36"/>
          <w:szCs w:val="36"/>
        </w:rPr>
      </w:pPr>
    </w:p>
    <w:p w14:paraId="5CDB1A10">
      <w:pPr>
        <w:bidi w:val="0"/>
        <w:jc w:val="center"/>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绍兴市上虞区经济和信息化局</w:t>
      </w:r>
    </w:p>
    <w:p w14:paraId="01D45287">
      <w:pPr>
        <w:bidi w:val="0"/>
        <w:jc w:val="center"/>
      </w:pPr>
      <w:r>
        <w:rPr>
          <w:rFonts w:hint="eastAsia" w:ascii="仿宋" w:hAnsi="仿宋" w:eastAsia="仿宋" w:cs="仿宋"/>
          <w:color w:val="auto"/>
          <w:sz w:val="30"/>
          <w:szCs w:val="30"/>
          <w:lang w:val="en-US" w:eastAsia="zh-CN"/>
        </w:rPr>
        <w:t>二</w:t>
      </w:r>
      <w:r>
        <w:rPr>
          <w:rFonts w:hint="eastAsia" w:ascii="仿宋" w:hAnsi="仿宋" w:eastAsia="仿宋" w:cs="仿宋"/>
          <w:color w:val="000000"/>
          <w:sz w:val="30"/>
          <w:szCs w:val="30"/>
        </w:rPr>
        <w:t>〇</w:t>
      </w:r>
      <w:r>
        <w:rPr>
          <w:rFonts w:hint="eastAsia" w:ascii="仿宋" w:hAnsi="仿宋" w:eastAsia="仿宋" w:cs="仿宋"/>
          <w:color w:val="auto"/>
          <w:sz w:val="30"/>
          <w:szCs w:val="30"/>
          <w:lang w:val="en-US" w:eastAsia="zh-CN"/>
        </w:rPr>
        <w:t>二五年四月</w:t>
      </w:r>
      <w:r>
        <w:rPr>
          <w:rFonts w:hint="eastAsia" w:ascii="方正小标宋简体" w:hAnsi="方正小标宋简体" w:eastAsia="方正小标宋简体" w:cs="方正小标宋简体"/>
          <w:color w:val="auto"/>
          <w:sz w:val="36"/>
          <w:szCs w:val="36"/>
        </w:rPr>
        <w:br w:type="page"/>
      </w:r>
    </w:p>
    <w:sdt>
      <w:sdtPr>
        <w:rPr>
          <w:rFonts w:hint="eastAsia" w:ascii="黑体" w:hAnsi="黑体" w:eastAsia="黑体" w:cs="黑体"/>
          <w:color w:val="auto"/>
          <w:kern w:val="2"/>
          <w:sz w:val="36"/>
          <w:szCs w:val="36"/>
          <w:lang w:val="en-US" w:eastAsia="zh-CN" w:bidi="ar-SA"/>
        </w:rPr>
        <w:id w:val="147464954"/>
        <w15:color w:val="DBDBDB"/>
        <w:docPartObj>
          <w:docPartGallery w:val="Table of Contents"/>
          <w:docPartUnique/>
        </w:docPartObj>
      </w:sdtPr>
      <w:sdtEndPr>
        <w:rPr>
          <w:rFonts w:hint="eastAsia" w:ascii="黑体" w:hAnsi="黑体" w:eastAsia="黑体" w:cs="黑体"/>
          <w:color w:val="auto"/>
          <w:kern w:val="2"/>
          <w:sz w:val="36"/>
          <w:szCs w:val="36"/>
          <w:lang w:val="en-US" w:eastAsia="zh-CN" w:bidi="ar-SA"/>
        </w:rPr>
      </w:sdtEndPr>
      <w:sdtContent>
        <w:p w14:paraId="0F7B5F71">
          <w:pPr>
            <w:spacing w:before="0" w:beforeLines="0" w:after="0" w:afterLines="0" w:line="240" w:lineRule="auto"/>
            <w:ind w:left="0" w:leftChars="0" w:right="0" w:rightChars="0" w:firstLine="0" w:firstLineChars="0"/>
            <w:jc w:val="center"/>
            <w:rPr>
              <w:rFonts w:hint="eastAsia" w:ascii="黑体" w:hAnsi="黑体" w:eastAsia="黑体" w:cs="黑体"/>
              <w:color w:val="auto"/>
              <w:sz w:val="36"/>
              <w:szCs w:val="36"/>
            </w:rPr>
          </w:pPr>
          <w:r>
            <w:rPr>
              <w:rFonts w:hint="eastAsia" w:ascii="黑体" w:hAnsi="黑体" w:eastAsia="黑体" w:cs="黑体"/>
              <w:color w:val="auto"/>
              <w:sz w:val="36"/>
              <w:szCs w:val="36"/>
            </w:rPr>
            <w:t>目录</w:t>
          </w:r>
        </w:p>
        <w:p w14:paraId="4895A594">
          <w:pPr>
            <w:pStyle w:val="5"/>
            <w:tabs>
              <w:tab w:val="right" w:leader="dot" w:pos="8845"/>
            </w:tabs>
          </w:pPr>
          <w:r>
            <w:rPr>
              <w:color w:val="auto"/>
              <w:sz w:val="24"/>
              <w:szCs w:val="24"/>
            </w:rPr>
            <w:fldChar w:fldCharType="begin"/>
          </w:r>
          <w:r>
            <w:rPr>
              <w:color w:val="auto"/>
              <w:sz w:val="24"/>
              <w:szCs w:val="24"/>
            </w:rPr>
            <w:instrText xml:space="preserve">TOC \o "1-3" \h \u </w:instrText>
          </w:r>
          <w:r>
            <w:rPr>
              <w:color w:val="auto"/>
              <w:sz w:val="24"/>
              <w:szCs w:val="24"/>
            </w:rPr>
            <w:fldChar w:fldCharType="separate"/>
          </w:r>
          <w:r>
            <w:rPr>
              <w:color w:val="auto"/>
              <w:szCs w:val="24"/>
            </w:rPr>
            <w:fldChar w:fldCharType="begin"/>
          </w:r>
          <w:r>
            <w:rPr>
              <w:szCs w:val="24"/>
            </w:rPr>
            <w:instrText xml:space="preserve"> HYPERLINK \l _Toc22683 </w:instrText>
          </w:r>
          <w:r>
            <w:rPr>
              <w:szCs w:val="24"/>
            </w:rPr>
            <w:fldChar w:fldCharType="separate"/>
          </w:r>
          <w:r>
            <w:rPr>
              <w:rFonts w:hint="eastAsia" w:ascii="黑体" w:hAnsi="黑体" w:eastAsia="黑体" w:cs="Times New Roman"/>
              <w:kern w:val="2"/>
              <w:szCs w:val="32"/>
              <w:lang w:val="en-US" w:eastAsia="zh-CN" w:bidi="ar-SA"/>
            </w:rPr>
            <w:t>一、项目准入与建设</w:t>
          </w:r>
          <w:r>
            <w:tab/>
          </w:r>
          <w:r>
            <w:fldChar w:fldCharType="begin"/>
          </w:r>
          <w:r>
            <w:instrText xml:space="preserve"> PAGEREF _Toc22683 \h </w:instrText>
          </w:r>
          <w:r>
            <w:fldChar w:fldCharType="separate"/>
          </w:r>
          <w:r>
            <w:t>1</w:t>
          </w:r>
          <w:r>
            <w:fldChar w:fldCharType="end"/>
          </w:r>
          <w:r>
            <w:rPr>
              <w:color w:val="auto"/>
              <w:szCs w:val="24"/>
            </w:rPr>
            <w:fldChar w:fldCharType="end"/>
          </w:r>
        </w:p>
        <w:p w14:paraId="5C45061B">
          <w:pPr>
            <w:pStyle w:val="6"/>
            <w:tabs>
              <w:tab w:val="right" w:leader="dot" w:pos="8845"/>
            </w:tabs>
          </w:pPr>
          <w:r>
            <w:rPr>
              <w:color w:val="auto"/>
              <w:szCs w:val="22"/>
            </w:rPr>
            <w:fldChar w:fldCharType="begin"/>
          </w:r>
          <w:r>
            <w:rPr>
              <w:szCs w:val="22"/>
            </w:rPr>
            <w:instrText xml:space="preserve"> HYPERLINK \l _Toc19914 </w:instrText>
          </w:r>
          <w:r>
            <w:rPr>
              <w:szCs w:val="22"/>
            </w:rPr>
            <w:fldChar w:fldCharType="separate"/>
          </w:r>
          <w:r>
            <w:rPr>
              <w:rFonts w:hint="eastAsia" w:ascii="楷体_GB2312" w:hAnsi="楷体_GB2312" w:eastAsia="楷体_GB2312" w:cs="楷体_GB2312"/>
              <w:bCs/>
              <w:szCs w:val="32"/>
              <w:lang w:val="en-US" w:eastAsia="zh-CN"/>
            </w:rPr>
            <w:t>（一）入园标准</w:t>
          </w:r>
          <w:r>
            <w:tab/>
          </w:r>
          <w:r>
            <w:fldChar w:fldCharType="begin"/>
          </w:r>
          <w:r>
            <w:instrText xml:space="preserve"> PAGEREF _Toc19914 \h </w:instrText>
          </w:r>
          <w:r>
            <w:fldChar w:fldCharType="separate"/>
          </w:r>
          <w:r>
            <w:t>1</w:t>
          </w:r>
          <w:r>
            <w:fldChar w:fldCharType="end"/>
          </w:r>
          <w:r>
            <w:rPr>
              <w:color w:val="auto"/>
              <w:szCs w:val="22"/>
            </w:rPr>
            <w:fldChar w:fldCharType="end"/>
          </w:r>
        </w:p>
        <w:p w14:paraId="25E3FAC7">
          <w:pPr>
            <w:pStyle w:val="6"/>
            <w:tabs>
              <w:tab w:val="right" w:leader="dot" w:pos="8845"/>
            </w:tabs>
          </w:pPr>
          <w:r>
            <w:rPr>
              <w:color w:val="auto"/>
              <w:szCs w:val="22"/>
            </w:rPr>
            <w:fldChar w:fldCharType="begin"/>
          </w:r>
          <w:r>
            <w:rPr>
              <w:szCs w:val="22"/>
            </w:rPr>
            <w:instrText xml:space="preserve"> HYPERLINK \l _Toc14498 </w:instrText>
          </w:r>
          <w:r>
            <w:rPr>
              <w:szCs w:val="22"/>
            </w:rPr>
            <w:fldChar w:fldCharType="separate"/>
          </w:r>
          <w:r>
            <w:rPr>
              <w:rFonts w:hint="eastAsia" w:ascii="楷体_GB2312" w:hAnsi="楷体_GB2312" w:eastAsia="楷体_GB2312" w:cs="楷体_GB2312"/>
              <w:bCs/>
              <w:szCs w:val="32"/>
              <w:lang w:val="en-US" w:eastAsia="zh-CN"/>
            </w:rPr>
            <w:t>（二）厂房设计和布局</w:t>
          </w:r>
          <w:r>
            <w:tab/>
          </w:r>
          <w:r>
            <w:fldChar w:fldCharType="begin"/>
          </w:r>
          <w:r>
            <w:instrText xml:space="preserve"> PAGEREF _Toc14498 \h </w:instrText>
          </w:r>
          <w:r>
            <w:fldChar w:fldCharType="separate"/>
          </w:r>
          <w:r>
            <w:t>1</w:t>
          </w:r>
          <w:r>
            <w:fldChar w:fldCharType="end"/>
          </w:r>
          <w:r>
            <w:rPr>
              <w:color w:val="auto"/>
              <w:szCs w:val="22"/>
            </w:rPr>
            <w:fldChar w:fldCharType="end"/>
          </w:r>
        </w:p>
        <w:p w14:paraId="7B5306A3">
          <w:pPr>
            <w:pStyle w:val="5"/>
            <w:tabs>
              <w:tab w:val="right" w:leader="dot" w:pos="8845"/>
            </w:tabs>
          </w:pPr>
          <w:r>
            <w:rPr>
              <w:color w:val="auto"/>
              <w:szCs w:val="22"/>
            </w:rPr>
            <w:fldChar w:fldCharType="begin"/>
          </w:r>
          <w:r>
            <w:rPr>
              <w:szCs w:val="22"/>
            </w:rPr>
            <w:instrText xml:space="preserve"> HYPERLINK \l _Toc7136 </w:instrText>
          </w:r>
          <w:r>
            <w:rPr>
              <w:szCs w:val="22"/>
            </w:rPr>
            <w:fldChar w:fldCharType="separate"/>
          </w:r>
          <w:r>
            <w:rPr>
              <w:rFonts w:hint="eastAsia" w:ascii="黑体" w:hAnsi="黑体" w:eastAsia="黑体" w:cs="黑体"/>
              <w:szCs w:val="32"/>
              <w:lang w:val="en-US" w:eastAsia="zh-CN"/>
            </w:rPr>
            <w:t>二、生产经营与管理</w:t>
          </w:r>
          <w:r>
            <w:tab/>
          </w:r>
          <w:r>
            <w:fldChar w:fldCharType="begin"/>
          </w:r>
          <w:r>
            <w:instrText xml:space="preserve"> PAGEREF _Toc7136 \h </w:instrText>
          </w:r>
          <w:r>
            <w:fldChar w:fldCharType="separate"/>
          </w:r>
          <w:r>
            <w:t>2</w:t>
          </w:r>
          <w:r>
            <w:fldChar w:fldCharType="end"/>
          </w:r>
          <w:r>
            <w:rPr>
              <w:color w:val="auto"/>
              <w:szCs w:val="22"/>
            </w:rPr>
            <w:fldChar w:fldCharType="end"/>
          </w:r>
        </w:p>
        <w:p w14:paraId="5F549902">
          <w:pPr>
            <w:pStyle w:val="6"/>
            <w:tabs>
              <w:tab w:val="right" w:leader="dot" w:pos="8845"/>
            </w:tabs>
          </w:pPr>
          <w:r>
            <w:rPr>
              <w:color w:val="auto"/>
              <w:szCs w:val="22"/>
            </w:rPr>
            <w:fldChar w:fldCharType="begin"/>
          </w:r>
          <w:r>
            <w:rPr>
              <w:szCs w:val="22"/>
            </w:rPr>
            <w:instrText xml:space="preserve"> HYPERLINK \l _Toc15880 </w:instrText>
          </w:r>
          <w:r>
            <w:rPr>
              <w:szCs w:val="22"/>
            </w:rPr>
            <w:fldChar w:fldCharType="separate"/>
          </w:r>
          <w:r>
            <w:rPr>
              <w:rFonts w:hint="eastAsia" w:ascii="楷体_GB2312" w:hAnsi="楷体_GB2312" w:eastAsia="楷体_GB2312" w:cs="楷体_GB2312"/>
              <w:bCs/>
              <w:szCs w:val="32"/>
              <w:lang w:val="en-US" w:eastAsia="zh-CN"/>
            </w:rPr>
            <w:t>（一）夯实安全生产根基</w:t>
          </w:r>
          <w:r>
            <w:tab/>
          </w:r>
          <w:r>
            <w:fldChar w:fldCharType="begin"/>
          </w:r>
          <w:r>
            <w:instrText xml:space="preserve"> PAGEREF _Toc15880 \h </w:instrText>
          </w:r>
          <w:r>
            <w:fldChar w:fldCharType="separate"/>
          </w:r>
          <w:r>
            <w:t>2</w:t>
          </w:r>
          <w:r>
            <w:fldChar w:fldCharType="end"/>
          </w:r>
          <w:r>
            <w:rPr>
              <w:color w:val="auto"/>
              <w:szCs w:val="22"/>
            </w:rPr>
            <w:fldChar w:fldCharType="end"/>
          </w:r>
        </w:p>
        <w:p w14:paraId="756ADA2A">
          <w:pPr>
            <w:pStyle w:val="2"/>
            <w:tabs>
              <w:tab w:val="right" w:leader="dot" w:pos="8845"/>
            </w:tabs>
          </w:pPr>
          <w:r>
            <w:rPr>
              <w:color w:val="auto"/>
              <w:szCs w:val="22"/>
            </w:rPr>
            <w:fldChar w:fldCharType="begin"/>
          </w:r>
          <w:r>
            <w:rPr>
              <w:szCs w:val="22"/>
            </w:rPr>
            <w:instrText xml:space="preserve"> HYPERLINK \l _Toc3668 </w:instrText>
          </w:r>
          <w:r>
            <w:rPr>
              <w:szCs w:val="22"/>
            </w:rPr>
            <w:fldChar w:fldCharType="separate"/>
          </w:r>
          <w:r>
            <w:rPr>
              <w:rFonts w:hint="eastAsia" w:ascii="仿宋_GB2312" w:hAnsi="仿宋_GB2312" w:eastAsia="仿宋_GB2312" w:cs="仿宋_GB2312"/>
              <w:bCs/>
              <w:szCs w:val="32"/>
              <w:lang w:val="en-US" w:eastAsia="zh-CN"/>
            </w:rPr>
            <w:t>1、本质安全水平</w:t>
          </w:r>
          <w:r>
            <w:tab/>
          </w:r>
          <w:r>
            <w:fldChar w:fldCharType="begin"/>
          </w:r>
          <w:r>
            <w:instrText xml:space="preserve"> PAGEREF _Toc3668 \h </w:instrText>
          </w:r>
          <w:r>
            <w:fldChar w:fldCharType="separate"/>
          </w:r>
          <w:r>
            <w:t>2</w:t>
          </w:r>
          <w:r>
            <w:fldChar w:fldCharType="end"/>
          </w:r>
          <w:r>
            <w:rPr>
              <w:color w:val="auto"/>
              <w:szCs w:val="22"/>
            </w:rPr>
            <w:fldChar w:fldCharType="end"/>
          </w:r>
        </w:p>
        <w:p w14:paraId="7F95B761">
          <w:pPr>
            <w:pStyle w:val="2"/>
            <w:tabs>
              <w:tab w:val="right" w:leader="dot" w:pos="8845"/>
            </w:tabs>
          </w:pPr>
          <w:r>
            <w:rPr>
              <w:color w:val="auto"/>
              <w:szCs w:val="22"/>
            </w:rPr>
            <w:fldChar w:fldCharType="begin"/>
          </w:r>
          <w:r>
            <w:rPr>
              <w:szCs w:val="22"/>
            </w:rPr>
            <w:instrText xml:space="preserve"> HYPERLINK \l _Toc27091 </w:instrText>
          </w:r>
          <w:r>
            <w:rPr>
              <w:szCs w:val="22"/>
            </w:rPr>
            <w:fldChar w:fldCharType="separate"/>
          </w:r>
          <w:r>
            <w:rPr>
              <w:rFonts w:hint="eastAsia" w:ascii="仿宋_GB2312" w:hAnsi="仿宋_GB2312" w:eastAsia="仿宋_GB2312" w:cs="仿宋_GB2312"/>
              <w:bCs/>
              <w:szCs w:val="32"/>
              <w:lang w:val="en-US" w:eastAsia="zh-CN"/>
            </w:rPr>
            <w:t>2、消防安全管理</w:t>
          </w:r>
          <w:r>
            <w:tab/>
          </w:r>
          <w:r>
            <w:fldChar w:fldCharType="begin"/>
          </w:r>
          <w:r>
            <w:instrText xml:space="preserve"> PAGEREF _Toc27091 \h </w:instrText>
          </w:r>
          <w:r>
            <w:fldChar w:fldCharType="separate"/>
          </w:r>
          <w:r>
            <w:t>3</w:t>
          </w:r>
          <w:r>
            <w:fldChar w:fldCharType="end"/>
          </w:r>
          <w:r>
            <w:rPr>
              <w:color w:val="auto"/>
              <w:szCs w:val="22"/>
            </w:rPr>
            <w:fldChar w:fldCharType="end"/>
          </w:r>
        </w:p>
        <w:p w14:paraId="17D819F5">
          <w:pPr>
            <w:pStyle w:val="2"/>
            <w:tabs>
              <w:tab w:val="right" w:leader="dot" w:pos="8845"/>
            </w:tabs>
          </w:pPr>
          <w:r>
            <w:rPr>
              <w:color w:val="auto"/>
              <w:szCs w:val="22"/>
            </w:rPr>
            <w:fldChar w:fldCharType="begin"/>
          </w:r>
          <w:r>
            <w:rPr>
              <w:szCs w:val="22"/>
            </w:rPr>
            <w:instrText xml:space="preserve"> HYPERLINK \l _Toc24606 </w:instrText>
          </w:r>
          <w:r>
            <w:rPr>
              <w:szCs w:val="22"/>
            </w:rPr>
            <w:fldChar w:fldCharType="separate"/>
          </w:r>
          <w:r>
            <w:rPr>
              <w:rFonts w:hint="eastAsia" w:ascii="仿宋_GB2312" w:hAnsi="仿宋_GB2312" w:eastAsia="仿宋_GB2312" w:cs="仿宋_GB2312"/>
              <w:bCs/>
              <w:szCs w:val="32"/>
              <w:lang w:val="en-US" w:eastAsia="zh-CN"/>
            </w:rPr>
            <w:t>3、特种设备安全管理</w:t>
          </w:r>
          <w:r>
            <w:tab/>
          </w:r>
          <w:r>
            <w:fldChar w:fldCharType="begin"/>
          </w:r>
          <w:r>
            <w:instrText xml:space="preserve"> PAGEREF _Toc24606 \h </w:instrText>
          </w:r>
          <w:r>
            <w:fldChar w:fldCharType="separate"/>
          </w:r>
          <w:r>
            <w:t>5</w:t>
          </w:r>
          <w:r>
            <w:fldChar w:fldCharType="end"/>
          </w:r>
          <w:r>
            <w:rPr>
              <w:color w:val="auto"/>
              <w:szCs w:val="22"/>
            </w:rPr>
            <w:fldChar w:fldCharType="end"/>
          </w:r>
        </w:p>
        <w:p w14:paraId="76F48C2D">
          <w:pPr>
            <w:pStyle w:val="2"/>
            <w:tabs>
              <w:tab w:val="right" w:leader="dot" w:pos="8845"/>
            </w:tabs>
          </w:pPr>
          <w:r>
            <w:rPr>
              <w:color w:val="auto"/>
              <w:szCs w:val="22"/>
            </w:rPr>
            <w:fldChar w:fldCharType="begin"/>
          </w:r>
          <w:r>
            <w:rPr>
              <w:szCs w:val="22"/>
            </w:rPr>
            <w:instrText xml:space="preserve"> HYPERLINK \l _Toc22807 </w:instrText>
          </w:r>
          <w:r>
            <w:rPr>
              <w:szCs w:val="22"/>
            </w:rPr>
            <w:fldChar w:fldCharType="separate"/>
          </w:r>
          <w:r>
            <w:rPr>
              <w:rFonts w:hint="eastAsia" w:ascii="仿宋_GB2312" w:hAnsi="仿宋_GB2312" w:eastAsia="仿宋_GB2312" w:cs="仿宋_GB2312"/>
              <w:bCs/>
              <w:szCs w:val="32"/>
              <w:lang w:val="en-US" w:eastAsia="zh-CN"/>
            </w:rPr>
            <w:t>4、涉毒涉爆安全管理</w:t>
          </w:r>
          <w:r>
            <w:tab/>
          </w:r>
          <w:r>
            <w:fldChar w:fldCharType="begin"/>
          </w:r>
          <w:r>
            <w:instrText xml:space="preserve"> PAGEREF _Toc22807 \h </w:instrText>
          </w:r>
          <w:r>
            <w:fldChar w:fldCharType="separate"/>
          </w:r>
          <w:r>
            <w:t>6</w:t>
          </w:r>
          <w:r>
            <w:fldChar w:fldCharType="end"/>
          </w:r>
          <w:r>
            <w:rPr>
              <w:color w:val="auto"/>
              <w:szCs w:val="22"/>
            </w:rPr>
            <w:fldChar w:fldCharType="end"/>
          </w:r>
        </w:p>
        <w:p w14:paraId="74AB5207">
          <w:pPr>
            <w:pStyle w:val="2"/>
            <w:tabs>
              <w:tab w:val="right" w:leader="dot" w:pos="8845"/>
            </w:tabs>
          </w:pPr>
          <w:r>
            <w:rPr>
              <w:color w:val="auto"/>
              <w:szCs w:val="22"/>
            </w:rPr>
            <w:fldChar w:fldCharType="begin"/>
          </w:r>
          <w:r>
            <w:rPr>
              <w:szCs w:val="22"/>
            </w:rPr>
            <w:instrText xml:space="preserve"> HYPERLINK \l _Toc14354 </w:instrText>
          </w:r>
          <w:r>
            <w:rPr>
              <w:szCs w:val="22"/>
            </w:rPr>
            <w:fldChar w:fldCharType="separate"/>
          </w:r>
          <w:r>
            <w:rPr>
              <w:rFonts w:hint="eastAsia" w:ascii="仿宋_GB2312" w:hAnsi="仿宋_GB2312" w:eastAsia="仿宋_GB2312" w:cs="仿宋_GB2312"/>
              <w:bCs/>
              <w:szCs w:val="32"/>
              <w:lang w:val="en-US" w:eastAsia="zh-CN"/>
            </w:rPr>
            <w:t>5、交通运输安全管理</w:t>
          </w:r>
          <w:r>
            <w:tab/>
          </w:r>
          <w:r>
            <w:fldChar w:fldCharType="begin"/>
          </w:r>
          <w:r>
            <w:instrText xml:space="preserve"> PAGEREF _Toc14354 \h </w:instrText>
          </w:r>
          <w:r>
            <w:fldChar w:fldCharType="separate"/>
          </w:r>
          <w:r>
            <w:t>7</w:t>
          </w:r>
          <w:r>
            <w:fldChar w:fldCharType="end"/>
          </w:r>
          <w:r>
            <w:rPr>
              <w:color w:val="auto"/>
              <w:szCs w:val="22"/>
            </w:rPr>
            <w:fldChar w:fldCharType="end"/>
          </w:r>
        </w:p>
        <w:p w14:paraId="18038DF1">
          <w:pPr>
            <w:pStyle w:val="2"/>
            <w:tabs>
              <w:tab w:val="right" w:leader="dot" w:pos="8845"/>
            </w:tabs>
          </w:pPr>
          <w:r>
            <w:rPr>
              <w:color w:val="auto"/>
              <w:szCs w:val="22"/>
            </w:rPr>
            <w:fldChar w:fldCharType="begin"/>
          </w:r>
          <w:r>
            <w:rPr>
              <w:szCs w:val="22"/>
            </w:rPr>
            <w:instrText xml:space="preserve"> HYPERLINK \l _Toc25886 </w:instrText>
          </w:r>
          <w:r>
            <w:rPr>
              <w:szCs w:val="22"/>
            </w:rPr>
            <w:fldChar w:fldCharType="separate"/>
          </w:r>
          <w:r>
            <w:rPr>
              <w:rFonts w:hint="eastAsia" w:ascii="仿宋_GB2312" w:hAnsi="仿宋_GB2312" w:eastAsia="仿宋_GB2312" w:cs="仿宋_GB2312"/>
              <w:bCs/>
              <w:szCs w:val="32"/>
              <w:lang w:val="en-US" w:eastAsia="zh-CN"/>
            </w:rPr>
            <w:t>6、气象（防雷）安全管理</w:t>
          </w:r>
          <w:r>
            <w:tab/>
          </w:r>
          <w:r>
            <w:fldChar w:fldCharType="begin"/>
          </w:r>
          <w:r>
            <w:instrText xml:space="preserve"> PAGEREF _Toc25886 \h </w:instrText>
          </w:r>
          <w:r>
            <w:fldChar w:fldCharType="separate"/>
          </w:r>
          <w:r>
            <w:t>7</w:t>
          </w:r>
          <w:r>
            <w:fldChar w:fldCharType="end"/>
          </w:r>
          <w:r>
            <w:rPr>
              <w:color w:val="auto"/>
              <w:szCs w:val="22"/>
            </w:rPr>
            <w:fldChar w:fldCharType="end"/>
          </w:r>
        </w:p>
        <w:p w14:paraId="36CC1FAB">
          <w:pPr>
            <w:pStyle w:val="2"/>
            <w:tabs>
              <w:tab w:val="right" w:leader="dot" w:pos="8845"/>
            </w:tabs>
          </w:pPr>
          <w:r>
            <w:rPr>
              <w:color w:val="auto"/>
              <w:szCs w:val="22"/>
            </w:rPr>
            <w:fldChar w:fldCharType="begin"/>
          </w:r>
          <w:r>
            <w:rPr>
              <w:szCs w:val="22"/>
            </w:rPr>
            <w:instrText xml:space="preserve"> HYPERLINK \l _Toc18673 </w:instrText>
          </w:r>
          <w:r>
            <w:rPr>
              <w:szCs w:val="22"/>
            </w:rPr>
            <w:fldChar w:fldCharType="separate"/>
          </w:r>
          <w:r>
            <w:rPr>
              <w:rFonts w:hint="eastAsia" w:ascii="仿宋_GB2312" w:hAnsi="仿宋_GB2312" w:eastAsia="仿宋_GB2312" w:cs="仿宋_GB2312"/>
              <w:bCs/>
              <w:szCs w:val="32"/>
              <w:lang w:val="en-US" w:eastAsia="zh-CN"/>
            </w:rPr>
            <w:t>7、试生产和承包商安全管理</w:t>
          </w:r>
          <w:r>
            <w:tab/>
          </w:r>
          <w:r>
            <w:fldChar w:fldCharType="begin"/>
          </w:r>
          <w:r>
            <w:instrText xml:space="preserve"> PAGEREF _Toc18673 \h </w:instrText>
          </w:r>
          <w:r>
            <w:fldChar w:fldCharType="separate"/>
          </w:r>
          <w:r>
            <w:t>8</w:t>
          </w:r>
          <w:r>
            <w:fldChar w:fldCharType="end"/>
          </w:r>
          <w:r>
            <w:rPr>
              <w:color w:val="auto"/>
              <w:szCs w:val="22"/>
            </w:rPr>
            <w:fldChar w:fldCharType="end"/>
          </w:r>
        </w:p>
        <w:p w14:paraId="4AF3193C">
          <w:pPr>
            <w:pStyle w:val="2"/>
            <w:tabs>
              <w:tab w:val="right" w:leader="dot" w:pos="8845"/>
            </w:tabs>
          </w:pPr>
          <w:r>
            <w:rPr>
              <w:color w:val="auto"/>
              <w:szCs w:val="22"/>
            </w:rPr>
            <w:fldChar w:fldCharType="begin"/>
          </w:r>
          <w:r>
            <w:rPr>
              <w:szCs w:val="22"/>
            </w:rPr>
            <w:instrText xml:space="preserve"> HYPERLINK \l _Toc16835 </w:instrText>
          </w:r>
          <w:r>
            <w:rPr>
              <w:szCs w:val="22"/>
            </w:rPr>
            <w:fldChar w:fldCharType="separate"/>
          </w:r>
          <w:r>
            <w:rPr>
              <w:rFonts w:hint="eastAsia" w:ascii="仿宋_GB2312" w:hAnsi="仿宋_GB2312" w:eastAsia="仿宋_GB2312" w:cs="仿宋_GB2312"/>
              <w:bCs/>
              <w:szCs w:val="32"/>
              <w:lang w:val="en-US" w:eastAsia="zh-CN"/>
            </w:rPr>
            <w:t>8、应急风险防控</w:t>
          </w:r>
          <w:r>
            <w:tab/>
          </w:r>
          <w:r>
            <w:fldChar w:fldCharType="begin"/>
          </w:r>
          <w:r>
            <w:instrText xml:space="preserve"> PAGEREF _Toc16835 \h </w:instrText>
          </w:r>
          <w:r>
            <w:fldChar w:fldCharType="separate"/>
          </w:r>
          <w:r>
            <w:t>9</w:t>
          </w:r>
          <w:r>
            <w:fldChar w:fldCharType="end"/>
          </w:r>
          <w:r>
            <w:rPr>
              <w:color w:val="auto"/>
              <w:szCs w:val="22"/>
            </w:rPr>
            <w:fldChar w:fldCharType="end"/>
          </w:r>
        </w:p>
        <w:p w14:paraId="67D160D5">
          <w:pPr>
            <w:pStyle w:val="6"/>
            <w:tabs>
              <w:tab w:val="right" w:leader="dot" w:pos="8845"/>
            </w:tabs>
          </w:pPr>
          <w:r>
            <w:rPr>
              <w:color w:val="auto"/>
              <w:szCs w:val="22"/>
            </w:rPr>
            <w:fldChar w:fldCharType="begin"/>
          </w:r>
          <w:r>
            <w:rPr>
              <w:szCs w:val="22"/>
            </w:rPr>
            <w:instrText xml:space="preserve"> HYPERLINK \l _Toc31456 </w:instrText>
          </w:r>
          <w:r>
            <w:rPr>
              <w:szCs w:val="22"/>
            </w:rPr>
            <w:fldChar w:fldCharType="separate"/>
          </w:r>
          <w:r>
            <w:rPr>
              <w:rFonts w:hint="eastAsia" w:ascii="楷体_GB2312" w:hAnsi="楷体_GB2312" w:eastAsia="楷体_GB2312" w:cs="楷体_GB2312"/>
              <w:bCs/>
              <w:szCs w:val="32"/>
              <w:lang w:val="en-US" w:eastAsia="zh-CN"/>
            </w:rPr>
            <w:t>（二）筑牢生态保护屏障</w:t>
          </w:r>
          <w:r>
            <w:tab/>
          </w:r>
          <w:r>
            <w:fldChar w:fldCharType="begin"/>
          </w:r>
          <w:r>
            <w:instrText xml:space="preserve"> PAGEREF _Toc31456 \h </w:instrText>
          </w:r>
          <w:r>
            <w:fldChar w:fldCharType="separate"/>
          </w:r>
          <w:r>
            <w:t>10</w:t>
          </w:r>
          <w:r>
            <w:fldChar w:fldCharType="end"/>
          </w:r>
          <w:r>
            <w:rPr>
              <w:color w:val="auto"/>
              <w:szCs w:val="22"/>
            </w:rPr>
            <w:fldChar w:fldCharType="end"/>
          </w:r>
        </w:p>
        <w:p w14:paraId="387F1976">
          <w:pPr>
            <w:pStyle w:val="2"/>
            <w:tabs>
              <w:tab w:val="right" w:leader="dot" w:pos="8845"/>
            </w:tabs>
          </w:pPr>
          <w:r>
            <w:rPr>
              <w:color w:val="auto"/>
              <w:szCs w:val="22"/>
            </w:rPr>
            <w:fldChar w:fldCharType="begin"/>
          </w:r>
          <w:r>
            <w:rPr>
              <w:szCs w:val="22"/>
            </w:rPr>
            <w:instrText xml:space="preserve"> HYPERLINK \l _Toc29564 </w:instrText>
          </w:r>
          <w:r>
            <w:rPr>
              <w:szCs w:val="22"/>
            </w:rPr>
            <w:fldChar w:fldCharType="separate"/>
          </w:r>
          <w:r>
            <w:rPr>
              <w:rFonts w:hint="eastAsia" w:ascii="仿宋_GB2312" w:hAnsi="仿宋_GB2312" w:eastAsia="仿宋_GB2312" w:cs="仿宋_GB2312"/>
              <w:bCs/>
              <w:szCs w:val="32"/>
              <w:lang w:val="en-US" w:eastAsia="zh-CN"/>
            </w:rPr>
            <w:t>1、环保基础管理</w:t>
          </w:r>
          <w:r>
            <w:tab/>
          </w:r>
          <w:r>
            <w:fldChar w:fldCharType="begin"/>
          </w:r>
          <w:r>
            <w:instrText xml:space="preserve"> PAGEREF _Toc29564 \h </w:instrText>
          </w:r>
          <w:r>
            <w:fldChar w:fldCharType="separate"/>
          </w:r>
          <w:r>
            <w:t>10</w:t>
          </w:r>
          <w:r>
            <w:fldChar w:fldCharType="end"/>
          </w:r>
          <w:r>
            <w:rPr>
              <w:color w:val="auto"/>
              <w:szCs w:val="22"/>
            </w:rPr>
            <w:fldChar w:fldCharType="end"/>
          </w:r>
        </w:p>
        <w:p w14:paraId="73AEF903">
          <w:pPr>
            <w:pStyle w:val="2"/>
            <w:tabs>
              <w:tab w:val="right" w:leader="dot" w:pos="8845"/>
            </w:tabs>
          </w:pPr>
          <w:r>
            <w:rPr>
              <w:color w:val="auto"/>
              <w:szCs w:val="22"/>
            </w:rPr>
            <w:fldChar w:fldCharType="begin"/>
          </w:r>
          <w:r>
            <w:rPr>
              <w:szCs w:val="22"/>
            </w:rPr>
            <w:instrText xml:space="preserve"> HYPERLINK \l _Toc12733 </w:instrText>
          </w:r>
          <w:r>
            <w:rPr>
              <w:szCs w:val="22"/>
            </w:rPr>
            <w:fldChar w:fldCharType="separate"/>
          </w:r>
          <w:r>
            <w:rPr>
              <w:rFonts w:hint="eastAsia" w:ascii="仿宋_GB2312" w:hAnsi="仿宋_GB2312" w:eastAsia="仿宋_GB2312" w:cs="仿宋_GB2312"/>
              <w:bCs/>
              <w:szCs w:val="32"/>
              <w:lang w:val="en-US" w:eastAsia="zh-CN"/>
            </w:rPr>
            <w:t>2、环保源头管理</w:t>
          </w:r>
          <w:r>
            <w:tab/>
          </w:r>
          <w:r>
            <w:fldChar w:fldCharType="begin"/>
          </w:r>
          <w:r>
            <w:instrText xml:space="preserve"> PAGEREF _Toc12733 \h </w:instrText>
          </w:r>
          <w:r>
            <w:fldChar w:fldCharType="separate"/>
          </w:r>
          <w:r>
            <w:t>11</w:t>
          </w:r>
          <w:r>
            <w:fldChar w:fldCharType="end"/>
          </w:r>
          <w:r>
            <w:rPr>
              <w:color w:val="auto"/>
              <w:szCs w:val="22"/>
            </w:rPr>
            <w:fldChar w:fldCharType="end"/>
          </w:r>
        </w:p>
        <w:p w14:paraId="73B9DF30">
          <w:pPr>
            <w:pStyle w:val="2"/>
            <w:tabs>
              <w:tab w:val="right" w:leader="dot" w:pos="8845"/>
            </w:tabs>
          </w:pPr>
          <w:r>
            <w:rPr>
              <w:color w:val="auto"/>
              <w:szCs w:val="22"/>
            </w:rPr>
            <w:fldChar w:fldCharType="begin"/>
          </w:r>
          <w:r>
            <w:rPr>
              <w:szCs w:val="22"/>
            </w:rPr>
            <w:instrText xml:space="preserve"> HYPERLINK \l _Toc752 </w:instrText>
          </w:r>
          <w:r>
            <w:rPr>
              <w:szCs w:val="22"/>
            </w:rPr>
            <w:fldChar w:fldCharType="separate"/>
          </w:r>
          <w:r>
            <w:rPr>
              <w:rFonts w:hint="eastAsia" w:ascii="仿宋_GB2312" w:hAnsi="仿宋_GB2312" w:eastAsia="仿宋_GB2312" w:cs="仿宋_GB2312"/>
              <w:bCs/>
              <w:szCs w:val="32"/>
              <w:lang w:val="en-US" w:eastAsia="zh-CN"/>
            </w:rPr>
            <w:t>3、废水处置</w:t>
          </w:r>
          <w:r>
            <w:tab/>
          </w:r>
          <w:r>
            <w:fldChar w:fldCharType="begin"/>
          </w:r>
          <w:r>
            <w:instrText xml:space="preserve"> PAGEREF _Toc752 \h </w:instrText>
          </w:r>
          <w:r>
            <w:fldChar w:fldCharType="separate"/>
          </w:r>
          <w:r>
            <w:t>12</w:t>
          </w:r>
          <w:r>
            <w:fldChar w:fldCharType="end"/>
          </w:r>
          <w:r>
            <w:rPr>
              <w:color w:val="auto"/>
              <w:szCs w:val="22"/>
            </w:rPr>
            <w:fldChar w:fldCharType="end"/>
          </w:r>
        </w:p>
        <w:p w14:paraId="0B84CB6C">
          <w:pPr>
            <w:pStyle w:val="2"/>
            <w:tabs>
              <w:tab w:val="right" w:leader="dot" w:pos="8845"/>
            </w:tabs>
          </w:pPr>
          <w:r>
            <w:rPr>
              <w:color w:val="auto"/>
              <w:szCs w:val="22"/>
            </w:rPr>
            <w:fldChar w:fldCharType="begin"/>
          </w:r>
          <w:r>
            <w:rPr>
              <w:szCs w:val="22"/>
            </w:rPr>
            <w:instrText xml:space="preserve"> HYPERLINK \l _Toc7908 </w:instrText>
          </w:r>
          <w:r>
            <w:rPr>
              <w:szCs w:val="22"/>
            </w:rPr>
            <w:fldChar w:fldCharType="separate"/>
          </w:r>
          <w:r>
            <w:rPr>
              <w:rFonts w:hint="eastAsia" w:ascii="仿宋_GB2312" w:hAnsi="仿宋_GB2312" w:eastAsia="仿宋_GB2312" w:cs="仿宋_GB2312"/>
              <w:bCs/>
              <w:szCs w:val="32"/>
              <w:lang w:val="en-US" w:eastAsia="zh-CN"/>
            </w:rPr>
            <w:t>4、废气处置</w:t>
          </w:r>
          <w:r>
            <w:tab/>
          </w:r>
          <w:r>
            <w:fldChar w:fldCharType="begin"/>
          </w:r>
          <w:r>
            <w:instrText xml:space="preserve"> PAGEREF _Toc7908 \h </w:instrText>
          </w:r>
          <w:r>
            <w:fldChar w:fldCharType="separate"/>
          </w:r>
          <w:r>
            <w:t>12</w:t>
          </w:r>
          <w:r>
            <w:fldChar w:fldCharType="end"/>
          </w:r>
          <w:r>
            <w:rPr>
              <w:color w:val="auto"/>
              <w:szCs w:val="22"/>
            </w:rPr>
            <w:fldChar w:fldCharType="end"/>
          </w:r>
        </w:p>
        <w:p w14:paraId="7DA796F3">
          <w:pPr>
            <w:pStyle w:val="2"/>
            <w:tabs>
              <w:tab w:val="right" w:leader="dot" w:pos="8845"/>
            </w:tabs>
          </w:pPr>
          <w:r>
            <w:rPr>
              <w:color w:val="auto"/>
              <w:szCs w:val="22"/>
            </w:rPr>
            <w:fldChar w:fldCharType="begin"/>
          </w:r>
          <w:r>
            <w:rPr>
              <w:szCs w:val="22"/>
            </w:rPr>
            <w:instrText xml:space="preserve"> HYPERLINK \l _Toc16912 </w:instrText>
          </w:r>
          <w:r>
            <w:rPr>
              <w:szCs w:val="22"/>
            </w:rPr>
            <w:fldChar w:fldCharType="separate"/>
          </w:r>
          <w:r>
            <w:rPr>
              <w:rFonts w:hint="eastAsia" w:ascii="仿宋_GB2312" w:hAnsi="仿宋_GB2312" w:eastAsia="仿宋_GB2312" w:cs="仿宋_GB2312"/>
              <w:bCs/>
              <w:szCs w:val="32"/>
              <w:lang w:val="en-US" w:eastAsia="zh-CN"/>
            </w:rPr>
            <w:t>5、固废处置</w:t>
          </w:r>
          <w:r>
            <w:tab/>
          </w:r>
          <w:r>
            <w:fldChar w:fldCharType="begin"/>
          </w:r>
          <w:r>
            <w:instrText xml:space="preserve"> PAGEREF _Toc16912 \h </w:instrText>
          </w:r>
          <w:r>
            <w:fldChar w:fldCharType="separate"/>
          </w:r>
          <w:r>
            <w:t>14</w:t>
          </w:r>
          <w:r>
            <w:fldChar w:fldCharType="end"/>
          </w:r>
          <w:r>
            <w:rPr>
              <w:color w:val="auto"/>
              <w:szCs w:val="22"/>
            </w:rPr>
            <w:fldChar w:fldCharType="end"/>
          </w:r>
        </w:p>
        <w:p w14:paraId="462C6FE3">
          <w:pPr>
            <w:pStyle w:val="2"/>
            <w:tabs>
              <w:tab w:val="right" w:leader="dot" w:pos="8845"/>
            </w:tabs>
          </w:pPr>
          <w:r>
            <w:rPr>
              <w:color w:val="auto"/>
              <w:szCs w:val="22"/>
            </w:rPr>
            <w:fldChar w:fldCharType="begin"/>
          </w:r>
          <w:r>
            <w:rPr>
              <w:szCs w:val="22"/>
            </w:rPr>
            <w:instrText xml:space="preserve"> HYPERLINK \l _Toc16999 </w:instrText>
          </w:r>
          <w:r>
            <w:rPr>
              <w:szCs w:val="22"/>
            </w:rPr>
            <w:fldChar w:fldCharType="separate"/>
          </w:r>
          <w:r>
            <w:rPr>
              <w:rFonts w:hint="eastAsia" w:ascii="仿宋_GB2312" w:hAnsi="仿宋_GB2312" w:eastAsia="仿宋_GB2312" w:cs="仿宋_GB2312"/>
              <w:bCs/>
              <w:szCs w:val="32"/>
              <w:lang w:val="en-US" w:eastAsia="zh-CN"/>
            </w:rPr>
            <w:t>6、土壤和地下水管控</w:t>
          </w:r>
          <w:r>
            <w:tab/>
          </w:r>
          <w:r>
            <w:fldChar w:fldCharType="begin"/>
          </w:r>
          <w:r>
            <w:instrText xml:space="preserve"> PAGEREF _Toc16999 \h </w:instrText>
          </w:r>
          <w:r>
            <w:fldChar w:fldCharType="separate"/>
          </w:r>
          <w:r>
            <w:t>15</w:t>
          </w:r>
          <w:r>
            <w:fldChar w:fldCharType="end"/>
          </w:r>
          <w:r>
            <w:rPr>
              <w:color w:val="auto"/>
              <w:szCs w:val="22"/>
            </w:rPr>
            <w:fldChar w:fldCharType="end"/>
          </w:r>
        </w:p>
        <w:p w14:paraId="78DA4609">
          <w:pPr>
            <w:pStyle w:val="2"/>
            <w:tabs>
              <w:tab w:val="right" w:leader="dot" w:pos="8845"/>
            </w:tabs>
          </w:pPr>
          <w:r>
            <w:rPr>
              <w:color w:val="auto"/>
              <w:szCs w:val="22"/>
            </w:rPr>
            <w:fldChar w:fldCharType="begin"/>
          </w:r>
          <w:r>
            <w:rPr>
              <w:szCs w:val="22"/>
            </w:rPr>
            <w:instrText xml:space="preserve"> HYPERLINK \l _Toc22271 </w:instrText>
          </w:r>
          <w:r>
            <w:rPr>
              <w:szCs w:val="22"/>
            </w:rPr>
            <w:fldChar w:fldCharType="separate"/>
          </w:r>
          <w:r>
            <w:rPr>
              <w:rFonts w:hint="eastAsia" w:ascii="仿宋_GB2312" w:hAnsi="仿宋_GB2312" w:eastAsia="仿宋_GB2312" w:cs="仿宋_GB2312"/>
              <w:bCs/>
              <w:szCs w:val="32"/>
              <w:lang w:val="en-US" w:eastAsia="zh-CN"/>
            </w:rPr>
            <w:t>7、新污染物风险管控</w:t>
          </w:r>
          <w:r>
            <w:tab/>
          </w:r>
          <w:r>
            <w:fldChar w:fldCharType="begin"/>
          </w:r>
          <w:r>
            <w:instrText xml:space="preserve"> PAGEREF _Toc22271 \h </w:instrText>
          </w:r>
          <w:r>
            <w:fldChar w:fldCharType="separate"/>
          </w:r>
          <w:r>
            <w:t>15</w:t>
          </w:r>
          <w:r>
            <w:fldChar w:fldCharType="end"/>
          </w:r>
          <w:r>
            <w:rPr>
              <w:color w:val="auto"/>
              <w:szCs w:val="22"/>
            </w:rPr>
            <w:fldChar w:fldCharType="end"/>
          </w:r>
        </w:p>
        <w:p w14:paraId="23EC2838">
          <w:pPr>
            <w:pStyle w:val="2"/>
            <w:tabs>
              <w:tab w:val="right" w:leader="dot" w:pos="8845"/>
            </w:tabs>
          </w:pPr>
          <w:r>
            <w:rPr>
              <w:color w:val="auto"/>
              <w:szCs w:val="22"/>
            </w:rPr>
            <w:fldChar w:fldCharType="begin"/>
          </w:r>
          <w:r>
            <w:rPr>
              <w:szCs w:val="22"/>
            </w:rPr>
            <w:instrText xml:space="preserve"> HYPERLINK \l _Toc7884 </w:instrText>
          </w:r>
          <w:r>
            <w:rPr>
              <w:szCs w:val="22"/>
            </w:rPr>
            <w:fldChar w:fldCharType="separate"/>
          </w:r>
          <w:r>
            <w:rPr>
              <w:rFonts w:hint="eastAsia" w:ascii="仿宋_GB2312" w:hAnsi="仿宋_GB2312" w:eastAsia="仿宋_GB2312" w:cs="仿宋_GB2312"/>
              <w:bCs/>
              <w:szCs w:val="32"/>
              <w:lang w:val="en-US" w:eastAsia="zh-CN"/>
            </w:rPr>
            <w:t>8、环保应急管理</w:t>
          </w:r>
          <w:r>
            <w:tab/>
          </w:r>
          <w:r>
            <w:fldChar w:fldCharType="begin"/>
          </w:r>
          <w:r>
            <w:instrText xml:space="preserve"> PAGEREF _Toc7884 \h </w:instrText>
          </w:r>
          <w:r>
            <w:fldChar w:fldCharType="separate"/>
          </w:r>
          <w:r>
            <w:t>16</w:t>
          </w:r>
          <w:r>
            <w:fldChar w:fldCharType="end"/>
          </w:r>
          <w:r>
            <w:rPr>
              <w:color w:val="auto"/>
              <w:szCs w:val="22"/>
            </w:rPr>
            <w:fldChar w:fldCharType="end"/>
          </w:r>
        </w:p>
        <w:p w14:paraId="00A13629">
          <w:pPr>
            <w:pStyle w:val="6"/>
            <w:tabs>
              <w:tab w:val="right" w:leader="dot" w:pos="8845"/>
            </w:tabs>
          </w:pPr>
          <w:r>
            <w:rPr>
              <w:color w:val="auto"/>
              <w:szCs w:val="22"/>
            </w:rPr>
            <w:fldChar w:fldCharType="begin"/>
          </w:r>
          <w:r>
            <w:rPr>
              <w:szCs w:val="22"/>
            </w:rPr>
            <w:instrText xml:space="preserve"> HYPERLINK \l _Toc9051 </w:instrText>
          </w:r>
          <w:r>
            <w:rPr>
              <w:szCs w:val="22"/>
            </w:rPr>
            <w:fldChar w:fldCharType="separate"/>
          </w:r>
          <w:r>
            <w:rPr>
              <w:rFonts w:hint="eastAsia" w:ascii="楷体_GB2312" w:hAnsi="楷体_GB2312" w:eastAsia="楷体_GB2312" w:cs="楷体_GB2312"/>
              <w:bCs/>
              <w:szCs w:val="32"/>
              <w:lang w:val="en-US" w:eastAsia="zh-CN"/>
            </w:rPr>
            <w:t>（三）落实节能降耗措施</w:t>
          </w:r>
          <w:r>
            <w:tab/>
          </w:r>
          <w:r>
            <w:fldChar w:fldCharType="begin"/>
          </w:r>
          <w:r>
            <w:instrText xml:space="preserve"> PAGEREF _Toc9051 \h </w:instrText>
          </w:r>
          <w:r>
            <w:fldChar w:fldCharType="separate"/>
          </w:r>
          <w:r>
            <w:t>17</w:t>
          </w:r>
          <w:r>
            <w:fldChar w:fldCharType="end"/>
          </w:r>
          <w:r>
            <w:rPr>
              <w:color w:val="auto"/>
              <w:szCs w:val="22"/>
            </w:rPr>
            <w:fldChar w:fldCharType="end"/>
          </w:r>
        </w:p>
        <w:p w14:paraId="66B97DC6">
          <w:pPr>
            <w:pStyle w:val="2"/>
            <w:tabs>
              <w:tab w:val="right" w:leader="dot" w:pos="8845"/>
            </w:tabs>
          </w:pPr>
          <w:r>
            <w:rPr>
              <w:color w:val="auto"/>
              <w:szCs w:val="22"/>
            </w:rPr>
            <w:fldChar w:fldCharType="begin"/>
          </w:r>
          <w:r>
            <w:rPr>
              <w:szCs w:val="22"/>
            </w:rPr>
            <w:instrText xml:space="preserve"> HYPERLINK \l _Toc31675 </w:instrText>
          </w:r>
          <w:r>
            <w:rPr>
              <w:szCs w:val="22"/>
            </w:rPr>
            <w:fldChar w:fldCharType="separate"/>
          </w:r>
          <w:r>
            <w:rPr>
              <w:rFonts w:hint="eastAsia" w:ascii="仿宋_GB2312" w:hAnsi="仿宋_GB2312" w:eastAsia="仿宋_GB2312" w:cs="仿宋_GB2312"/>
              <w:bCs/>
              <w:szCs w:val="32"/>
              <w:lang w:val="en-US" w:eastAsia="zh-CN"/>
            </w:rPr>
            <w:t>1、用能管理</w:t>
          </w:r>
          <w:r>
            <w:tab/>
          </w:r>
          <w:r>
            <w:fldChar w:fldCharType="begin"/>
          </w:r>
          <w:r>
            <w:instrText xml:space="preserve"> PAGEREF _Toc31675 \h </w:instrText>
          </w:r>
          <w:r>
            <w:fldChar w:fldCharType="separate"/>
          </w:r>
          <w:r>
            <w:t>17</w:t>
          </w:r>
          <w:r>
            <w:fldChar w:fldCharType="end"/>
          </w:r>
          <w:r>
            <w:rPr>
              <w:color w:val="auto"/>
              <w:szCs w:val="22"/>
            </w:rPr>
            <w:fldChar w:fldCharType="end"/>
          </w:r>
        </w:p>
        <w:p w14:paraId="37D88F39">
          <w:pPr>
            <w:pStyle w:val="2"/>
            <w:tabs>
              <w:tab w:val="right" w:leader="dot" w:pos="8845"/>
            </w:tabs>
          </w:pPr>
          <w:r>
            <w:rPr>
              <w:color w:val="auto"/>
              <w:szCs w:val="22"/>
            </w:rPr>
            <w:fldChar w:fldCharType="begin"/>
          </w:r>
          <w:r>
            <w:rPr>
              <w:szCs w:val="22"/>
            </w:rPr>
            <w:instrText xml:space="preserve"> HYPERLINK \l _Toc4768 </w:instrText>
          </w:r>
          <w:r>
            <w:rPr>
              <w:szCs w:val="22"/>
            </w:rPr>
            <w:fldChar w:fldCharType="separate"/>
          </w:r>
          <w:r>
            <w:rPr>
              <w:rFonts w:hint="eastAsia" w:ascii="仿宋_GB2312" w:hAnsi="仿宋_GB2312" w:eastAsia="仿宋_GB2312" w:cs="仿宋_GB2312"/>
              <w:bCs/>
              <w:szCs w:val="32"/>
              <w:lang w:val="en-US" w:eastAsia="zh-CN"/>
            </w:rPr>
            <w:t>2、合理使用与节约能源</w:t>
          </w:r>
          <w:r>
            <w:tab/>
          </w:r>
          <w:r>
            <w:fldChar w:fldCharType="begin"/>
          </w:r>
          <w:r>
            <w:instrText xml:space="preserve"> PAGEREF _Toc4768 \h </w:instrText>
          </w:r>
          <w:r>
            <w:fldChar w:fldCharType="separate"/>
          </w:r>
          <w:r>
            <w:t>17</w:t>
          </w:r>
          <w:r>
            <w:fldChar w:fldCharType="end"/>
          </w:r>
          <w:r>
            <w:rPr>
              <w:color w:val="auto"/>
              <w:szCs w:val="22"/>
            </w:rPr>
            <w:fldChar w:fldCharType="end"/>
          </w:r>
        </w:p>
        <w:p w14:paraId="01FC770A">
          <w:pPr>
            <w:pStyle w:val="2"/>
            <w:tabs>
              <w:tab w:val="right" w:leader="dot" w:pos="8845"/>
            </w:tabs>
          </w:pPr>
          <w:r>
            <w:rPr>
              <w:color w:val="auto"/>
              <w:szCs w:val="22"/>
            </w:rPr>
            <w:fldChar w:fldCharType="begin"/>
          </w:r>
          <w:r>
            <w:rPr>
              <w:szCs w:val="22"/>
            </w:rPr>
            <w:instrText xml:space="preserve"> HYPERLINK \l _Toc14166 </w:instrText>
          </w:r>
          <w:r>
            <w:rPr>
              <w:szCs w:val="22"/>
            </w:rPr>
            <w:fldChar w:fldCharType="separate"/>
          </w:r>
          <w:r>
            <w:rPr>
              <w:rFonts w:hint="eastAsia" w:ascii="仿宋_GB2312" w:hAnsi="仿宋_GB2312" w:eastAsia="仿宋_GB2312" w:cs="仿宋_GB2312"/>
              <w:bCs/>
              <w:szCs w:val="32"/>
              <w:lang w:val="en-US" w:eastAsia="zh-CN"/>
            </w:rPr>
            <w:t>3、绿色低碳发展</w:t>
          </w:r>
          <w:r>
            <w:tab/>
          </w:r>
          <w:r>
            <w:fldChar w:fldCharType="begin"/>
          </w:r>
          <w:r>
            <w:instrText xml:space="preserve"> PAGEREF _Toc14166 \h </w:instrText>
          </w:r>
          <w:r>
            <w:fldChar w:fldCharType="separate"/>
          </w:r>
          <w:r>
            <w:t>18</w:t>
          </w:r>
          <w:r>
            <w:fldChar w:fldCharType="end"/>
          </w:r>
          <w:r>
            <w:rPr>
              <w:color w:val="auto"/>
              <w:szCs w:val="22"/>
            </w:rPr>
            <w:fldChar w:fldCharType="end"/>
          </w:r>
        </w:p>
        <w:p w14:paraId="679E0CB9">
          <w:pPr>
            <w:pStyle w:val="5"/>
            <w:tabs>
              <w:tab w:val="right" w:leader="dot" w:pos="8845"/>
            </w:tabs>
          </w:pPr>
          <w:r>
            <w:rPr>
              <w:color w:val="auto"/>
              <w:szCs w:val="22"/>
            </w:rPr>
            <w:fldChar w:fldCharType="begin"/>
          </w:r>
          <w:r>
            <w:rPr>
              <w:szCs w:val="22"/>
            </w:rPr>
            <w:instrText xml:space="preserve"> HYPERLINK \l _Toc28851 </w:instrText>
          </w:r>
          <w:r>
            <w:rPr>
              <w:szCs w:val="22"/>
            </w:rPr>
            <w:fldChar w:fldCharType="separate"/>
          </w:r>
          <w:r>
            <w:rPr>
              <w:rFonts w:hint="eastAsia" w:ascii="黑体" w:hAnsi="黑体" w:eastAsia="黑体" w:cs="黑体"/>
              <w:szCs w:val="32"/>
              <w:lang w:val="en-US" w:eastAsia="zh-CN"/>
            </w:rPr>
            <w:t>三、数字转型与监管</w:t>
          </w:r>
          <w:r>
            <w:tab/>
          </w:r>
          <w:r>
            <w:fldChar w:fldCharType="begin"/>
          </w:r>
          <w:r>
            <w:instrText xml:space="preserve"> PAGEREF _Toc28851 \h </w:instrText>
          </w:r>
          <w:r>
            <w:fldChar w:fldCharType="separate"/>
          </w:r>
          <w:r>
            <w:t>18</w:t>
          </w:r>
          <w:r>
            <w:fldChar w:fldCharType="end"/>
          </w:r>
          <w:r>
            <w:rPr>
              <w:color w:val="auto"/>
              <w:szCs w:val="22"/>
            </w:rPr>
            <w:fldChar w:fldCharType="end"/>
          </w:r>
        </w:p>
        <w:p w14:paraId="1DCD7B41">
          <w:pPr>
            <w:pStyle w:val="6"/>
            <w:tabs>
              <w:tab w:val="right" w:leader="dot" w:pos="8845"/>
            </w:tabs>
          </w:pPr>
          <w:r>
            <w:rPr>
              <w:color w:val="auto"/>
              <w:szCs w:val="22"/>
            </w:rPr>
            <w:fldChar w:fldCharType="begin"/>
          </w:r>
          <w:r>
            <w:rPr>
              <w:szCs w:val="22"/>
            </w:rPr>
            <w:instrText xml:space="preserve"> HYPERLINK \l _Toc25355 </w:instrText>
          </w:r>
          <w:r>
            <w:rPr>
              <w:szCs w:val="22"/>
            </w:rPr>
            <w:fldChar w:fldCharType="separate"/>
          </w:r>
          <w:r>
            <w:rPr>
              <w:rFonts w:hint="eastAsia" w:ascii="楷体_GB2312" w:hAnsi="楷体_GB2312" w:eastAsia="楷体_GB2312" w:cs="楷体_GB2312"/>
              <w:bCs/>
              <w:szCs w:val="32"/>
              <w:lang w:val="en-US" w:eastAsia="zh-CN"/>
            </w:rPr>
            <w:t>（一）</w:t>
          </w:r>
          <w:r>
            <w:rPr>
              <w:rFonts w:hint="default" w:ascii="楷体_GB2312" w:hAnsi="楷体_GB2312" w:eastAsia="楷体_GB2312" w:cs="楷体_GB2312"/>
              <w:bCs/>
              <w:szCs w:val="32"/>
              <w:lang w:eastAsia="zh-CN"/>
              <w:woUserID w:val="1"/>
            </w:rPr>
            <w:t>应急</w:t>
          </w:r>
          <w:r>
            <w:rPr>
              <w:rFonts w:hint="eastAsia" w:ascii="楷体_GB2312" w:hAnsi="楷体_GB2312" w:eastAsia="楷体_GB2312" w:cs="楷体_GB2312"/>
              <w:bCs/>
              <w:szCs w:val="32"/>
              <w:lang w:val="en-US" w:eastAsia="zh-CN"/>
            </w:rPr>
            <w:t>数智化</w:t>
          </w:r>
          <w:r>
            <w:tab/>
          </w:r>
          <w:r>
            <w:fldChar w:fldCharType="begin"/>
          </w:r>
          <w:r>
            <w:instrText xml:space="preserve"> PAGEREF _Toc25355 \h </w:instrText>
          </w:r>
          <w:r>
            <w:fldChar w:fldCharType="separate"/>
          </w:r>
          <w:r>
            <w:t>19</w:t>
          </w:r>
          <w:r>
            <w:fldChar w:fldCharType="end"/>
          </w:r>
          <w:r>
            <w:rPr>
              <w:color w:val="auto"/>
              <w:szCs w:val="22"/>
            </w:rPr>
            <w:fldChar w:fldCharType="end"/>
          </w:r>
        </w:p>
        <w:p w14:paraId="36D60037">
          <w:pPr>
            <w:pStyle w:val="6"/>
            <w:tabs>
              <w:tab w:val="right" w:leader="dot" w:pos="8845"/>
            </w:tabs>
          </w:pPr>
          <w:r>
            <w:rPr>
              <w:color w:val="auto"/>
              <w:szCs w:val="22"/>
            </w:rPr>
            <w:fldChar w:fldCharType="begin"/>
          </w:r>
          <w:r>
            <w:rPr>
              <w:szCs w:val="22"/>
            </w:rPr>
            <w:instrText xml:space="preserve"> HYPERLINK \l _Toc12775 </w:instrText>
          </w:r>
          <w:r>
            <w:rPr>
              <w:szCs w:val="22"/>
            </w:rPr>
            <w:fldChar w:fldCharType="separate"/>
          </w:r>
          <w:r>
            <w:rPr>
              <w:rFonts w:hint="eastAsia" w:ascii="楷体_GB2312" w:hAnsi="楷体_GB2312" w:eastAsia="楷体_GB2312" w:cs="楷体_GB2312"/>
              <w:bCs/>
              <w:szCs w:val="32"/>
              <w:lang w:val="en-US" w:eastAsia="zh-CN"/>
            </w:rPr>
            <w:t>（二）环保智能化</w:t>
          </w:r>
          <w:r>
            <w:tab/>
          </w:r>
          <w:r>
            <w:fldChar w:fldCharType="begin"/>
          </w:r>
          <w:r>
            <w:instrText xml:space="preserve"> PAGEREF _Toc12775 \h </w:instrText>
          </w:r>
          <w:r>
            <w:fldChar w:fldCharType="separate"/>
          </w:r>
          <w:r>
            <w:t>19</w:t>
          </w:r>
          <w:r>
            <w:fldChar w:fldCharType="end"/>
          </w:r>
          <w:r>
            <w:rPr>
              <w:color w:val="auto"/>
              <w:szCs w:val="22"/>
            </w:rPr>
            <w:fldChar w:fldCharType="end"/>
          </w:r>
        </w:p>
        <w:p w14:paraId="5C7C38C3">
          <w:pPr>
            <w:pStyle w:val="6"/>
            <w:tabs>
              <w:tab w:val="right" w:leader="dot" w:pos="8845"/>
            </w:tabs>
          </w:pPr>
          <w:r>
            <w:rPr>
              <w:color w:val="auto"/>
              <w:szCs w:val="22"/>
            </w:rPr>
            <w:fldChar w:fldCharType="begin"/>
          </w:r>
          <w:r>
            <w:rPr>
              <w:szCs w:val="22"/>
            </w:rPr>
            <w:instrText xml:space="preserve"> HYPERLINK \l _Toc4118 </w:instrText>
          </w:r>
          <w:r>
            <w:rPr>
              <w:szCs w:val="22"/>
            </w:rPr>
            <w:fldChar w:fldCharType="separate"/>
          </w:r>
          <w:r>
            <w:rPr>
              <w:rFonts w:hint="eastAsia" w:ascii="楷体_GB2312" w:hAnsi="楷体_GB2312" w:eastAsia="楷体_GB2312" w:cs="楷体_GB2312"/>
              <w:bCs/>
              <w:szCs w:val="32"/>
              <w:lang w:val="en-US" w:eastAsia="zh-CN"/>
            </w:rPr>
            <w:t>（三）数字化转型</w:t>
          </w:r>
          <w:r>
            <w:tab/>
          </w:r>
          <w:r>
            <w:fldChar w:fldCharType="begin"/>
          </w:r>
          <w:r>
            <w:instrText xml:space="preserve"> PAGEREF _Toc4118 \h </w:instrText>
          </w:r>
          <w:r>
            <w:fldChar w:fldCharType="separate"/>
          </w:r>
          <w:r>
            <w:t>20</w:t>
          </w:r>
          <w:r>
            <w:fldChar w:fldCharType="end"/>
          </w:r>
          <w:r>
            <w:rPr>
              <w:color w:val="auto"/>
              <w:szCs w:val="22"/>
            </w:rPr>
            <w:fldChar w:fldCharType="end"/>
          </w:r>
        </w:p>
        <w:p w14:paraId="3AEFE3C2">
          <w:pPr>
            <w:pStyle w:val="5"/>
            <w:tabs>
              <w:tab w:val="right" w:leader="dot" w:pos="8845"/>
            </w:tabs>
          </w:pPr>
          <w:r>
            <w:rPr>
              <w:color w:val="auto"/>
              <w:szCs w:val="22"/>
            </w:rPr>
            <w:fldChar w:fldCharType="begin"/>
          </w:r>
          <w:r>
            <w:rPr>
              <w:szCs w:val="22"/>
            </w:rPr>
            <w:instrText xml:space="preserve"> HYPERLINK \l _Toc8177 </w:instrText>
          </w:r>
          <w:r>
            <w:rPr>
              <w:szCs w:val="22"/>
            </w:rPr>
            <w:fldChar w:fldCharType="separate"/>
          </w:r>
          <w:r>
            <w:rPr>
              <w:rFonts w:hint="eastAsia" w:ascii="黑体" w:hAnsi="黑体" w:eastAsia="黑体" w:cs="黑体"/>
              <w:szCs w:val="32"/>
              <w:lang w:val="en-US" w:eastAsia="zh-CN"/>
            </w:rPr>
            <w:t>四、附则</w:t>
          </w:r>
          <w:r>
            <w:tab/>
          </w:r>
          <w:r>
            <w:fldChar w:fldCharType="begin"/>
          </w:r>
          <w:r>
            <w:instrText xml:space="preserve"> PAGEREF _Toc8177 \h </w:instrText>
          </w:r>
          <w:r>
            <w:fldChar w:fldCharType="separate"/>
          </w:r>
          <w:r>
            <w:t>22</w:t>
          </w:r>
          <w:r>
            <w:fldChar w:fldCharType="end"/>
          </w:r>
          <w:r>
            <w:rPr>
              <w:color w:val="auto"/>
              <w:szCs w:val="22"/>
            </w:rPr>
            <w:fldChar w:fldCharType="end"/>
          </w:r>
        </w:p>
        <w:p w14:paraId="0C0FC24C">
          <w:pPr>
            <w:pStyle w:val="6"/>
            <w:tabs>
              <w:tab w:val="right" w:leader="dot" w:pos="8845"/>
            </w:tabs>
          </w:pPr>
          <w:r>
            <w:rPr>
              <w:color w:val="auto"/>
              <w:szCs w:val="22"/>
            </w:rPr>
            <w:fldChar w:fldCharType="begin"/>
          </w:r>
          <w:r>
            <w:rPr>
              <w:szCs w:val="22"/>
            </w:rPr>
            <w:instrText xml:space="preserve"> HYPERLINK \l _Toc4377 </w:instrText>
          </w:r>
          <w:r>
            <w:rPr>
              <w:szCs w:val="22"/>
            </w:rPr>
            <w:fldChar w:fldCharType="separate"/>
          </w:r>
          <w:r>
            <w:rPr>
              <w:rFonts w:hint="eastAsia" w:ascii="楷体_GB2312" w:hAnsi="楷体_GB2312" w:eastAsia="楷体_GB2312" w:cs="楷体_GB2312"/>
              <w:bCs/>
              <w:szCs w:val="32"/>
              <w:lang w:val="en-US" w:eastAsia="zh-CN"/>
            </w:rPr>
            <w:t>（一）社会责任</w:t>
          </w:r>
          <w:r>
            <w:tab/>
          </w:r>
          <w:r>
            <w:fldChar w:fldCharType="begin"/>
          </w:r>
          <w:r>
            <w:instrText xml:space="preserve"> PAGEREF _Toc4377 \h </w:instrText>
          </w:r>
          <w:r>
            <w:fldChar w:fldCharType="separate"/>
          </w:r>
          <w:r>
            <w:t>22</w:t>
          </w:r>
          <w:r>
            <w:fldChar w:fldCharType="end"/>
          </w:r>
          <w:r>
            <w:rPr>
              <w:color w:val="auto"/>
              <w:szCs w:val="22"/>
            </w:rPr>
            <w:fldChar w:fldCharType="end"/>
          </w:r>
        </w:p>
        <w:p w14:paraId="2FD5D115">
          <w:pPr>
            <w:pStyle w:val="6"/>
            <w:tabs>
              <w:tab w:val="right" w:leader="dot" w:pos="8845"/>
            </w:tabs>
          </w:pPr>
          <w:r>
            <w:rPr>
              <w:color w:val="auto"/>
              <w:szCs w:val="22"/>
            </w:rPr>
            <w:fldChar w:fldCharType="begin"/>
          </w:r>
          <w:r>
            <w:rPr>
              <w:szCs w:val="22"/>
            </w:rPr>
            <w:instrText xml:space="preserve"> HYPERLINK \l _Toc15267 </w:instrText>
          </w:r>
          <w:r>
            <w:rPr>
              <w:szCs w:val="22"/>
            </w:rPr>
            <w:fldChar w:fldCharType="separate"/>
          </w:r>
          <w:r>
            <w:rPr>
              <w:rFonts w:hint="eastAsia" w:ascii="楷体_GB2312" w:hAnsi="楷体_GB2312" w:eastAsia="楷体_GB2312" w:cs="楷体_GB2312"/>
              <w:bCs/>
              <w:szCs w:val="32"/>
              <w:lang w:val="en-US" w:eastAsia="zh-CN"/>
            </w:rPr>
            <w:t>（二）项目退出</w:t>
          </w:r>
          <w:r>
            <w:tab/>
          </w:r>
          <w:r>
            <w:fldChar w:fldCharType="begin"/>
          </w:r>
          <w:r>
            <w:instrText xml:space="preserve"> PAGEREF _Toc15267 \h </w:instrText>
          </w:r>
          <w:r>
            <w:fldChar w:fldCharType="separate"/>
          </w:r>
          <w:r>
            <w:t>23</w:t>
          </w:r>
          <w:r>
            <w:fldChar w:fldCharType="end"/>
          </w:r>
          <w:r>
            <w:rPr>
              <w:color w:val="auto"/>
              <w:szCs w:val="22"/>
            </w:rPr>
            <w:fldChar w:fldCharType="end"/>
          </w:r>
        </w:p>
        <w:p w14:paraId="199F2FA5">
          <w:pPr>
            <w:pStyle w:val="6"/>
            <w:tabs>
              <w:tab w:val="right" w:leader="dot" w:pos="8845"/>
            </w:tabs>
          </w:pPr>
          <w:r>
            <w:rPr>
              <w:color w:val="auto"/>
              <w:szCs w:val="22"/>
            </w:rPr>
            <w:fldChar w:fldCharType="begin"/>
          </w:r>
          <w:r>
            <w:rPr>
              <w:szCs w:val="22"/>
            </w:rPr>
            <w:instrText xml:space="preserve"> HYPERLINK \l _Toc24948 </w:instrText>
          </w:r>
          <w:r>
            <w:rPr>
              <w:szCs w:val="22"/>
            </w:rPr>
            <w:fldChar w:fldCharType="separate"/>
          </w:r>
          <w:r>
            <w:rPr>
              <w:rFonts w:hint="eastAsia" w:ascii="楷体_GB2312" w:hAnsi="楷体_GB2312" w:eastAsia="楷体_GB2312" w:cs="楷体_GB2312"/>
              <w:bCs/>
              <w:szCs w:val="32"/>
              <w:lang w:val="en-US" w:eastAsia="zh-CN"/>
            </w:rPr>
            <w:t>（三）其它</w:t>
          </w:r>
          <w:r>
            <w:tab/>
          </w:r>
          <w:r>
            <w:fldChar w:fldCharType="begin"/>
          </w:r>
          <w:r>
            <w:instrText xml:space="preserve"> PAGEREF _Toc24948 \h </w:instrText>
          </w:r>
          <w:r>
            <w:fldChar w:fldCharType="separate"/>
          </w:r>
          <w:r>
            <w:t>23</w:t>
          </w:r>
          <w:r>
            <w:fldChar w:fldCharType="end"/>
          </w:r>
          <w:r>
            <w:rPr>
              <w:color w:val="auto"/>
              <w:szCs w:val="22"/>
            </w:rPr>
            <w:fldChar w:fldCharType="end"/>
          </w:r>
        </w:p>
        <w:p w14:paraId="41150D65">
          <w:pPr>
            <w:pStyle w:val="5"/>
            <w:tabs>
              <w:tab w:val="right" w:leader="dot" w:pos="8845"/>
            </w:tabs>
          </w:pPr>
          <w:r>
            <w:rPr>
              <w:color w:val="auto"/>
              <w:szCs w:val="22"/>
            </w:rPr>
            <w:fldChar w:fldCharType="begin"/>
          </w:r>
          <w:r>
            <w:rPr>
              <w:szCs w:val="22"/>
            </w:rPr>
            <w:instrText xml:space="preserve"> HYPERLINK \l _Toc24939 </w:instrText>
          </w:r>
          <w:r>
            <w:rPr>
              <w:szCs w:val="22"/>
            </w:rPr>
            <w:fldChar w:fldCharType="separate"/>
          </w:r>
          <w:r>
            <w:rPr>
              <w:rFonts w:hint="eastAsia" w:ascii="黑体" w:hAnsi="黑体" w:eastAsia="黑体" w:cs="黑体"/>
              <w:kern w:val="0"/>
              <w:szCs w:val="32"/>
              <w:lang w:val="en-US" w:eastAsia="zh-CN"/>
            </w:rPr>
            <w:t>五、附注</w:t>
          </w:r>
          <w:r>
            <w:tab/>
          </w:r>
          <w:r>
            <w:fldChar w:fldCharType="begin"/>
          </w:r>
          <w:r>
            <w:instrText xml:space="preserve"> PAGEREF _Toc24939 \h </w:instrText>
          </w:r>
          <w:r>
            <w:fldChar w:fldCharType="separate"/>
          </w:r>
          <w:r>
            <w:t>25</w:t>
          </w:r>
          <w:r>
            <w:fldChar w:fldCharType="end"/>
          </w:r>
          <w:r>
            <w:rPr>
              <w:color w:val="auto"/>
              <w:szCs w:val="22"/>
            </w:rPr>
            <w:fldChar w:fldCharType="end"/>
          </w:r>
        </w:p>
        <w:p w14:paraId="5D970A85">
          <w:pPr>
            <w:rPr>
              <w:color w:val="auto"/>
            </w:rPr>
          </w:pPr>
          <w:r>
            <w:rPr>
              <w:color w:val="auto"/>
              <w:szCs w:val="22"/>
            </w:rPr>
            <w:fldChar w:fldCharType="end"/>
          </w:r>
        </w:p>
      </w:sdtContent>
    </w:sdt>
    <w:p w14:paraId="4CC4C529">
      <w:pPr>
        <w:rPr>
          <w:color w:val="auto"/>
        </w:rPr>
      </w:pPr>
    </w:p>
    <w:p w14:paraId="5E712A9B">
      <w:pPr>
        <w:bidi w:val="0"/>
        <w:jc w:val="center"/>
        <w:rPr>
          <w:rFonts w:hint="eastAsia" w:ascii="方正小标宋简体" w:hAnsi="方正小标宋简体" w:eastAsia="方正小标宋简体" w:cs="方正小标宋简体"/>
          <w:color w:val="auto"/>
          <w:sz w:val="36"/>
          <w:szCs w:val="36"/>
        </w:rPr>
        <w:sectPr>
          <w:pgSz w:w="11906" w:h="16838"/>
          <w:pgMar w:top="2098" w:right="1474" w:bottom="2098" w:left="1587" w:header="851" w:footer="992" w:gutter="0"/>
          <w:pgNumType w:fmt="decimal" w:start="1"/>
          <w:cols w:space="425" w:num="1"/>
          <w:docGrid w:type="lines" w:linePitch="312" w:charSpace="0"/>
        </w:sectPr>
      </w:pPr>
    </w:p>
    <w:p w14:paraId="43ED58F7">
      <w:pPr>
        <w:bidi w:val="0"/>
        <w:jc w:val="center"/>
        <w:rPr>
          <w:rFonts w:hint="eastAsia" w:ascii="方正小标宋_GBK" w:hAnsi="方正小标宋_GBK" w:eastAsia="方正小标宋_GBK" w:cs="方正小标宋_GBK"/>
          <w:color w:val="auto"/>
          <w:sz w:val="36"/>
          <w:szCs w:val="36"/>
          <w:lang w:val="en-US" w:eastAsia="zh-CN"/>
        </w:rPr>
      </w:pPr>
      <w:r>
        <w:rPr>
          <w:rFonts w:hint="eastAsia" w:ascii="方正小标宋_GBK" w:hAnsi="方正小标宋_GBK" w:eastAsia="方正小标宋_GBK" w:cs="方正小标宋_GBK"/>
          <w:color w:val="auto"/>
          <w:sz w:val="36"/>
          <w:szCs w:val="36"/>
        </w:rPr>
        <w:t>上虞区</w:t>
      </w:r>
      <w:r>
        <w:rPr>
          <w:rFonts w:hint="eastAsia" w:ascii="方正小标宋_GBK" w:hAnsi="方正小标宋_GBK" w:eastAsia="方正小标宋_GBK" w:cs="方正小标宋_GBK"/>
          <w:color w:val="auto"/>
          <w:sz w:val="36"/>
          <w:szCs w:val="36"/>
          <w:lang w:val="en-US" w:eastAsia="zh-CN"/>
        </w:rPr>
        <w:t>绿色</w:t>
      </w:r>
      <w:r>
        <w:rPr>
          <w:rFonts w:hint="eastAsia" w:ascii="方正小标宋_GBK" w:hAnsi="方正小标宋_GBK" w:eastAsia="方正小标宋_GBK" w:cs="方正小标宋_GBK"/>
          <w:color w:val="auto"/>
          <w:sz w:val="36"/>
          <w:szCs w:val="36"/>
        </w:rPr>
        <w:t>化工产业</w:t>
      </w:r>
      <w:r>
        <w:rPr>
          <w:rFonts w:hint="eastAsia" w:ascii="方正小标宋_GBK" w:hAnsi="方正小标宋_GBK" w:eastAsia="方正小标宋_GBK" w:cs="方正小标宋_GBK"/>
          <w:color w:val="auto"/>
          <w:sz w:val="36"/>
          <w:szCs w:val="36"/>
          <w:lang w:val="en-US" w:eastAsia="zh-CN"/>
        </w:rPr>
        <w:t>高质量发展</w:t>
      </w:r>
      <w:bookmarkStart w:id="0" w:name="OLE_LINK1"/>
      <w:r>
        <w:rPr>
          <w:rFonts w:hint="eastAsia" w:ascii="方正小标宋_GBK" w:hAnsi="方正小标宋_GBK" w:eastAsia="方正小标宋_GBK" w:cs="方正小标宋_GBK"/>
          <w:color w:val="auto"/>
          <w:sz w:val="36"/>
          <w:szCs w:val="36"/>
          <w:lang w:val="en-US" w:eastAsia="zh-CN"/>
        </w:rPr>
        <w:t>规范</w:t>
      </w:r>
      <w:bookmarkEnd w:id="0"/>
      <w:r>
        <w:rPr>
          <w:rFonts w:hint="eastAsia" w:ascii="方正小标宋_GBK" w:hAnsi="方正小标宋_GBK" w:eastAsia="方正小标宋_GBK" w:cs="方正小标宋_GBK"/>
          <w:color w:val="auto"/>
          <w:sz w:val="36"/>
          <w:szCs w:val="36"/>
          <w:lang w:val="en-US" w:eastAsia="zh-CN"/>
        </w:rPr>
        <w:t>2025</w:t>
      </w:r>
    </w:p>
    <w:p w14:paraId="00F32E74">
      <w:pPr>
        <w:spacing w:line="560" w:lineRule="exact"/>
        <w:ind w:firstLine="640" w:firstLineChars="200"/>
        <w:jc w:val="cente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（建议稿）</w:t>
      </w:r>
    </w:p>
    <w:p w14:paraId="254C7BEC">
      <w:pPr>
        <w:rPr>
          <w:rFonts w:hint="eastAsia" w:ascii="仿宋" w:hAnsi="仿宋" w:eastAsia="仿宋" w:cs="仿宋"/>
          <w:color w:val="auto"/>
          <w:kern w:val="2"/>
          <w:sz w:val="32"/>
          <w:szCs w:val="32"/>
          <w:lang w:val="en-US" w:eastAsia="zh-CN" w:bidi="ar-SA"/>
        </w:rPr>
      </w:pPr>
    </w:p>
    <w:p w14:paraId="604FB778">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为提振激发化工产业的青春活力，迭代推进绿色化工产业高质量发展，对标新型工业化，发展新质生产力，致力打造全国绿色化工园区的上虞样板，依据国家、省、市相关法律法规和政策要求，结合我区实际，特制定本标准。</w:t>
      </w:r>
    </w:p>
    <w:p w14:paraId="2CA09CC8">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640" w:firstLineChars="200"/>
        <w:textAlignment w:val="auto"/>
        <w:outlineLvl w:val="0"/>
        <w:rPr>
          <w:rFonts w:hint="eastAsia" w:ascii="仿宋" w:hAnsi="仿宋" w:eastAsia="仿宋" w:cs="仿宋"/>
          <w:color w:val="auto"/>
          <w:sz w:val="32"/>
          <w:szCs w:val="32"/>
          <w:highlight w:val="none"/>
          <w:lang w:val="en-US" w:eastAsia="zh-CN"/>
        </w:rPr>
      </w:pPr>
      <w:bookmarkStart w:id="1" w:name="_Toc22683"/>
      <w:bookmarkStart w:id="2" w:name="_Toc2089"/>
      <w:bookmarkStart w:id="3" w:name="_Toc7180"/>
      <w:bookmarkStart w:id="4" w:name="_Toc16883"/>
      <w:bookmarkStart w:id="5" w:name="_Toc10587"/>
      <w:bookmarkStart w:id="6" w:name="_Toc4566"/>
      <w:bookmarkStart w:id="7" w:name="_Toc4266"/>
      <w:bookmarkStart w:id="8" w:name="_Toc24508"/>
      <w:bookmarkStart w:id="9" w:name="_Toc14492"/>
      <w:bookmarkStart w:id="10" w:name="_Toc21682"/>
      <w:r>
        <w:rPr>
          <w:rFonts w:hint="eastAsia" w:ascii="仿宋" w:hAnsi="仿宋" w:eastAsia="仿宋" w:cs="仿宋"/>
          <w:color w:val="auto"/>
          <w:kern w:val="2"/>
          <w:sz w:val="32"/>
          <w:szCs w:val="32"/>
          <w:lang w:val="en-US" w:eastAsia="zh-CN" w:bidi="ar-SA"/>
        </w:rPr>
        <w:t>一、项目准入与建设</w:t>
      </w:r>
      <w:bookmarkEnd w:id="1"/>
      <w:bookmarkEnd w:id="2"/>
      <w:bookmarkEnd w:id="3"/>
      <w:bookmarkEnd w:id="4"/>
      <w:bookmarkEnd w:id="5"/>
      <w:bookmarkEnd w:id="6"/>
      <w:bookmarkEnd w:id="7"/>
      <w:bookmarkEnd w:id="8"/>
      <w:bookmarkEnd w:id="9"/>
      <w:bookmarkEnd w:id="10"/>
    </w:p>
    <w:p w14:paraId="5DEB28A1">
      <w:pPr>
        <w:pStyle w:val="9"/>
        <w:keepNext w:val="0"/>
        <w:keepLines w:val="0"/>
        <w:pageBreakBefore w:val="0"/>
        <w:numPr>
          <w:ilvl w:val="-1"/>
          <w:numId w:val="0"/>
        </w:numPr>
        <w:kinsoku/>
        <w:wordWrap/>
        <w:overflowPunct/>
        <w:topLinePunct w:val="0"/>
        <w:autoSpaceDE/>
        <w:autoSpaceDN/>
        <w:bidi w:val="0"/>
        <w:adjustRightInd/>
        <w:snapToGrid/>
        <w:spacing w:line="520" w:lineRule="exact"/>
        <w:ind w:firstLine="643" w:firstLineChars="200"/>
        <w:textAlignment w:val="auto"/>
        <w:outlineLvl w:val="1"/>
        <w:rPr>
          <w:rFonts w:hint="eastAsia" w:ascii="仿宋" w:hAnsi="仿宋" w:eastAsia="仿宋" w:cs="仿宋"/>
          <w:b/>
          <w:bCs/>
          <w:color w:val="auto"/>
          <w:sz w:val="32"/>
          <w:szCs w:val="32"/>
          <w:lang w:val="en-US" w:eastAsia="zh-CN"/>
        </w:rPr>
      </w:pPr>
      <w:bookmarkStart w:id="11" w:name="_Toc15494"/>
      <w:bookmarkStart w:id="12" w:name="_Toc14487"/>
      <w:bookmarkStart w:id="13" w:name="_Toc2989"/>
      <w:bookmarkStart w:id="14" w:name="_Toc22298"/>
      <w:bookmarkStart w:id="15" w:name="_Toc21899"/>
      <w:bookmarkStart w:id="16" w:name="_Toc8451"/>
      <w:bookmarkStart w:id="17" w:name="_Toc18332"/>
      <w:bookmarkStart w:id="18" w:name="_Toc19914"/>
      <w:r>
        <w:rPr>
          <w:rFonts w:hint="eastAsia" w:ascii="仿宋" w:hAnsi="仿宋" w:eastAsia="仿宋" w:cs="仿宋"/>
          <w:b/>
          <w:bCs/>
          <w:color w:val="auto"/>
          <w:sz w:val="32"/>
          <w:szCs w:val="32"/>
          <w:lang w:val="en-US" w:eastAsia="zh-CN"/>
        </w:rPr>
        <w:t>（一）入园标准</w:t>
      </w:r>
      <w:bookmarkEnd w:id="11"/>
      <w:bookmarkEnd w:id="12"/>
      <w:bookmarkEnd w:id="13"/>
      <w:bookmarkEnd w:id="14"/>
      <w:bookmarkEnd w:id="15"/>
      <w:bookmarkEnd w:id="16"/>
      <w:bookmarkEnd w:id="17"/>
      <w:bookmarkEnd w:id="18"/>
    </w:p>
    <w:p w14:paraId="59BB9AEB">
      <w:pPr>
        <w:pStyle w:val="9"/>
        <w:keepNext w:val="0"/>
        <w:keepLines w:val="0"/>
        <w:pageBreakBefore w:val="0"/>
        <w:numPr>
          <w:ilvl w:val="-1"/>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rPr>
        <w:t>1.企业</w:t>
      </w:r>
      <w:r>
        <w:rPr>
          <w:rFonts w:hint="eastAsia" w:ascii="仿宋" w:hAnsi="仿宋" w:eastAsia="仿宋" w:cs="仿宋"/>
          <w:color w:val="auto"/>
          <w:kern w:val="2"/>
          <w:sz w:val="32"/>
          <w:szCs w:val="32"/>
        </w:rPr>
        <w:t>应</w:t>
      </w:r>
      <w:r>
        <w:rPr>
          <w:rFonts w:hint="eastAsia" w:ascii="仿宋" w:hAnsi="仿宋" w:eastAsia="仿宋" w:cs="仿宋"/>
          <w:color w:val="auto"/>
          <w:kern w:val="2"/>
          <w:sz w:val="32"/>
          <w:szCs w:val="32"/>
          <w:lang w:val="en-US" w:eastAsia="zh-CN"/>
        </w:rPr>
        <w:t>符合</w:t>
      </w:r>
      <w:r>
        <w:rPr>
          <w:rFonts w:hint="eastAsia" w:ascii="仿宋" w:hAnsi="仿宋" w:eastAsia="仿宋" w:cs="仿宋"/>
          <w:color w:val="auto"/>
          <w:kern w:val="2"/>
          <w:sz w:val="32"/>
          <w:szCs w:val="32"/>
        </w:rPr>
        <w:t>产业政策、国际环境公约要求和行业规范（准入）要求，</w:t>
      </w:r>
      <w:r>
        <w:rPr>
          <w:rFonts w:hint="eastAsia" w:ascii="仿宋" w:hAnsi="仿宋" w:eastAsia="仿宋" w:cs="仿宋"/>
          <w:color w:val="auto"/>
          <w:kern w:val="2"/>
          <w:sz w:val="32"/>
          <w:szCs w:val="32"/>
          <w:lang w:val="en-US" w:eastAsia="zh-CN"/>
        </w:rPr>
        <w:t>符合上虞区</w:t>
      </w:r>
      <w:r>
        <w:rPr>
          <w:rFonts w:hint="eastAsia" w:ascii="仿宋" w:hAnsi="仿宋" w:eastAsia="仿宋" w:cs="仿宋"/>
          <w:color w:val="auto"/>
          <w:kern w:val="2"/>
          <w:sz w:val="32"/>
          <w:szCs w:val="32"/>
        </w:rPr>
        <w:t>总体规划、产业规划、相关专项规划、产业发展指引和“禁限控”目录等</w:t>
      </w:r>
      <w:r>
        <w:rPr>
          <w:rFonts w:hint="eastAsia" w:ascii="仿宋" w:hAnsi="仿宋" w:eastAsia="仿宋" w:cs="仿宋"/>
          <w:color w:val="auto"/>
          <w:kern w:val="2"/>
          <w:sz w:val="32"/>
          <w:szCs w:val="32"/>
          <w:lang w:val="en-US" w:eastAsia="zh-CN"/>
        </w:rPr>
        <w:t>要求</w:t>
      </w:r>
      <w:r>
        <w:rPr>
          <w:rFonts w:hint="eastAsia" w:ascii="仿宋" w:hAnsi="仿宋" w:eastAsia="仿宋" w:cs="仿宋"/>
          <w:color w:val="auto"/>
          <w:kern w:val="2"/>
          <w:sz w:val="32"/>
          <w:szCs w:val="32"/>
        </w:rPr>
        <w:t>。</w:t>
      </w:r>
    </w:p>
    <w:p w14:paraId="440E7D21">
      <w:pPr>
        <w:pStyle w:val="9"/>
        <w:keepNext w:val="0"/>
        <w:keepLines w:val="0"/>
        <w:pageBreakBefore w:val="0"/>
        <w:numPr>
          <w:ilvl w:val="-1"/>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rPr>
        <w:t>2.</w:t>
      </w:r>
      <w:r>
        <w:rPr>
          <w:rFonts w:hint="eastAsia" w:ascii="仿宋" w:hAnsi="仿宋" w:eastAsia="仿宋" w:cs="仿宋"/>
          <w:color w:val="auto"/>
          <w:kern w:val="2"/>
          <w:sz w:val="32"/>
          <w:szCs w:val="32"/>
        </w:rPr>
        <w:t>项目工艺总体水平应达到国内先进水平，宜达到国际先进水平，宜采用清洁生产工艺。国内首次使用的化工工艺应通过省级以上安全可靠性论证。精细化工项目应按规定进行反应安全风险评估，并确定反应工艺危险度等级。</w:t>
      </w:r>
    </w:p>
    <w:p w14:paraId="1DE63E91">
      <w:pPr>
        <w:pStyle w:val="9"/>
        <w:keepNext w:val="0"/>
        <w:keepLines w:val="0"/>
        <w:pageBreakBefore w:val="0"/>
        <w:numPr>
          <w:ilvl w:val="-1"/>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kern w:val="2"/>
          <w:sz w:val="32"/>
          <w:szCs w:val="32"/>
          <w:lang w:val="en-US" w:eastAsia="zh-CN"/>
        </w:rPr>
      </w:pPr>
      <w:r>
        <w:rPr>
          <w:rFonts w:hint="eastAsia" w:ascii="仿宋" w:hAnsi="仿宋" w:eastAsia="仿宋" w:cs="仿宋"/>
          <w:color w:val="auto"/>
          <w:kern w:val="2"/>
          <w:sz w:val="32"/>
          <w:szCs w:val="32"/>
          <w:lang w:val="en-US" w:eastAsia="zh-CN"/>
        </w:rPr>
        <w:t>3.</w:t>
      </w:r>
      <w:r>
        <w:rPr>
          <w:rFonts w:hint="eastAsia" w:ascii="仿宋" w:hAnsi="仿宋" w:eastAsia="仿宋" w:cs="仿宋"/>
          <w:color w:val="auto"/>
          <w:kern w:val="2"/>
          <w:sz w:val="32"/>
          <w:szCs w:val="32"/>
        </w:rPr>
        <w:t>项目应符合</w:t>
      </w:r>
      <w:r>
        <w:rPr>
          <w:rFonts w:hint="eastAsia" w:ascii="仿宋" w:hAnsi="仿宋" w:eastAsia="仿宋" w:cs="仿宋"/>
          <w:color w:val="auto"/>
          <w:kern w:val="2"/>
          <w:sz w:val="32"/>
          <w:szCs w:val="32"/>
          <w:lang w:val="en-US" w:eastAsia="zh-CN"/>
        </w:rPr>
        <w:t>上虞区</w:t>
      </w:r>
      <w:r>
        <w:rPr>
          <w:rFonts w:hint="eastAsia" w:ascii="仿宋" w:hAnsi="仿宋" w:eastAsia="仿宋" w:cs="仿宋"/>
          <w:color w:val="auto"/>
          <w:kern w:val="2"/>
          <w:sz w:val="32"/>
          <w:szCs w:val="32"/>
        </w:rPr>
        <w:t>发布的单位产品能源消耗限额限定标准，采用节能设备和工艺</w:t>
      </w:r>
      <w:r>
        <w:rPr>
          <w:rFonts w:hint="eastAsia" w:ascii="仿宋" w:hAnsi="仿宋" w:eastAsia="仿宋" w:cs="仿宋"/>
          <w:color w:val="auto"/>
          <w:kern w:val="2"/>
          <w:sz w:val="32"/>
          <w:szCs w:val="32"/>
          <w:lang w:eastAsia="zh-CN"/>
        </w:rPr>
        <w:t>。万元工业增加值能耗高于0.45吨标准煤/万元的项目介入区域能评负面清单</w:t>
      </w:r>
      <w:r>
        <w:rPr>
          <w:rFonts w:hint="eastAsia" w:ascii="仿宋" w:hAnsi="仿宋" w:eastAsia="仿宋" w:cs="仿宋"/>
          <w:color w:val="auto"/>
          <w:kern w:val="2"/>
          <w:sz w:val="32"/>
          <w:szCs w:val="32"/>
        </w:rPr>
        <w:t>。</w:t>
      </w:r>
    </w:p>
    <w:p w14:paraId="0E542BC6">
      <w:pPr>
        <w:pStyle w:val="9"/>
        <w:keepNext w:val="0"/>
        <w:keepLines w:val="0"/>
        <w:pageBreakBefore w:val="0"/>
        <w:numPr>
          <w:ilvl w:val="-1"/>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kern w:val="2"/>
          <w:sz w:val="32"/>
          <w:szCs w:val="32"/>
          <w:lang w:val="en-US" w:eastAsia="zh-CN"/>
        </w:rPr>
      </w:pPr>
      <w:r>
        <w:rPr>
          <w:rFonts w:hint="eastAsia" w:ascii="仿宋" w:hAnsi="仿宋" w:eastAsia="仿宋" w:cs="仿宋"/>
          <w:color w:val="auto"/>
          <w:kern w:val="2"/>
          <w:sz w:val="32"/>
          <w:szCs w:val="32"/>
          <w:lang w:val="en-US" w:eastAsia="zh-CN"/>
        </w:rPr>
        <w:t>4.</w:t>
      </w:r>
      <w:r>
        <w:rPr>
          <w:rFonts w:hint="eastAsia" w:ascii="仿宋" w:hAnsi="仿宋" w:eastAsia="仿宋" w:cs="仿宋"/>
          <w:color w:val="auto"/>
          <w:kern w:val="2"/>
          <w:sz w:val="32"/>
          <w:szCs w:val="32"/>
        </w:rPr>
        <w:t>项目应符合工业项目建设用地控制指标的要求</w:t>
      </w:r>
      <w:r>
        <w:rPr>
          <w:rFonts w:hint="eastAsia" w:ascii="仿宋" w:hAnsi="仿宋" w:eastAsia="仿宋" w:cs="仿宋"/>
          <w:color w:val="auto"/>
          <w:kern w:val="2"/>
          <w:sz w:val="32"/>
          <w:szCs w:val="32"/>
          <w:lang w:eastAsia="zh-CN"/>
        </w:rPr>
        <w:t>，</w:t>
      </w:r>
      <w:r>
        <w:rPr>
          <w:rFonts w:hint="eastAsia" w:ascii="仿宋" w:hAnsi="仿宋" w:eastAsia="仿宋" w:cs="仿宋"/>
          <w:color w:val="auto"/>
          <w:kern w:val="2"/>
          <w:sz w:val="32"/>
          <w:szCs w:val="32"/>
        </w:rPr>
        <w:t>满足化工园区项目</w:t>
      </w:r>
      <w:r>
        <w:rPr>
          <w:rFonts w:hint="eastAsia" w:ascii="仿宋" w:hAnsi="仿宋" w:eastAsia="仿宋" w:cs="仿宋"/>
          <w:color w:val="auto"/>
          <w:kern w:val="2"/>
          <w:sz w:val="32"/>
          <w:szCs w:val="32"/>
          <w:lang w:val="en-US" w:eastAsia="zh-CN"/>
        </w:rPr>
        <w:t>固定资产投资强度（项目用地范围内单位土地面积上的固定资产投资额）要求。</w:t>
      </w:r>
    </w:p>
    <w:p w14:paraId="3EE2004B">
      <w:pPr>
        <w:pStyle w:val="9"/>
        <w:keepNext w:val="0"/>
        <w:keepLines w:val="0"/>
        <w:pageBreakBefore w:val="0"/>
        <w:numPr>
          <w:ilvl w:val="-1"/>
          <w:numId w:val="0"/>
        </w:numPr>
        <w:kinsoku/>
        <w:wordWrap/>
        <w:overflowPunct/>
        <w:topLinePunct w:val="0"/>
        <w:autoSpaceDE/>
        <w:autoSpaceDN/>
        <w:bidi w:val="0"/>
        <w:adjustRightInd/>
        <w:snapToGrid/>
        <w:spacing w:line="520" w:lineRule="exact"/>
        <w:ind w:firstLine="643" w:firstLineChars="200"/>
        <w:textAlignment w:val="auto"/>
        <w:outlineLvl w:val="1"/>
        <w:rPr>
          <w:rFonts w:hint="eastAsia" w:ascii="仿宋" w:hAnsi="仿宋" w:eastAsia="仿宋" w:cs="仿宋"/>
          <w:b/>
          <w:bCs/>
          <w:color w:val="auto"/>
          <w:sz w:val="32"/>
          <w:szCs w:val="32"/>
          <w:lang w:val="en-US" w:eastAsia="zh-CN"/>
        </w:rPr>
      </w:pPr>
      <w:bookmarkStart w:id="19" w:name="_Toc30750"/>
      <w:bookmarkStart w:id="20" w:name="_Toc22215"/>
      <w:bookmarkStart w:id="21" w:name="_Toc6508"/>
      <w:bookmarkStart w:id="22" w:name="_Toc6256"/>
      <w:bookmarkStart w:id="23" w:name="_Toc30800"/>
      <w:bookmarkStart w:id="24" w:name="_Toc14498"/>
      <w:bookmarkStart w:id="25" w:name="_Toc405"/>
      <w:bookmarkStart w:id="26" w:name="_Toc26538"/>
      <w:r>
        <w:rPr>
          <w:rFonts w:hint="eastAsia" w:ascii="仿宋" w:hAnsi="仿宋" w:eastAsia="仿宋" w:cs="仿宋"/>
          <w:b/>
          <w:bCs/>
          <w:color w:val="auto"/>
          <w:sz w:val="32"/>
          <w:szCs w:val="32"/>
          <w:lang w:val="en-US" w:eastAsia="zh-CN"/>
        </w:rPr>
        <w:t>（二）厂房</w:t>
      </w:r>
      <w:bookmarkEnd w:id="19"/>
      <w:bookmarkEnd w:id="20"/>
      <w:bookmarkEnd w:id="21"/>
      <w:bookmarkEnd w:id="22"/>
      <w:r>
        <w:rPr>
          <w:rFonts w:hint="eastAsia" w:ascii="仿宋" w:hAnsi="仿宋" w:eastAsia="仿宋" w:cs="仿宋"/>
          <w:b/>
          <w:bCs/>
          <w:color w:val="auto"/>
          <w:sz w:val="32"/>
          <w:szCs w:val="32"/>
          <w:lang w:val="en-US" w:eastAsia="zh-CN"/>
        </w:rPr>
        <w:t>设计和布局</w:t>
      </w:r>
      <w:bookmarkEnd w:id="23"/>
      <w:bookmarkEnd w:id="24"/>
      <w:bookmarkEnd w:id="25"/>
      <w:bookmarkEnd w:id="26"/>
    </w:p>
    <w:p w14:paraId="4F889D6F">
      <w:pPr>
        <w:pStyle w:val="9"/>
        <w:keepNext w:val="0"/>
        <w:keepLines w:val="0"/>
        <w:pageBreakBefore w:val="0"/>
        <w:numPr>
          <w:ilvl w:val="-1"/>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kern w:val="2"/>
          <w:sz w:val="32"/>
          <w:szCs w:val="32"/>
          <w:lang w:val="en-US" w:eastAsia="zh-CN"/>
        </w:rPr>
      </w:pPr>
      <w:r>
        <w:rPr>
          <w:rFonts w:hint="eastAsia" w:ascii="仿宋" w:hAnsi="仿宋" w:eastAsia="仿宋" w:cs="仿宋"/>
          <w:color w:val="auto"/>
          <w:kern w:val="2"/>
          <w:sz w:val="32"/>
          <w:szCs w:val="32"/>
          <w:lang w:val="en-US" w:eastAsia="zh-CN"/>
        </w:rPr>
        <w:t>5.建筑节能设计应采取改善建筑围栏结构保温、隔热性能提高采暖、通风和空调调节设备等措施，让建筑在使用过程中减少能源的消耗。节能设计参照《公共建筑节能设计标准》（GB 50189）。</w:t>
      </w:r>
    </w:p>
    <w:p w14:paraId="0CCBFD8F">
      <w:pPr>
        <w:pStyle w:val="9"/>
        <w:keepNext w:val="0"/>
        <w:keepLines w:val="0"/>
        <w:pageBreakBefore w:val="0"/>
        <w:numPr>
          <w:ilvl w:val="-1"/>
          <w:numId w:val="0"/>
        </w:numPr>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 w:hAnsi="仿宋" w:eastAsia="仿宋" w:cs="仿宋"/>
          <w:color w:val="auto"/>
          <w:sz w:val="32"/>
          <w:szCs w:val="32"/>
          <w:lang w:val="en-US" w:eastAsia="zh-CN"/>
        </w:rPr>
      </w:pPr>
      <w:bookmarkStart w:id="27" w:name="_Toc10322"/>
      <w:bookmarkStart w:id="28" w:name="_Toc2138"/>
      <w:bookmarkStart w:id="29" w:name="_Toc18025"/>
      <w:bookmarkStart w:id="30" w:name="_Toc21126"/>
      <w:bookmarkStart w:id="31" w:name="_Toc17299"/>
      <w:bookmarkStart w:id="32" w:name="_Toc28492"/>
      <w:bookmarkStart w:id="33" w:name="_Toc0"/>
      <w:r>
        <w:rPr>
          <w:rFonts w:hint="eastAsia" w:ascii="仿宋" w:hAnsi="仿宋" w:eastAsia="仿宋" w:cs="仿宋"/>
          <w:color w:val="auto"/>
          <w:sz w:val="32"/>
          <w:szCs w:val="32"/>
          <w:lang w:val="en-US" w:eastAsia="zh-CN"/>
        </w:rPr>
        <w:t>6.实验室（化验室）应纳入企业安全评价范围；实验室（化验室）涉及危险化学品操作的活动可参照《化学化工实验室化学品安全操作规程编写指南》（T/CCSAS050—2024）建立化学品安全操作规程。</w:t>
      </w:r>
    </w:p>
    <w:p w14:paraId="01B8BD4E">
      <w:pPr>
        <w:pStyle w:val="9"/>
        <w:keepNext w:val="0"/>
        <w:keepLines w:val="0"/>
        <w:pageBreakBefore w:val="0"/>
        <w:numPr>
          <w:ilvl w:val="-1"/>
          <w:numId w:val="0"/>
        </w:numPr>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7.脱硫脱硝、煤改气、挥发性有机物回收和危废仓库、污水罐（池）、焚烧炉、有毒物料尾气处理装置等环保项目、设施的安全设施必须经过正规安全设计或设计诊断，同时纳入安全评价；丙烯醛等低沸点有毒液体容器应设置安全泄放装置，安全泄放设施出口管道应接至环保处理设施。</w:t>
      </w:r>
    </w:p>
    <w:p w14:paraId="1D2D8A0C">
      <w:pPr>
        <w:pStyle w:val="9"/>
        <w:keepNext w:val="0"/>
        <w:keepLines w:val="0"/>
        <w:pageBreakBefore w:val="0"/>
        <w:numPr>
          <w:ilvl w:val="-1"/>
          <w:numId w:val="0"/>
        </w:numPr>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8.建立桶装化学品管理制度和台账，桶装化学品应制定安全技术说明书，每个桶上粘贴或者拴挂与盛装化学品相符的安全标签，严禁露天堆放危险化学品（经正规设计和评价的除外），严禁使用塑料材质容器盛装易燃液体，严禁使用未经验收合格或停用的车间、仓库储存危险化学品。</w:t>
      </w:r>
    </w:p>
    <w:p w14:paraId="68E20FAD">
      <w:pPr>
        <w:pStyle w:val="9"/>
        <w:keepNext w:val="0"/>
        <w:keepLines w:val="0"/>
        <w:pageBreakBefore w:val="0"/>
        <w:numPr>
          <w:ilvl w:val="-1"/>
          <w:numId w:val="0"/>
        </w:numPr>
        <w:kinsoku/>
        <w:wordWrap/>
        <w:overflowPunct/>
        <w:topLinePunct w:val="0"/>
        <w:autoSpaceDE/>
        <w:autoSpaceDN/>
        <w:bidi w:val="0"/>
        <w:adjustRightInd/>
        <w:snapToGrid/>
        <w:spacing w:line="520" w:lineRule="exact"/>
        <w:ind w:firstLine="640" w:firstLineChars="200"/>
        <w:textAlignment w:val="auto"/>
        <w:outlineLvl w:val="0"/>
        <w:rPr>
          <w:rFonts w:hint="eastAsia" w:ascii="仿宋" w:hAnsi="仿宋" w:eastAsia="仿宋" w:cs="仿宋"/>
          <w:color w:val="auto"/>
          <w:sz w:val="32"/>
          <w:szCs w:val="32"/>
          <w:lang w:val="en-US" w:eastAsia="zh-CN"/>
        </w:rPr>
      </w:pPr>
      <w:bookmarkStart w:id="34" w:name="_Toc844"/>
      <w:bookmarkStart w:id="35" w:name="_Toc10251"/>
      <w:bookmarkStart w:id="36" w:name="_Toc7136"/>
      <w:r>
        <w:rPr>
          <w:rFonts w:hint="eastAsia" w:ascii="仿宋" w:hAnsi="仿宋" w:eastAsia="仿宋" w:cs="仿宋"/>
          <w:color w:val="auto"/>
          <w:sz w:val="32"/>
          <w:szCs w:val="32"/>
          <w:lang w:val="en-US" w:eastAsia="zh-CN"/>
        </w:rPr>
        <w:t>二、生产经营与管理</w:t>
      </w:r>
      <w:bookmarkEnd w:id="27"/>
      <w:bookmarkEnd w:id="28"/>
      <w:bookmarkEnd w:id="29"/>
      <w:bookmarkEnd w:id="30"/>
      <w:bookmarkEnd w:id="31"/>
      <w:bookmarkEnd w:id="32"/>
      <w:bookmarkEnd w:id="33"/>
      <w:bookmarkEnd w:id="34"/>
      <w:bookmarkEnd w:id="35"/>
      <w:bookmarkEnd w:id="36"/>
    </w:p>
    <w:p w14:paraId="369016E6">
      <w:pPr>
        <w:pStyle w:val="9"/>
        <w:keepNext w:val="0"/>
        <w:keepLines w:val="0"/>
        <w:pageBreakBefore w:val="0"/>
        <w:numPr>
          <w:ilvl w:val="-1"/>
          <w:numId w:val="0"/>
        </w:numPr>
        <w:kinsoku/>
        <w:wordWrap/>
        <w:overflowPunct/>
        <w:topLinePunct w:val="0"/>
        <w:autoSpaceDE/>
        <w:autoSpaceDN/>
        <w:bidi w:val="0"/>
        <w:adjustRightInd/>
        <w:snapToGrid/>
        <w:spacing w:line="520" w:lineRule="exact"/>
        <w:ind w:firstLine="643" w:firstLineChars="200"/>
        <w:textAlignment w:val="auto"/>
        <w:outlineLvl w:val="1"/>
        <w:rPr>
          <w:rFonts w:hint="eastAsia" w:ascii="仿宋" w:hAnsi="仿宋" w:eastAsia="仿宋" w:cs="仿宋"/>
          <w:b/>
          <w:bCs/>
          <w:color w:val="auto"/>
          <w:sz w:val="32"/>
          <w:szCs w:val="32"/>
          <w:lang w:val="en-US" w:eastAsia="zh-CN"/>
        </w:rPr>
      </w:pPr>
      <w:bookmarkStart w:id="37" w:name="_Toc17347"/>
      <w:bookmarkStart w:id="38" w:name="_Toc8683"/>
      <w:bookmarkStart w:id="39" w:name="_Toc17193"/>
      <w:bookmarkStart w:id="40" w:name="_Toc6772"/>
      <w:bookmarkStart w:id="41" w:name="_Toc10356"/>
      <w:bookmarkStart w:id="42" w:name="_Toc22488"/>
      <w:bookmarkStart w:id="43" w:name="_Toc23449"/>
      <w:bookmarkStart w:id="44" w:name="_Toc15880"/>
      <w:bookmarkStart w:id="45" w:name="_Toc869"/>
      <w:bookmarkStart w:id="46" w:name="_Toc7459"/>
      <w:r>
        <w:rPr>
          <w:rFonts w:hint="eastAsia" w:ascii="仿宋" w:hAnsi="仿宋" w:eastAsia="仿宋" w:cs="仿宋"/>
          <w:b/>
          <w:bCs/>
          <w:color w:val="auto"/>
          <w:sz w:val="32"/>
          <w:szCs w:val="32"/>
          <w:lang w:val="en-US" w:eastAsia="zh-CN"/>
        </w:rPr>
        <w:t>（一）夯实安全生产</w:t>
      </w:r>
      <w:bookmarkEnd w:id="37"/>
      <w:bookmarkEnd w:id="38"/>
      <w:bookmarkEnd w:id="39"/>
      <w:bookmarkEnd w:id="40"/>
      <w:r>
        <w:rPr>
          <w:rFonts w:hint="eastAsia" w:ascii="仿宋" w:hAnsi="仿宋" w:eastAsia="仿宋" w:cs="仿宋"/>
          <w:b/>
          <w:bCs/>
          <w:color w:val="auto"/>
          <w:sz w:val="32"/>
          <w:szCs w:val="32"/>
          <w:lang w:val="en-US" w:eastAsia="zh-CN"/>
        </w:rPr>
        <w:t>根基</w:t>
      </w:r>
      <w:bookmarkEnd w:id="41"/>
      <w:bookmarkEnd w:id="42"/>
      <w:bookmarkEnd w:id="43"/>
      <w:bookmarkEnd w:id="44"/>
    </w:p>
    <w:bookmarkEnd w:id="45"/>
    <w:bookmarkEnd w:id="46"/>
    <w:p w14:paraId="4B1A21FE">
      <w:pPr>
        <w:pStyle w:val="9"/>
        <w:keepNext w:val="0"/>
        <w:keepLines w:val="0"/>
        <w:pageBreakBefore w:val="0"/>
        <w:numPr>
          <w:ilvl w:val="-1"/>
          <w:numId w:val="0"/>
        </w:numPr>
        <w:kinsoku/>
        <w:wordWrap/>
        <w:overflowPunct/>
        <w:topLinePunct w:val="0"/>
        <w:autoSpaceDE/>
        <w:autoSpaceDN/>
        <w:bidi w:val="0"/>
        <w:adjustRightInd/>
        <w:snapToGrid/>
        <w:spacing w:line="520" w:lineRule="exact"/>
        <w:ind w:left="0" w:leftChars="0" w:firstLine="643" w:firstLineChars="200"/>
        <w:textAlignment w:val="auto"/>
        <w:outlineLvl w:val="2"/>
        <w:rPr>
          <w:rFonts w:hint="eastAsia" w:ascii="仿宋" w:hAnsi="仿宋" w:eastAsia="仿宋" w:cs="仿宋"/>
          <w:b/>
          <w:bCs/>
          <w:color w:val="auto"/>
          <w:sz w:val="32"/>
          <w:szCs w:val="32"/>
          <w:lang w:val="en-US" w:eastAsia="zh-CN"/>
        </w:rPr>
      </w:pPr>
      <w:bookmarkStart w:id="47" w:name="_Toc16617"/>
      <w:bookmarkStart w:id="48" w:name="_Toc7858"/>
      <w:bookmarkStart w:id="49" w:name="_Toc20979"/>
      <w:bookmarkStart w:id="50" w:name="_Toc24720"/>
      <w:bookmarkStart w:id="51" w:name="_Toc21573"/>
      <w:bookmarkStart w:id="52" w:name="_Toc28886"/>
      <w:bookmarkStart w:id="53" w:name="_Toc11220"/>
      <w:bookmarkStart w:id="54" w:name="_Toc25051"/>
      <w:bookmarkStart w:id="55" w:name="_Toc3668"/>
      <w:bookmarkStart w:id="56" w:name="_Toc14809"/>
      <w:bookmarkStart w:id="57" w:name="_Toc7970"/>
      <w:bookmarkStart w:id="58" w:name="_Toc30103"/>
      <w:bookmarkStart w:id="59" w:name="_Toc812"/>
      <w:bookmarkStart w:id="60" w:name="_Toc19835"/>
      <w:bookmarkStart w:id="61" w:name="_Toc26543"/>
      <w:bookmarkStart w:id="62" w:name="_Toc7127"/>
      <w:bookmarkStart w:id="63" w:name="_Toc15548"/>
      <w:bookmarkStart w:id="64" w:name="_Toc6967"/>
      <w:bookmarkStart w:id="65" w:name="_Toc26790"/>
      <w:bookmarkStart w:id="66" w:name="_Toc27842"/>
      <w:r>
        <w:rPr>
          <w:rFonts w:hint="eastAsia" w:ascii="仿宋" w:hAnsi="仿宋" w:eastAsia="仿宋" w:cs="仿宋"/>
          <w:b/>
          <w:bCs/>
          <w:color w:val="auto"/>
          <w:sz w:val="32"/>
          <w:szCs w:val="32"/>
          <w:lang w:val="en-US" w:eastAsia="zh-CN"/>
        </w:rPr>
        <w:t>1、本质安全水平</w:t>
      </w:r>
      <w:bookmarkEnd w:id="47"/>
      <w:bookmarkEnd w:id="48"/>
      <w:bookmarkEnd w:id="49"/>
      <w:bookmarkEnd w:id="50"/>
      <w:bookmarkEnd w:id="51"/>
      <w:bookmarkEnd w:id="52"/>
      <w:bookmarkEnd w:id="53"/>
      <w:bookmarkEnd w:id="54"/>
      <w:bookmarkEnd w:id="55"/>
    </w:p>
    <w:p w14:paraId="55DAEE90">
      <w:pPr>
        <w:pStyle w:val="9"/>
        <w:keepNext w:val="0"/>
        <w:keepLines w:val="0"/>
        <w:pageBreakBefore w:val="0"/>
        <w:numPr>
          <w:ilvl w:val="-1"/>
          <w:numId w:val="0"/>
        </w:numPr>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9.</w:t>
      </w:r>
      <w:r>
        <w:rPr>
          <w:rFonts w:hint="eastAsia" w:ascii="仿宋" w:hAnsi="仿宋" w:eastAsia="仿宋" w:cs="仿宋"/>
          <w:color w:val="auto"/>
          <w:kern w:val="2"/>
          <w:sz w:val="32"/>
          <w:szCs w:val="32"/>
          <w:lang w:val="en-US" w:eastAsia="zh-CN"/>
        </w:rPr>
        <w:t>新改扩建危化品建设项目，在设计阶段应对存在人工操作</w:t>
      </w:r>
    </w:p>
    <w:p w14:paraId="10D3E03B">
      <w:pPr>
        <w:pStyle w:val="9"/>
        <w:keepNext w:val="0"/>
        <w:keepLines w:val="0"/>
        <w:pageBreakBefore w:val="0"/>
        <w:numPr>
          <w:ilvl w:val="-1"/>
          <w:numId w:val="0"/>
        </w:numPr>
        <w:kinsoku/>
        <w:wordWrap/>
        <w:overflowPunct/>
        <w:topLinePunct w:val="0"/>
        <w:autoSpaceDE/>
        <w:autoSpaceDN/>
        <w:bidi w:val="0"/>
        <w:adjustRightInd/>
        <w:snapToGrid/>
        <w:spacing w:line="520" w:lineRule="exact"/>
        <w:textAlignment w:val="auto"/>
        <w:rPr>
          <w:rFonts w:hint="eastAsia" w:ascii="仿宋" w:hAnsi="仿宋" w:eastAsia="仿宋" w:cs="仿宋"/>
          <w:color w:val="auto"/>
          <w:kern w:val="2"/>
          <w:sz w:val="32"/>
          <w:szCs w:val="32"/>
          <w:lang w:val="en-US" w:eastAsia="zh-CN"/>
        </w:rPr>
      </w:pPr>
      <w:r>
        <w:rPr>
          <w:rFonts w:hint="eastAsia" w:ascii="仿宋" w:hAnsi="仿宋" w:eastAsia="仿宋" w:cs="仿宋"/>
          <w:color w:val="auto"/>
          <w:kern w:val="2"/>
          <w:sz w:val="32"/>
          <w:szCs w:val="32"/>
          <w:lang w:val="en-US" w:eastAsia="zh-CN"/>
        </w:rPr>
        <w:t>的工序进行分析，能实现自动化控制或远程操作的应设计自动化控制。</w:t>
      </w:r>
    </w:p>
    <w:p w14:paraId="5ADA1BDC">
      <w:pPr>
        <w:pStyle w:val="9"/>
        <w:keepNext w:val="0"/>
        <w:keepLines w:val="0"/>
        <w:pageBreakBefore w:val="0"/>
        <w:numPr>
          <w:ilvl w:val="-1"/>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kern w:val="2"/>
          <w:sz w:val="32"/>
          <w:szCs w:val="32"/>
          <w:lang w:val="en-US" w:eastAsia="zh-CN"/>
        </w:rPr>
      </w:pPr>
      <w:r>
        <w:rPr>
          <w:rFonts w:hint="eastAsia" w:ascii="仿宋" w:hAnsi="仿宋" w:eastAsia="仿宋" w:cs="仿宋"/>
          <w:color w:val="auto"/>
          <w:kern w:val="2"/>
          <w:sz w:val="32"/>
          <w:szCs w:val="32"/>
          <w:lang w:val="en-US" w:eastAsia="zh-CN"/>
        </w:rPr>
        <w:t>10.硝化、氯化、氟化、重氮化、过氧化等工艺装置应对照国家、省级上下游配套装置自动化控制改造指南要求，实现上下游全流程自动化改造提升。</w:t>
      </w:r>
    </w:p>
    <w:p w14:paraId="287C7BEE">
      <w:pPr>
        <w:pStyle w:val="9"/>
        <w:keepNext w:val="0"/>
        <w:keepLines w:val="0"/>
        <w:pageBreakBefore w:val="0"/>
        <w:numPr>
          <w:ilvl w:val="-1"/>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kern w:val="2"/>
          <w:sz w:val="32"/>
          <w:szCs w:val="32"/>
          <w:lang w:val="en-US" w:eastAsia="zh-CN"/>
        </w:rPr>
      </w:pPr>
      <w:r>
        <w:rPr>
          <w:rFonts w:hint="eastAsia" w:ascii="仿宋" w:hAnsi="仿宋" w:eastAsia="仿宋" w:cs="仿宋"/>
          <w:color w:val="auto"/>
          <w:kern w:val="2"/>
          <w:sz w:val="32"/>
          <w:szCs w:val="32"/>
          <w:lang w:val="en-US" w:eastAsia="zh-CN"/>
        </w:rPr>
        <w:t>11.固体原料连续投入反应釜（非一次性投入），且作为反应原料的，应设置加料斗、机械加料等装置，进料量应与反应温度/压力联锁；搅拌电流应远传指示，搅拌系统故障停机信号应与进料、热(冷) 媒和泄放系统联锁。</w:t>
      </w:r>
    </w:p>
    <w:p w14:paraId="4BD397BE">
      <w:pPr>
        <w:pStyle w:val="9"/>
        <w:keepNext w:val="0"/>
        <w:keepLines w:val="0"/>
        <w:pageBreakBefore w:val="0"/>
        <w:numPr>
          <w:ilvl w:val="-1"/>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kern w:val="2"/>
          <w:sz w:val="32"/>
          <w:szCs w:val="32"/>
          <w:lang w:val="en-US" w:eastAsia="zh-CN"/>
        </w:rPr>
      </w:pPr>
      <w:r>
        <w:rPr>
          <w:rFonts w:hint="eastAsia" w:ascii="仿宋" w:hAnsi="仿宋" w:eastAsia="仿宋" w:cs="仿宋"/>
          <w:color w:val="auto"/>
          <w:kern w:val="2"/>
          <w:sz w:val="32"/>
          <w:szCs w:val="32"/>
          <w:lang w:val="en-US" w:eastAsia="zh-CN"/>
        </w:rPr>
        <w:t>12.设有外循环冷却或加热系统的反应釜，应设置备用循环泵，</w:t>
      </w:r>
      <w:r>
        <w:rPr>
          <w:rFonts w:hint="eastAsia" w:ascii="仿宋" w:hAnsi="仿宋" w:eastAsia="仿宋" w:cs="仿宋"/>
          <w:color w:val="auto"/>
          <w:kern w:val="2"/>
          <w:sz w:val="32"/>
          <w:szCs w:val="32"/>
          <w:highlight w:val="none"/>
          <w:lang w:val="en-US" w:eastAsia="zh-CN"/>
        </w:rPr>
        <w:t>根据安全设施设计规范要求设置</w:t>
      </w:r>
      <w:r>
        <w:rPr>
          <w:rFonts w:hint="eastAsia" w:ascii="仿宋" w:hAnsi="仿宋" w:eastAsia="仿宋" w:cs="仿宋"/>
          <w:color w:val="auto"/>
          <w:kern w:val="2"/>
          <w:sz w:val="32"/>
          <w:szCs w:val="32"/>
          <w:lang w:val="en-US" w:eastAsia="zh-CN"/>
        </w:rPr>
        <w:t>自动切换功能，冷却水压力、流量、温度、pH等重点参数应根据</w:t>
      </w:r>
      <w:r>
        <w:rPr>
          <w:rFonts w:hint="eastAsia" w:ascii="仿宋" w:hAnsi="仿宋" w:eastAsia="仿宋" w:cs="仿宋"/>
          <w:color w:val="auto"/>
          <w:kern w:val="2"/>
          <w:sz w:val="32"/>
          <w:szCs w:val="32"/>
          <w:highlight w:val="none"/>
          <w:lang w:val="en-US" w:eastAsia="zh-CN"/>
        </w:rPr>
        <w:t>设计规范和具体</w:t>
      </w:r>
      <w:r>
        <w:rPr>
          <w:rFonts w:hint="eastAsia" w:ascii="仿宋" w:hAnsi="仿宋" w:eastAsia="仿宋" w:cs="仿宋"/>
          <w:color w:val="auto"/>
          <w:kern w:val="2"/>
          <w:sz w:val="32"/>
          <w:szCs w:val="32"/>
          <w:lang w:val="en-US" w:eastAsia="zh-CN"/>
        </w:rPr>
        <w:t>工艺情况进行监控和超限报警；反应温度/压力与热(冷)媒、进料和泄放系统联锁，应设置循环泵电流远传指示或电机启停指示，外循环系统故障信号应与进料及热(冷)媒和泄放系统联锁；常压循环氏冷却系统可能存在可燃气体集聚风险的，要根据现场条件在冷冻盐水槽（箱）适当位置加装可燃气体报警装置。</w:t>
      </w:r>
    </w:p>
    <w:p w14:paraId="6A00BEC4">
      <w:pPr>
        <w:pStyle w:val="9"/>
        <w:keepNext w:val="0"/>
        <w:keepLines w:val="0"/>
        <w:pageBreakBefore w:val="0"/>
        <w:numPr>
          <w:ilvl w:val="-1"/>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kern w:val="2"/>
          <w:sz w:val="32"/>
          <w:szCs w:val="32"/>
          <w:highlight w:val="yellow"/>
          <w:lang w:val="en-US" w:eastAsia="zh-CN"/>
        </w:rPr>
      </w:pPr>
      <w:r>
        <w:rPr>
          <w:rFonts w:hint="eastAsia" w:ascii="仿宋" w:hAnsi="仿宋" w:eastAsia="仿宋" w:cs="仿宋"/>
          <w:color w:val="auto"/>
          <w:kern w:val="2"/>
          <w:sz w:val="32"/>
          <w:szCs w:val="32"/>
          <w:lang w:val="en-US" w:eastAsia="zh-CN"/>
        </w:rPr>
        <w:t>13.重点监管危险化学品及可燃气体进入反应器、燃烧室等装置的管道至少设置两个以上阀门，具备流量监测、远程控制和紧急切断功能，并落实双阀切断进料措施。</w:t>
      </w:r>
    </w:p>
    <w:p w14:paraId="45F7C738">
      <w:pPr>
        <w:pStyle w:val="9"/>
        <w:keepNext w:val="0"/>
        <w:keepLines w:val="0"/>
        <w:pageBreakBefore w:val="0"/>
        <w:numPr>
          <w:ilvl w:val="-1"/>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kern w:val="2"/>
          <w:sz w:val="32"/>
          <w:szCs w:val="32"/>
          <w:lang w:val="en-US" w:eastAsia="zh-CN"/>
        </w:rPr>
      </w:pPr>
      <w:r>
        <w:rPr>
          <w:rFonts w:hint="eastAsia" w:ascii="仿宋" w:hAnsi="仿宋" w:eastAsia="仿宋" w:cs="仿宋"/>
          <w:color w:val="auto"/>
          <w:kern w:val="2"/>
          <w:sz w:val="32"/>
          <w:szCs w:val="32"/>
          <w:lang w:val="en-US" w:eastAsia="zh-CN"/>
        </w:rPr>
        <w:t>14.易燃、有毒液体储罐和中间罐均应设置液位就地和集中显示，应设置设高液位报警和超限控制措施，并根据实际风险设置低液位报警和低低液位连锁停泵措施；易燃易爆物料储罐、中间罐、高位槽应根据安全风险和设计规范设置氮封。</w:t>
      </w:r>
    </w:p>
    <w:p w14:paraId="5FBB4275">
      <w:pPr>
        <w:pStyle w:val="9"/>
        <w:keepNext w:val="0"/>
        <w:keepLines w:val="0"/>
        <w:pageBreakBefore w:val="0"/>
        <w:numPr>
          <w:ilvl w:val="-1"/>
          <w:numId w:val="0"/>
        </w:numPr>
        <w:kinsoku/>
        <w:wordWrap/>
        <w:overflowPunct/>
        <w:topLinePunct w:val="0"/>
        <w:autoSpaceDE/>
        <w:autoSpaceDN/>
        <w:bidi w:val="0"/>
        <w:adjustRightInd/>
        <w:snapToGrid/>
        <w:spacing w:line="520" w:lineRule="exact"/>
        <w:ind w:left="0" w:leftChars="0" w:firstLine="643" w:firstLineChars="200"/>
        <w:textAlignment w:val="auto"/>
        <w:outlineLvl w:val="2"/>
        <w:rPr>
          <w:rFonts w:hint="eastAsia" w:ascii="仿宋" w:hAnsi="仿宋" w:eastAsia="仿宋" w:cs="仿宋"/>
          <w:b/>
          <w:bCs/>
          <w:color w:val="auto"/>
          <w:sz w:val="32"/>
          <w:szCs w:val="32"/>
          <w:lang w:val="en-US" w:eastAsia="zh-CN"/>
        </w:rPr>
      </w:pPr>
      <w:bookmarkStart w:id="67" w:name="_Toc4497"/>
      <w:bookmarkStart w:id="68" w:name="_Toc27091"/>
      <w:bookmarkStart w:id="69" w:name="_Toc11928"/>
      <w:bookmarkStart w:id="70" w:name="_Toc24291"/>
      <w:r>
        <w:rPr>
          <w:rFonts w:hint="eastAsia" w:ascii="仿宋" w:hAnsi="仿宋" w:eastAsia="仿宋" w:cs="仿宋"/>
          <w:b/>
          <w:bCs/>
          <w:color w:val="auto"/>
          <w:sz w:val="32"/>
          <w:szCs w:val="32"/>
          <w:lang w:val="en-US" w:eastAsia="zh-CN"/>
        </w:rPr>
        <w:t>2、消防安全管理</w:t>
      </w:r>
      <w:bookmarkEnd w:id="56"/>
      <w:bookmarkEnd w:id="57"/>
      <w:bookmarkEnd w:id="58"/>
      <w:bookmarkEnd w:id="59"/>
      <w:bookmarkEnd w:id="60"/>
      <w:bookmarkEnd w:id="67"/>
      <w:bookmarkEnd w:id="68"/>
      <w:bookmarkEnd w:id="69"/>
      <w:bookmarkEnd w:id="70"/>
    </w:p>
    <w:p w14:paraId="147DBE2E">
      <w:pPr>
        <w:pStyle w:val="13"/>
        <w:keepNext w:val="0"/>
        <w:keepLines w:val="0"/>
        <w:pageBreakBefore w:val="0"/>
        <w:numPr>
          <w:ilvl w:val="3"/>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15.企业应按国家工程建设消防技术标准设置消防设施。重点保障消防给水设施、防排烟设施、火灾自动报警系统、自动喷水灭火系统、应急电源系统有效运行；应设置紧急疏散集合点，电动自行车集中充停区域应安装过电保护装置、金属挠钩和视频监控，鼓励安装简易喷淋装置。</w:t>
      </w:r>
    </w:p>
    <w:p w14:paraId="64A54C83">
      <w:pPr>
        <w:pStyle w:val="13"/>
        <w:keepNext w:val="0"/>
        <w:keepLines w:val="0"/>
        <w:pageBreakBefore w:val="0"/>
        <w:numPr>
          <w:ilvl w:val="3"/>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16.企业要巩固提升消防安全标准化管理，建立“五化”消防安全体系。将消防安全管控和防范措施融入到工程设计、生产运行、工艺变更、停车检修等环节。鼓励消防安全重点企业的消防安全管理人员取得注册消防工程师职业资格。</w:t>
      </w:r>
    </w:p>
    <w:p w14:paraId="2890C23D">
      <w:pPr>
        <w:pStyle w:val="13"/>
        <w:keepNext w:val="0"/>
        <w:keepLines w:val="0"/>
        <w:pageBreakBefore w:val="0"/>
        <w:numPr>
          <w:ilvl w:val="3"/>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17.企业应强化消防安全自主管理，构建“五位一体”管理模式。通过物联网技术实现远程监测、辅助决策、消防控制室实时监管等；安全管理人员应按要求落实重点单位自主管理；鼓励非消防安全重点化工企业参照重点单位模式，建立电子档案并实现消防设施重要点位打卡功能。</w:t>
      </w:r>
    </w:p>
    <w:p w14:paraId="25FEEFCF">
      <w:pPr>
        <w:pStyle w:val="13"/>
        <w:keepNext w:val="0"/>
        <w:keepLines w:val="0"/>
        <w:pageBreakBefore w:val="0"/>
        <w:numPr>
          <w:ilvl w:val="3"/>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18.企业完善“一企一册”档案，消防安全重点单位应建立健全消防电子档案，实时录入、更新且保证数据真实有效。建立消防救援“交底箱”制度，交底箱应放置于中控室或消控室，相关资料应定期更新并向辖区消防救援站备案。</w:t>
      </w:r>
    </w:p>
    <w:p w14:paraId="7E9E5C6F">
      <w:pPr>
        <w:pStyle w:val="13"/>
        <w:keepNext w:val="0"/>
        <w:keepLines w:val="0"/>
        <w:pageBreakBefore w:val="0"/>
        <w:numPr>
          <w:ilvl w:val="3"/>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19.新改扩项目涉及高火灾风险的储罐区，宜设置自动或手动消防水炮/泡沫炮，若因工艺或物料不适用水或泡沫灭火，鼓励根据自身火灾特殊风险，引进国内外先进灭火技术；改扩建后需与自身消防力量匹配，针对改扩建前存在的问题，提出落实“以新带老”措施；具有一级重大危险源的企业应建立具备独立营房、消防车及配套器材的专职消防队。</w:t>
      </w:r>
    </w:p>
    <w:p w14:paraId="69DE2C78">
      <w:pPr>
        <w:pStyle w:val="13"/>
        <w:keepNext w:val="0"/>
        <w:keepLines w:val="0"/>
        <w:pageBreakBefore w:val="0"/>
        <w:numPr>
          <w:ilvl w:val="3"/>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lang w:val="en-US" w:eastAsia="zh-CN"/>
        </w:rPr>
      </w:pPr>
      <w:bookmarkStart w:id="71" w:name="_Toc30016"/>
      <w:bookmarkStart w:id="72" w:name="_Toc20541"/>
      <w:bookmarkStart w:id="73" w:name="_Toc22241"/>
      <w:bookmarkStart w:id="74" w:name="_Toc26595"/>
      <w:bookmarkStart w:id="75" w:name="_Toc15729"/>
      <w:bookmarkStart w:id="76" w:name="_Toc10836"/>
      <w:bookmarkStart w:id="77" w:name="_Toc780"/>
      <w:bookmarkStart w:id="78" w:name="_Toc7528"/>
      <w:r>
        <w:rPr>
          <w:rFonts w:hint="eastAsia" w:ascii="仿宋" w:hAnsi="仿宋" w:eastAsia="仿宋" w:cs="仿宋"/>
          <w:color w:val="auto"/>
          <w:sz w:val="32"/>
          <w:szCs w:val="32"/>
          <w:lang w:val="en-US" w:eastAsia="zh-CN"/>
        </w:rPr>
        <w:t>20.推动消防重点单位可燃气体浓度、消防水压、火灾自动报警信号、红外热成像等参数接入智慧监管平台，实现风险早发现、早处置。</w:t>
      </w:r>
    </w:p>
    <w:p w14:paraId="555A7F24">
      <w:pPr>
        <w:pStyle w:val="13"/>
        <w:keepNext w:val="0"/>
        <w:keepLines w:val="0"/>
        <w:pageBreakBefore w:val="0"/>
        <w:numPr>
          <w:ilvl w:val="3"/>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21.厂房（作业人数≥3人）二层及以上位置应配备安全绳（逃生绳梯）、强光手电筒等紧急逃生物资，提高火灾事故状态下被困人员紧急逃生能力。鼓励企业新改扩项目安装自动灭火装置如自动消防水炮、自动跟踪定位射流灭火装置等，提高早期火情控制能力，防止火势蔓延。 </w:t>
      </w:r>
    </w:p>
    <w:p w14:paraId="65FEC528">
      <w:pPr>
        <w:pStyle w:val="13"/>
        <w:keepNext w:val="0"/>
        <w:keepLines w:val="0"/>
        <w:pageBreakBefore w:val="0"/>
        <w:numPr>
          <w:ilvl w:val="3"/>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22.企业要进行“多米诺”效应分析并形成预案。针对特殊类型（遇湿、遇热、遇氧反应，活泼金属）火灾配备相应的灭火药剂并向辖区消防救援机构备案；火灾时产生高毒、剧毒、强侵蚀物质的企业应配备相应的解毒或洗消药剂；火灾所需灭火剂不兼容的物料应分区存放；在使用特种设备、车辆运输甲、乙类物质时应随车配备针对性灭火器材。</w:t>
      </w:r>
    </w:p>
    <w:p w14:paraId="1CD0E89C">
      <w:pPr>
        <w:pStyle w:val="13"/>
        <w:keepNext w:val="0"/>
        <w:keepLines w:val="0"/>
        <w:pageBreakBefore w:val="0"/>
        <w:numPr>
          <w:ilvl w:val="3"/>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23.企业按照“四互”模式参与联防联勤组织，每季度开展一次组内联防互查；联防联勤成员单位发生事故，鼓励周边企业的专职消防救援力量及应急救援物资在现场指挥部统一调配下协助处置。</w:t>
      </w:r>
    </w:p>
    <w:p w14:paraId="0060FB2B">
      <w:pPr>
        <w:pStyle w:val="13"/>
        <w:keepNext w:val="0"/>
        <w:keepLines w:val="0"/>
        <w:pageBreakBefore w:val="0"/>
        <w:numPr>
          <w:ilvl w:val="3"/>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24.企业消防安全责任人、消防安全管理人及专（兼）职事故处置人员应经过消防安全和危化专业知识理论培训；依托杭州湾经开区消防救援服务中心开展仿真系统模拟和实战演练，定期开展消防救援实操培训并考核；联合园区消防安全及技术专家，完善重点区域、岗位的消防救援方案。</w:t>
      </w:r>
    </w:p>
    <w:p w14:paraId="73DF4B05">
      <w:pPr>
        <w:pStyle w:val="9"/>
        <w:keepNext w:val="0"/>
        <w:keepLines w:val="0"/>
        <w:pageBreakBefore w:val="0"/>
        <w:numPr>
          <w:ilvl w:val="-1"/>
          <w:numId w:val="0"/>
        </w:numPr>
        <w:kinsoku/>
        <w:wordWrap/>
        <w:overflowPunct/>
        <w:topLinePunct w:val="0"/>
        <w:autoSpaceDE/>
        <w:autoSpaceDN/>
        <w:bidi w:val="0"/>
        <w:adjustRightInd/>
        <w:snapToGrid/>
        <w:spacing w:line="520" w:lineRule="exact"/>
        <w:ind w:left="0" w:leftChars="0" w:firstLine="643" w:firstLineChars="200"/>
        <w:textAlignment w:val="auto"/>
        <w:outlineLvl w:val="2"/>
        <w:rPr>
          <w:rFonts w:hint="eastAsia" w:ascii="仿宋" w:hAnsi="仿宋" w:eastAsia="仿宋" w:cs="仿宋"/>
          <w:b/>
          <w:bCs/>
          <w:color w:val="auto"/>
          <w:sz w:val="32"/>
          <w:szCs w:val="32"/>
          <w:lang w:val="en-US" w:eastAsia="zh-CN"/>
        </w:rPr>
      </w:pPr>
      <w:bookmarkStart w:id="79" w:name="_Toc24606"/>
      <w:bookmarkStart w:id="80" w:name="_Toc27935"/>
      <w:r>
        <w:rPr>
          <w:rFonts w:hint="eastAsia" w:ascii="仿宋" w:hAnsi="仿宋" w:eastAsia="仿宋" w:cs="仿宋"/>
          <w:b/>
          <w:bCs/>
          <w:color w:val="auto"/>
          <w:sz w:val="32"/>
          <w:szCs w:val="32"/>
          <w:lang w:val="en-US" w:eastAsia="zh-CN"/>
        </w:rPr>
        <w:t>3、特种设备安全管理</w:t>
      </w:r>
      <w:bookmarkEnd w:id="71"/>
      <w:bookmarkEnd w:id="72"/>
      <w:bookmarkEnd w:id="73"/>
      <w:bookmarkEnd w:id="74"/>
      <w:bookmarkEnd w:id="75"/>
      <w:bookmarkEnd w:id="76"/>
      <w:bookmarkEnd w:id="77"/>
      <w:bookmarkEnd w:id="78"/>
      <w:bookmarkEnd w:id="79"/>
      <w:bookmarkEnd w:id="80"/>
    </w:p>
    <w:p w14:paraId="4D5009DE">
      <w:pPr>
        <w:pStyle w:val="9"/>
        <w:keepNext w:val="0"/>
        <w:keepLines w:val="0"/>
        <w:pageBreakBefore w:val="0"/>
        <w:numPr>
          <w:ilvl w:val="-1"/>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kern w:val="2"/>
          <w:sz w:val="32"/>
          <w:szCs w:val="32"/>
          <w:lang w:val="en-US" w:eastAsia="zh-CN"/>
        </w:rPr>
      </w:pPr>
      <w:r>
        <w:rPr>
          <w:rFonts w:hint="eastAsia" w:ascii="仿宋" w:hAnsi="仿宋" w:eastAsia="仿宋" w:cs="仿宋"/>
          <w:color w:val="auto"/>
          <w:kern w:val="2"/>
          <w:sz w:val="32"/>
          <w:szCs w:val="32"/>
          <w:lang w:val="en-US" w:eastAsia="zh-CN"/>
        </w:rPr>
        <w:t>25.企业使用特种设备应严格遵守相关法律法规，使用取得许可生产并经检验合格的特种设备。存在严重事故隐患，无改造、维修价值，或达到安全技术规范规定的其他报废条件的，应依法报废，并办理使用登记证注销手续。禁止使用国家明令淘汰和已经报废的特种设备。</w:t>
      </w:r>
    </w:p>
    <w:p w14:paraId="607B359D">
      <w:pPr>
        <w:pStyle w:val="9"/>
        <w:keepNext w:val="0"/>
        <w:keepLines w:val="0"/>
        <w:pageBreakBefore w:val="0"/>
        <w:numPr>
          <w:ilvl w:val="-1"/>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kern w:val="2"/>
          <w:sz w:val="32"/>
          <w:szCs w:val="32"/>
          <w:lang w:val="en-US" w:eastAsia="zh-CN"/>
        </w:rPr>
      </w:pPr>
      <w:r>
        <w:rPr>
          <w:rFonts w:hint="eastAsia" w:ascii="仿宋" w:hAnsi="仿宋" w:eastAsia="仿宋" w:cs="仿宋"/>
          <w:color w:val="auto"/>
          <w:kern w:val="2"/>
          <w:sz w:val="32"/>
          <w:szCs w:val="32"/>
          <w:lang w:val="en-US" w:eastAsia="zh-CN"/>
        </w:rPr>
        <w:t>26.从事基础化工、医药化工及危险化学品生产的企业使用的压力容器应按照《固定式压力容器安全技术监察规程》</w:t>
      </w:r>
      <w:r>
        <w:rPr>
          <w:rFonts w:hint="eastAsia" w:ascii="仿宋" w:hAnsi="仿宋" w:eastAsia="仿宋" w:cs="仿宋"/>
          <w:color w:val="auto"/>
          <w:kern w:val="2"/>
          <w:sz w:val="32"/>
          <w:szCs w:val="32"/>
        </w:rPr>
        <w:t>（TSG 21）</w:t>
      </w:r>
      <w:r>
        <w:rPr>
          <w:rFonts w:hint="eastAsia" w:ascii="仿宋" w:hAnsi="仿宋" w:eastAsia="仿宋" w:cs="仿宋"/>
          <w:color w:val="auto"/>
          <w:kern w:val="2"/>
          <w:sz w:val="32"/>
          <w:szCs w:val="32"/>
          <w:lang w:val="en-US" w:eastAsia="zh-CN"/>
        </w:rPr>
        <w:t>要求，对超过设计使用年限的应予以淘汰更新；如确需要继续使用的，应委托有检验资质的检验机构进行安全评估（合于使用评价），方可在其确认的有效期内使用，严格控制运行参数，落实监控和防范措施。</w:t>
      </w:r>
    </w:p>
    <w:p w14:paraId="12B5C9E4">
      <w:pPr>
        <w:pStyle w:val="9"/>
        <w:keepNext w:val="0"/>
        <w:keepLines w:val="0"/>
        <w:pageBreakBefore w:val="0"/>
        <w:numPr>
          <w:ilvl w:val="-1"/>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kern w:val="2"/>
          <w:sz w:val="32"/>
          <w:szCs w:val="32"/>
          <w:lang w:val="en-US" w:eastAsia="zh-CN"/>
        </w:rPr>
      </w:pPr>
      <w:r>
        <w:rPr>
          <w:rFonts w:hint="eastAsia" w:ascii="仿宋" w:hAnsi="仿宋" w:eastAsia="仿宋" w:cs="仿宋"/>
          <w:color w:val="auto"/>
          <w:kern w:val="2"/>
          <w:sz w:val="32"/>
          <w:szCs w:val="32"/>
          <w:lang w:val="en-US" w:eastAsia="zh-CN"/>
        </w:rPr>
        <w:t>27.企业应按规定办理特种设备使用登记，取得使用登记证书，按照安全技术规范的要求及时申报并接受检验。不得使用未经检验和检验不合格的特种设备。</w:t>
      </w:r>
    </w:p>
    <w:p w14:paraId="59591862">
      <w:pPr>
        <w:pStyle w:val="9"/>
        <w:keepNext w:val="0"/>
        <w:keepLines w:val="0"/>
        <w:pageBreakBefore w:val="0"/>
        <w:numPr>
          <w:ilvl w:val="-1"/>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kern w:val="2"/>
          <w:sz w:val="32"/>
          <w:szCs w:val="32"/>
          <w:lang w:val="en-US" w:eastAsia="zh-CN"/>
        </w:rPr>
      </w:pPr>
      <w:r>
        <w:rPr>
          <w:rFonts w:hint="eastAsia" w:ascii="仿宋" w:hAnsi="仿宋" w:eastAsia="仿宋" w:cs="仿宋"/>
          <w:color w:val="auto"/>
          <w:kern w:val="2"/>
          <w:sz w:val="32"/>
          <w:szCs w:val="32"/>
          <w:lang w:val="en-US" w:eastAsia="zh-CN"/>
        </w:rPr>
        <w:t>28.企业按照国家有关规定配备特种设备安全总监、安全员</w:t>
      </w:r>
    </w:p>
    <w:p w14:paraId="2AB20C62">
      <w:pPr>
        <w:pStyle w:val="9"/>
        <w:keepNext w:val="0"/>
        <w:keepLines w:val="0"/>
        <w:pageBreakBefore w:val="0"/>
        <w:numPr>
          <w:ilvl w:val="-1"/>
          <w:numId w:val="0"/>
        </w:numPr>
        <w:kinsoku/>
        <w:wordWrap/>
        <w:overflowPunct/>
        <w:topLinePunct w:val="0"/>
        <w:autoSpaceDE/>
        <w:autoSpaceDN/>
        <w:bidi w:val="0"/>
        <w:adjustRightInd/>
        <w:snapToGrid/>
        <w:spacing w:line="520" w:lineRule="exact"/>
        <w:textAlignment w:val="auto"/>
        <w:rPr>
          <w:rFonts w:hint="eastAsia" w:ascii="仿宋" w:hAnsi="仿宋" w:eastAsia="仿宋" w:cs="仿宋"/>
          <w:color w:val="auto"/>
          <w:kern w:val="2"/>
          <w:sz w:val="32"/>
          <w:szCs w:val="32"/>
          <w:lang w:val="en-US" w:eastAsia="zh-CN"/>
        </w:rPr>
      </w:pPr>
      <w:r>
        <w:rPr>
          <w:rFonts w:hint="eastAsia" w:ascii="仿宋" w:hAnsi="仿宋" w:eastAsia="仿宋" w:cs="仿宋"/>
          <w:color w:val="auto"/>
          <w:kern w:val="2"/>
          <w:sz w:val="32"/>
          <w:szCs w:val="32"/>
          <w:lang w:val="en-US" w:eastAsia="zh-CN"/>
        </w:rPr>
        <w:t>和作业人员，对其进行安全教育和技术培训，取得相应的特种设备作业资格。应建立特种设备安全技术档案，建立安全管理制度，制定操作规程。</w:t>
      </w:r>
    </w:p>
    <w:p w14:paraId="78F4E4E8">
      <w:pPr>
        <w:pStyle w:val="9"/>
        <w:keepNext w:val="0"/>
        <w:keepLines w:val="0"/>
        <w:pageBreakBefore w:val="0"/>
        <w:numPr>
          <w:ilvl w:val="-1"/>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kern w:val="2"/>
          <w:sz w:val="32"/>
          <w:szCs w:val="32"/>
          <w:lang w:val="en-US" w:eastAsia="zh-CN"/>
        </w:rPr>
      </w:pPr>
      <w:bookmarkStart w:id="81" w:name="_Toc23743"/>
      <w:bookmarkStart w:id="82" w:name="_Toc30836"/>
      <w:r>
        <w:rPr>
          <w:rFonts w:hint="eastAsia" w:ascii="仿宋" w:hAnsi="仿宋" w:eastAsia="仿宋" w:cs="仿宋"/>
          <w:color w:val="auto"/>
          <w:kern w:val="2"/>
          <w:sz w:val="32"/>
          <w:szCs w:val="32"/>
          <w:lang w:val="en-US" w:eastAsia="zh-CN"/>
        </w:rPr>
        <w:t>29.企业应对特种设备进行经常性维护保养和定期自行检查、记录；对安全附件和安全保护装置定期校验、维修。出现故障或发生异常情况，应进行全面检查，消除隐患，方可继续使用。应制定事故应急预案，并定期进行应急演练。</w:t>
      </w:r>
    </w:p>
    <w:p w14:paraId="18EC4B49">
      <w:pPr>
        <w:pStyle w:val="9"/>
        <w:keepNext w:val="0"/>
        <w:keepLines w:val="0"/>
        <w:pageBreakBefore w:val="0"/>
        <w:numPr>
          <w:ilvl w:val="-1"/>
          <w:numId w:val="0"/>
        </w:numPr>
        <w:kinsoku/>
        <w:wordWrap/>
        <w:overflowPunct/>
        <w:topLinePunct w:val="0"/>
        <w:autoSpaceDE/>
        <w:autoSpaceDN/>
        <w:bidi w:val="0"/>
        <w:adjustRightInd/>
        <w:snapToGrid/>
        <w:spacing w:line="520" w:lineRule="exact"/>
        <w:ind w:left="0" w:leftChars="0" w:firstLine="643" w:firstLineChars="200"/>
        <w:textAlignment w:val="auto"/>
        <w:outlineLvl w:val="2"/>
        <w:rPr>
          <w:rFonts w:hint="eastAsia" w:ascii="仿宋" w:hAnsi="仿宋" w:eastAsia="仿宋" w:cs="仿宋"/>
          <w:b/>
          <w:bCs/>
          <w:color w:val="auto"/>
          <w:sz w:val="32"/>
          <w:szCs w:val="32"/>
          <w:lang w:val="en-US" w:eastAsia="zh-CN"/>
        </w:rPr>
      </w:pPr>
      <w:bookmarkStart w:id="83" w:name="_Toc22807"/>
      <w:bookmarkStart w:id="84" w:name="_Toc28385"/>
      <w:r>
        <w:rPr>
          <w:rFonts w:hint="eastAsia" w:ascii="仿宋" w:hAnsi="仿宋" w:eastAsia="仿宋" w:cs="仿宋"/>
          <w:b/>
          <w:bCs/>
          <w:color w:val="auto"/>
          <w:sz w:val="32"/>
          <w:szCs w:val="32"/>
          <w:lang w:val="en-US" w:eastAsia="zh-CN"/>
        </w:rPr>
        <w:t>4、涉毒涉爆安全管理</w:t>
      </w:r>
      <w:bookmarkEnd w:id="61"/>
      <w:bookmarkEnd w:id="62"/>
      <w:bookmarkEnd w:id="63"/>
      <w:bookmarkEnd w:id="64"/>
      <w:bookmarkEnd w:id="65"/>
      <w:bookmarkEnd w:id="66"/>
      <w:bookmarkEnd w:id="81"/>
      <w:bookmarkEnd w:id="82"/>
      <w:bookmarkEnd w:id="83"/>
      <w:bookmarkEnd w:id="84"/>
    </w:p>
    <w:p w14:paraId="761BD443">
      <w:pPr>
        <w:pStyle w:val="13"/>
        <w:keepNext w:val="0"/>
        <w:keepLines w:val="0"/>
        <w:pageBreakBefore w:val="0"/>
        <w:numPr>
          <w:ilvl w:val="3"/>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30.企业剧毒化学品安全管理应符合《剧毒化学品、放射源存放场所治安防范要求》（GA 1002）要求。企业易制爆危险化学品安全管理应符合《易制爆危险化学品储存场所治安防范要求》（GA 1511）要求，易制毒化学品参照执行。</w:t>
      </w:r>
    </w:p>
    <w:p w14:paraId="2B22B011">
      <w:pPr>
        <w:pStyle w:val="9"/>
        <w:keepNext w:val="0"/>
        <w:keepLines w:val="0"/>
        <w:pageBreakBefore w:val="0"/>
        <w:numPr>
          <w:ilvl w:val="-1"/>
          <w:numId w:val="0"/>
        </w:numPr>
        <w:kinsoku/>
        <w:wordWrap/>
        <w:overflowPunct/>
        <w:topLinePunct w:val="0"/>
        <w:autoSpaceDE/>
        <w:autoSpaceDN/>
        <w:bidi w:val="0"/>
        <w:adjustRightInd/>
        <w:snapToGrid/>
        <w:spacing w:line="520" w:lineRule="exact"/>
        <w:ind w:left="0" w:leftChars="0" w:firstLine="643" w:firstLineChars="200"/>
        <w:textAlignment w:val="auto"/>
        <w:outlineLvl w:val="2"/>
        <w:rPr>
          <w:rFonts w:hint="eastAsia" w:ascii="仿宋" w:hAnsi="仿宋" w:eastAsia="仿宋" w:cs="仿宋"/>
          <w:b/>
          <w:bCs/>
          <w:color w:val="auto"/>
          <w:sz w:val="32"/>
          <w:szCs w:val="32"/>
          <w:lang w:val="en-US" w:eastAsia="zh-CN"/>
        </w:rPr>
      </w:pPr>
      <w:bookmarkStart w:id="85" w:name="_Toc15403"/>
      <w:bookmarkStart w:id="86" w:name="_Toc9946"/>
      <w:bookmarkStart w:id="87" w:name="_Toc12116"/>
      <w:bookmarkStart w:id="88" w:name="_Toc19189"/>
      <w:bookmarkStart w:id="89" w:name="_Toc25216"/>
      <w:bookmarkStart w:id="90" w:name="_Toc13319"/>
      <w:bookmarkStart w:id="91" w:name="_Toc14354"/>
      <w:bookmarkStart w:id="92" w:name="_Toc20603"/>
      <w:bookmarkStart w:id="93" w:name="_Toc31316"/>
      <w:bookmarkStart w:id="94" w:name="_Toc12707"/>
      <w:r>
        <w:rPr>
          <w:rFonts w:hint="eastAsia" w:ascii="仿宋" w:hAnsi="仿宋" w:eastAsia="仿宋" w:cs="仿宋"/>
          <w:b/>
          <w:bCs/>
          <w:color w:val="auto"/>
          <w:sz w:val="32"/>
          <w:szCs w:val="32"/>
          <w:lang w:val="en-US" w:eastAsia="zh-CN"/>
        </w:rPr>
        <w:t>5、交通运输安全管理</w:t>
      </w:r>
      <w:bookmarkEnd w:id="85"/>
      <w:bookmarkEnd w:id="86"/>
      <w:bookmarkEnd w:id="87"/>
      <w:bookmarkEnd w:id="88"/>
      <w:bookmarkEnd w:id="89"/>
      <w:bookmarkEnd w:id="90"/>
      <w:bookmarkEnd w:id="91"/>
      <w:bookmarkEnd w:id="92"/>
      <w:bookmarkEnd w:id="93"/>
      <w:bookmarkEnd w:id="94"/>
    </w:p>
    <w:p w14:paraId="70A6C6FD">
      <w:pPr>
        <w:pStyle w:val="9"/>
        <w:keepNext w:val="0"/>
        <w:keepLines w:val="0"/>
        <w:pageBreakBefore w:val="0"/>
        <w:numPr>
          <w:ilvl w:val="-1"/>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31.产品包装应符合国家运输安全标准，具备良好的密封性、强度和抗腐蚀性。产品包装上应清晰、准确地标注化学品相关关键信息，确保过程信息可追溯和安全可控。</w:t>
      </w:r>
    </w:p>
    <w:p w14:paraId="1C2F1863">
      <w:pPr>
        <w:pStyle w:val="9"/>
        <w:keepNext w:val="0"/>
        <w:keepLines w:val="0"/>
        <w:pageBreakBefore w:val="0"/>
        <w:numPr>
          <w:ilvl w:val="-1"/>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32.危化品运输车辆应符合国家标准，配备必要的安全设备和防护措施。应安装卫星定位装置，监控人员实时监控。驾驶员、押运员等从业人员进行定期安全培训，持证上岗，严格遵守运输操作规程。运输过程中严格遵守法规和路线规划，不得擅自变更路线或违规停靠。危化品企业要配合危化品运输综合服务中心，运用数字化平台加强装卸货精细化调度管理，减少危化品运输车辆进厂装卸货物排队等候时间，并配合有关部门开展危化品运输车厂区内及周边日常停车管理，减少危化品运输车辆园区违停现象。</w:t>
      </w:r>
    </w:p>
    <w:p w14:paraId="45EE3509">
      <w:pPr>
        <w:pStyle w:val="9"/>
        <w:keepNext w:val="0"/>
        <w:keepLines w:val="0"/>
        <w:pageBreakBefore w:val="0"/>
        <w:numPr>
          <w:ilvl w:val="-1"/>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33.危化品企业应优先委托本地危化品运输企业。在进行运输业务委托或公开招标时，应设置入围条件，其中技术和安全分占比不低于50%。托运人如有恶意压价委托行为的，应承担相应法律责任。严禁承运人压价竞标和低价抢标等恶性竞争行为。应对安全投入和安全管理不到位、事故频发的运输企业纳入危化品承运黑名单。</w:t>
      </w:r>
    </w:p>
    <w:p w14:paraId="5CC9A032">
      <w:pPr>
        <w:pStyle w:val="9"/>
        <w:keepNext w:val="0"/>
        <w:keepLines w:val="0"/>
        <w:pageBreakBefore w:val="0"/>
        <w:numPr>
          <w:ilvl w:val="-1"/>
          <w:numId w:val="0"/>
        </w:numPr>
        <w:kinsoku/>
        <w:wordWrap/>
        <w:overflowPunct/>
        <w:topLinePunct w:val="0"/>
        <w:autoSpaceDE/>
        <w:autoSpaceDN/>
        <w:bidi w:val="0"/>
        <w:adjustRightInd/>
        <w:snapToGrid/>
        <w:spacing w:line="520" w:lineRule="exact"/>
        <w:ind w:left="0" w:leftChars="0" w:firstLine="643" w:firstLineChars="200"/>
        <w:textAlignment w:val="auto"/>
        <w:outlineLvl w:val="2"/>
        <w:rPr>
          <w:rFonts w:hint="eastAsia" w:ascii="仿宋" w:hAnsi="仿宋" w:eastAsia="仿宋" w:cs="仿宋"/>
          <w:b/>
          <w:bCs/>
          <w:color w:val="auto"/>
          <w:sz w:val="32"/>
          <w:szCs w:val="32"/>
          <w:lang w:val="en-US" w:eastAsia="zh-CN"/>
        </w:rPr>
      </w:pPr>
      <w:bookmarkStart w:id="95" w:name="_Toc26559"/>
      <w:bookmarkStart w:id="96" w:name="_Toc31157"/>
      <w:bookmarkStart w:id="97" w:name="_Toc29678"/>
      <w:bookmarkStart w:id="98" w:name="_Toc29909"/>
      <w:bookmarkStart w:id="99" w:name="_Toc6711"/>
      <w:bookmarkStart w:id="100" w:name="_Toc26339"/>
      <w:bookmarkStart w:id="101" w:name="_Toc25886"/>
      <w:bookmarkStart w:id="102" w:name="_Toc5323"/>
      <w:bookmarkStart w:id="103" w:name="_Toc7629"/>
      <w:bookmarkStart w:id="104" w:name="_Toc9988"/>
      <w:r>
        <w:rPr>
          <w:rFonts w:hint="eastAsia" w:ascii="仿宋" w:hAnsi="仿宋" w:eastAsia="仿宋" w:cs="仿宋"/>
          <w:b/>
          <w:bCs/>
          <w:color w:val="auto"/>
          <w:sz w:val="32"/>
          <w:szCs w:val="32"/>
          <w:lang w:val="en-US" w:eastAsia="zh-CN"/>
        </w:rPr>
        <w:t>6、气象（防雷）安全管理</w:t>
      </w:r>
      <w:bookmarkEnd w:id="95"/>
      <w:bookmarkEnd w:id="96"/>
      <w:bookmarkEnd w:id="97"/>
      <w:bookmarkEnd w:id="98"/>
      <w:bookmarkEnd w:id="99"/>
      <w:bookmarkEnd w:id="100"/>
      <w:bookmarkEnd w:id="101"/>
      <w:bookmarkEnd w:id="102"/>
      <w:bookmarkEnd w:id="103"/>
      <w:bookmarkEnd w:id="104"/>
    </w:p>
    <w:p w14:paraId="54AA8A26">
      <w:pPr>
        <w:pStyle w:val="13"/>
        <w:keepNext w:val="0"/>
        <w:keepLines w:val="0"/>
        <w:pageBreakBefore w:val="0"/>
        <w:numPr>
          <w:ilvl w:val="3"/>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34.企业应设立气象（防雷）安全管理机构，建立安全责任制，签订安全责任书。应制定落实防雷安全制度或安全操作规程。制定实施防雷装置维修维护和防雷安全教育培训年度计划，并向气象主管机构报备。</w:t>
      </w:r>
    </w:p>
    <w:p w14:paraId="12CD5514">
      <w:pPr>
        <w:pStyle w:val="13"/>
        <w:keepNext w:val="0"/>
        <w:keepLines w:val="0"/>
        <w:pageBreakBefore w:val="0"/>
        <w:numPr>
          <w:ilvl w:val="3"/>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lang w:val="en-US" w:eastAsia="zh-CN"/>
          <w:woUserID w:val="1"/>
        </w:rPr>
      </w:pPr>
      <w:r>
        <w:rPr>
          <w:rFonts w:hint="eastAsia" w:ascii="仿宋" w:hAnsi="仿宋" w:eastAsia="仿宋" w:cs="仿宋"/>
          <w:color w:val="auto"/>
          <w:sz w:val="32"/>
          <w:szCs w:val="32"/>
          <w:lang w:val="en-US" w:eastAsia="zh-CN"/>
        </w:rPr>
        <w:t>35.企业应按照相关规范要求安装防雷装置，明敷引下线设置安全标志。易燃易爆建设项目应通过雷电防护装置设计审核和竣工验收。应在雷电防护装置检测报告到期20日前委托符合相关资质和行业管理要求的检测机构开展检测，并及时完成整改、评价、申请更新“防雷安全码”。</w:t>
      </w:r>
      <w:r>
        <w:rPr>
          <w:rFonts w:hint="eastAsia" w:ascii="仿宋" w:hAnsi="仿宋" w:eastAsia="仿宋" w:cs="仿宋"/>
          <w:b w:val="0"/>
          <w:bCs w:val="0"/>
          <w:color w:val="auto"/>
          <w:sz w:val="32"/>
          <w:szCs w:val="32"/>
          <w:lang w:val="en-US" w:eastAsia="zh-CN"/>
        </w:rPr>
        <w:t>应定期开展防雷安全隐患排查和防雷装置维修维护，记录在案并及时在“防雷安全码”平台更新。</w:t>
      </w:r>
      <w:r>
        <w:rPr>
          <w:rFonts w:hint="eastAsia" w:ascii="仿宋" w:hAnsi="仿宋" w:eastAsia="仿宋" w:cs="仿宋"/>
          <w:color w:val="auto"/>
          <w:sz w:val="32"/>
          <w:szCs w:val="32"/>
          <w:lang w:val="en-US" w:eastAsia="zh-CN"/>
        </w:rPr>
        <w:t>应独立设置防雷安全管理档案。</w:t>
      </w:r>
      <w:r>
        <w:rPr>
          <w:rFonts w:hint="eastAsia" w:ascii="仿宋" w:hAnsi="仿宋" w:eastAsia="仿宋" w:cs="仿宋"/>
          <w:color w:val="auto"/>
          <w:sz w:val="32"/>
          <w:szCs w:val="32"/>
          <w:lang w:val="en-US" w:eastAsia="zh-CN"/>
          <w:woUserID w:val="1"/>
        </w:rPr>
        <w:t>企业每12个月至少组织演练1次</w:t>
      </w:r>
      <w:r>
        <w:rPr>
          <w:rFonts w:hint="eastAsia" w:ascii="仿宋" w:hAnsi="仿宋" w:eastAsia="仿宋" w:cs="仿宋"/>
          <w:b w:val="0"/>
          <w:bCs w:val="0"/>
          <w:color w:val="auto"/>
          <w:sz w:val="32"/>
          <w:szCs w:val="32"/>
          <w:lang w:val="en-US" w:eastAsia="zh-CN"/>
          <w:woUserID w:val="1"/>
        </w:rPr>
        <w:t>应急预案和组织开展1次安全教育培训，记录在案并及时在“防雷安全码”平台更新，</w:t>
      </w:r>
      <w:r>
        <w:rPr>
          <w:rFonts w:hint="eastAsia" w:ascii="仿宋" w:hAnsi="仿宋" w:eastAsia="仿宋" w:cs="仿宋"/>
          <w:color w:val="auto"/>
          <w:sz w:val="32"/>
          <w:szCs w:val="32"/>
          <w:lang w:val="en-US" w:eastAsia="zh-CN"/>
          <w:woUserID w:val="1"/>
        </w:rPr>
        <w:t>宜根据演练实施情况对预案进行修订改进，鼓励每季度或月度根据季节特点针对当季易发的气象灾害开展安全教育培训。应建立气象灾害预警信息接收机制，并将响应机制纳入应急预案。</w:t>
      </w:r>
    </w:p>
    <w:p w14:paraId="6A8E0055">
      <w:pPr>
        <w:pStyle w:val="13"/>
        <w:keepNext w:val="0"/>
        <w:keepLines w:val="0"/>
        <w:pageBreakBefore w:val="0"/>
        <w:numPr>
          <w:ilvl w:val="3"/>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lang w:val="en-US" w:eastAsia="zh-CN"/>
        </w:rPr>
      </w:pPr>
      <w:r>
        <w:rPr>
          <w:rFonts w:hint="default" w:ascii="仿宋" w:hAnsi="仿宋" w:eastAsia="仿宋" w:cs="仿宋"/>
          <w:color w:val="auto"/>
          <w:sz w:val="32"/>
          <w:szCs w:val="32"/>
          <w:lang w:eastAsia="zh-CN"/>
          <w:woUserID w:val="1"/>
        </w:rPr>
        <w:t>36.危险化学品重大危险源企业每个厂区应至少配备1套气象监测设施,监测风速、风向、大气压、环境温度和环境湿度等要素并自动记录。气象监测设施应安装在距地面5m至15m高处、空气清洁且流动良好、便于安装维护的</w:t>
      </w:r>
      <w:bookmarkStart w:id="276" w:name="_GoBack"/>
      <w:bookmarkEnd w:id="276"/>
      <w:r>
        <w:rPr>
          <w:rFonts w:hint="default" w:ascii="仿宋" w:hAnsi="仿宋" w:eastAsia="仿宋" w:cs="仿宋"/>
          <w:color w:val="auto"/>
          <w:sz w:val="32"/>
          <w:szCs w:val="32"/>
          <w:lang w:eastAsia="zh-CN"/>
          <w:woUserID w:val="1"/>
        </w:rPr>
        <w:t>非爆炸危险场所。企业应当接受气象主管机构的指导、监督和行业管理，确保气象监测数据安全和设施正常运行。</w:t>
      </w:r>
      <w:bookmarkStart w:id="105" w:name="_Toc16963"/>
      <w:bookmarkStart w:id="106" w:name="_Toc29047"/>
      <w:bookmarkStart w:id="107" w:name="_Toc1391"/>
      <w:bookmarkStart w:id="108" w:name="_Toc32431"/>
      <w:bookmarkStart w:id="109" w:name="_Toc13402"/>
      <w:bookmarkStart w:id="110" w:name="_Toc7470"/>
      <w:bookmarkStart w:id="111" w:name="_Toc14042"/>
      <w:bookmarkStart w:id="112" w:name="_Toc15580"/>
    </w:p>
    <w:p w14:paraId="301E799C">
      <w:pPr>
        <w:pStyle w:val="9"/>
        <w:keepNext w:val="0"/>
        <w:keepLines w:val="0"/>
        <w:pageBreakBefore w:val="0"/>
        <w:numPr>
          <w:ilvl w:val="-1"/>
          <w:numId w:val="0"/>
        </w:numPr>
        <w:kinsoku/>
        <w:wordWrap/>
        <w:overflowPunct/>
        <w:topLinePunct w:val="0"/>
        <w:autoSpaceDE/>
        <w:autoSpaceDN/>
        <w:bidi w:val="0"/>
        <w:adjustRightInd/>
        <w:snapToGrid/>
        <w:spacing w:line="520" w:lineRule="exact"/>
        <w:ind w:left="0" w:leftChars="0" w:firstLine="643" w:firstLineChars="200"/>
        <w:textAlignment w:val="auto"/>
        <w:outlineLvl w:val="2"/>
        <w:rPr>
          <w:rFonts w:hint="eastAsia" w:ascii="仿宋" w:hAnsi="仿宋" w:eastAsia="仿宋" w:cs="仿宋"/>
          <w:b/>
          <w:bCs/>
          <w:color w:val="auto"/>
          <w:sz w:val="32"/>
          <w:szCs w:val="32"/>
          <w:lang w:val="en-US" w:eastAsia="zh-CN"/>
        </w:rPr>
      </w:pPr>
      <w:bookmarkStart w:id="113" w:name="_Toc18673"/>
      <w:bookmarkStart w:id="114" w:name="_Toc29820"/>
      <w:r>
        <w:rPr>
          <w:rFonts w:hint="eastAsia" w:ascii="仿宋" w:hAnsi="仿宋" w:eastAsia="仿宋" w:cs="仿宋"/>
          <w:b/>
          <w:bCs/>
          <w:color w:val="auto"/>
          <w:sz w:val="32"/>
          <w:szCs w:val="32"/>
          <w:lang w:val="en-US" w:eastAsia="zh-CN"/>
        </w:rPr>
        <w:t>7、试生产和承包商安全管理</w:t>
      </w:r>
      <w:bookmarkEnd w:id="105"/>
      <w:bookmarkEnd w:id="106"/>
      <w:bookmarkEnd w:id="107"/>
      <w:bookmarkEnd w:id="108"/>
      <w:bookmarkEnd w:id="109"/>
      <w:bookmarkEnd w:id="110"/>
      <w:bookmarkEnd w:id="111"/>
      <w:bookmarkEnd w:id="112"/>
      <w:bookmarkEnd w:id="113"/>
      <w:bookmarkEnd w:id="114"/>
    </w:p>
    <w:p w14:paraId="44F5A3DF">
      <w:pPr>
        <w:pStyle w:val="13"/>
        <w:keepNext w:val="0"/>
        <w:keepLines w:val="0"/>
        <w:pageBreakBefore w:val="0"/>
        <w:numPr>
          <w:ilvl w:val="3"/>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37.完成试生产前期准备工作后，建设单位应当组织相关专业技术人员或专家，按照有关安全生产法律、法规、规章和国家标准、行业标准的规定，对建设项目安全设施施工情况和安全措施落实情况进行检查，并编制建设项目试生产前安全检查报告，提出建设项目是否具备试生产安全条件的明确意见。</w:t>
      </w:r>
    </w:p>
    <w:p w14:paraId="39EA5CF3">
      <w:pPr>
        <w:pStyle w:val="13"/>
        <w:keepNext w:val="0"/>
        <w:keepLines w:val="0"/>
        <w:pageBreakBefore w:val="0"/>
        <w:numPr>
          <w:ilvl w:val="3"/>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38.试生产期间当工艺路线、控制参数、原辅料等发生变更时，应严格执行变更管理制度，开展变更安全风险分析；必要时由设计单位出具设计变更联系单及相关设计图纸，并及时对试生产方案进行修订完善，修改完善后的试生产方案应由建设单位主要负责人审批发布。</w:t>
      </w:r>
    </w:p>
    <w:p w14:paraId="3AA15074">
      <w:pPr>
        <w:pStyle w:val="13"/>
        <w:keepNext w:val="0"/>
        <w:keepLines w:val="0"/>
        <w:pageBreakBefore w:val="0"/>
        <w:numPr>
          <w:ilvl w:val="3"/>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39.进入企业的承包商施工人员都应购买保险并接受安全教育培训并经考核合格（100分制80分以上）后方可进入作业现场，教育培训内容包括：1.企业安全生产情况及安全生产基本知识，2.安全生产规章制度和劳动纪律（包括作业许可证制度），3.涉及项目工程概况、施工特点和安全管理要求，4.工程施工区域内的主要危险作业项目、场所主要风险及管控措施，5.工作场所的职业危害因素及个人防护用品的使用要求，6.现场应急反应和报警，现场紧急情况下的疏散、急救和应急处理，应急救援器材的使用和逃生，7.法律法规要求的其他内容；承包商人员应遵守门禁管理制度，凭证入厂及进入施工现场；承包商作业的管理可参照《化工企业承包商安全管理指南》（T/CCSAS014—2022）执行。</w:t>
      </w:r>
    </w:p>
    <w:p w14:paraId="1A0B8D93">
      <w:pPr>
        <w:pStyle w:val="13"/>
        <w:keepNext w:val="0"/>
        <w:keepLines w:val="0"/>
        <w:pageBreakBefore w:val="0"/>
        <w:numPr>
          <w:ilvl w:val="3"/>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40.装置设施拆除工程（指整体拆除工程，不含日常检维修零部件拆除）应委托具有相应资质的施工方承揽，并与施工方签订合法合规的安全管理协议，明确各自权利和职责；应聘请具有相应资质的工程监理单位或第三方安全技术服务机构对拆除工程实施监督管理的，监理工作按《建设工程监理规范》（GB 50319）执行；应编制拆除工程总体方案、装置设施清理置换方案、危险废物处置方案等，并按规定到相关部门备案；拆除工程管理可参照《化工企业装置设施拆除安全管理规范》（T/CCSAS006—2020）执行。</w:t>
      </w:r>
    </w:p>
    <w:p w14:paraId="2CE82FD8">
      <w:pPr>
        <w:pStyle w:val="9"/>
        <w:keepNext w:val="0"/>
        <w:keepLines w:val="0"/>
        <w:pageBreakBefore w:val="0"/>
        <w:numPr>
          <w:ilvl w:val="-1"/>
          <w:numId w:val="0"/>
        </w:numPr>
        <w:kinsoku/>
        <w:wordWrap/>
        <w:overflowPunct/>
        <w:topLinePunct w:val="0"/>
        <w:autoSpaceDE/>
        <w:autoSpaceDN/>
        <w:bidi w:val="0"/>
        <w:adjustRightInd/>
        <w:snapToGrid/>
        <w:spacing w:line="520" w:lineRule="exact"/>
        <w:ind w:left="0" w:leftChars="0" w:firstLine="643" w:firstLineChars="200"/>
        <w:textAlignment w:val="auto"/>
        <w:outlineLvl w:val="2"/>
        <w:rPr>
          <w:rFonts w:hint="eastAsia" w:ascii="仿宋" w:hAnsi="仿宋" w:eastAsia="仿宋" w:cs="仿宋"/>
          <w:b/>
          <w:bCs/>
          <w:color w:val="auto"/>
          <w:sz w:val="32"/>
          <w:szCs w:val="32"/>
          <w:lang w:val="en-US" w:eastAsia="zh-CN"/>
        </w:rPr>
      </w:pPr>
      <w:bookmarkStart w:id="115" w:name="_Toc16835"/>
      <w:bookmarkStart w:id="116" w:name="_Toc9485"/>
      <w:bookmarkStart w:id="117" w:name="_Toc9182"/>
      <w:bookmarkStart w:id="118" w:name="_Toc22434"/>
      <w:bookmarkStart w:id="119" w:name="_Toc30009"/>
      <w:bookmarkStart w:id="120" w:name="_Toc3329"/>
      <w:bookmarkStart w:id="121" w:name="_Toc3450"/>
      <w:bookmarkStart w:id="122" w:name="_Toc18874"/>
      <w:r>
        <w:rPr>
          <w:rFonts w:hint="eastAsia" w:ascii="仿宋" w:hAnsi="仿宋" w:eastAsia="仿宋" w:cs="仿宋"/>
          <w:b/>
          <w:bCs/>
          <w:color w:val="auto"/>
          <w:sz w:val="32"/>
          <w:szCs w:val="32"/>
          <w:lang w:val="en-US" w:eastAsia="zh-CN"/>
        </w:rPr>
        <w:t>8、应急风险防控</w:t>
      </w:r>
      <w:bookmarkEnd w:id="115"/>
      <w:bookmarkEnd w:id="116"/>
    </w:p>
    <w:p w14:paraId="778CD5B7">
      <w:pPr>
        <w:pStyle w:val="9"/>
        <w:keepNext w:val="0"/>
        <w:keepLines w:val="0"/>
        <w:pageBreakBefore w:val="0"/>
        <w:numPr>
          <w:ilvl w:val="-1"/>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kern w:val="2"/>
          <w:sz w:val="32"/>
          <w:szCs w:val="32"/>
          <w:lang w:val="en-US" w:eastAsia="zh-CN"/>
        </w:rPr>
      </w:pPr>
      <w:r>
        <w:rPr>
          <w:rFonts w:hint="eastAsia" w:ascii="仿宋" w:hAnsi="仿宋" w:eastAsia="仿宋" w:cs="仿宋"/>
          <w:color w:val="auto"/>
          <w:kern w:val="2"/>
          <w:sz w:val="32"/>
          <w:szCs w:val="32"/>
          <w:lang w:val="en-US" w:eastAsia="zh-CN"/>
        </w:rPr>
        <w:t>41.要充分掌握周边企业危险危害因素，分析周边企业发生事故可能对本企业产生的各种危害后果，评估后果的危害程度和影响范围，提出防范和控制事故风险措施，按要求配备针对周边企业事故危害的应急物资、装备；涉及“两重点、一重大”的工作场所、岗位应编制简明、实用、有效的现场处置方案和应急处置卡，应急处置卡应当明确重点岗位、人员的应急处置程序和措施，以及相关联络人员和联系方式，并在明显位置张贴或悬挂。</w:t>
      </w:r>
    </w:p>
    <w:p w14:paraId="0A169CA5">
      <w:pPr>
        <w:pStyle w:val="9"/>
        <w:keepNext w:val="0"/>
        <w:keepLines w:val="0"/>
        <w:pageBreakBefore w:val="0"/>
        <w:numPr>
          <w:ilvl w:val="-1"/>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kern w:val="2"/>
          <w:sz w:val="32"/>
          <w:szCs w:val="32"/>
          <w:lang w:val="en-US" w:eastAsia="zh-CN"/>
        </w:rPr>
      </w:pPr>
      <w:r>
        <w:rPr>
          <w:rFonts w:hint="eastAsia" w:ascii="仿宋" w:hAnsi="仿宋" w:eastAsia="仿宋" w:cs="仿宋"/>
          <w:color w:val="auto"/>
          <w:kern w:val="2"/>
          <w:sz w:val="32"/>
          <w:szCs w:val="32"/>
          <w:lang w:val="en-US" w:eastAsia="zh-CN"/>
        </w:rPr>
        <w:t>42.应急培训作为重要内容纳入企业安全生产教育培训计划，要求生产区域现场作业人员均能熟练使用灭火器、消防栓等消防器材，每半年至少组织1次综合或者专项应急预案演练，每三年至少完成一轮专项应急预案全覆盖演练，每年至少完成一轮现场处置方案全覆盖演练，不定期开展应急拉练，做好应急演练记录和总结评估。</w:t>
      </w:r>
    </w:p>
    <w:p w14:paraId="47D3D5BD">
      <w:pPr>
        <w:pStyle w:val="9"/>
        <w:keepNext w:val="0"/>
        <w:keepLines w:val="0"/>
        <w:pageBreakBefore w:val="0"/>
        <w:numPr>
          <w:ilvl w:val="-1"/>
          <w:numId w:val="0"/>
        </w:numPr>
        <w:kinsoku/>
        <w:wordWrap/>
        <w:overflowPunct/>
        <w:topLinePunct w:val="0"/>
        <w:autoSpaceDE/>
        <w:autoSpaceDN/>
        <w:bidi w:val="0"/>
        <w:adjustRightInd/>
        <w:snapToGrid/>
        <w:spacing w:line="520" w:lineRule="exact"/>
        <w:ind w:firstLine="643" w:firstLineChars="200"/>
        <w:textAlignment w:val="auto"/>
        <w:outlineLvl w:val="1"/>
        <w:rPr>
          <w:rFonts w:hint="eastAsia" w:ascii="仿宋" w:hAnsi="仿宋" w:eastAsia="仿宋" w:cs="仿宋"/>
          <w:b/>
          <w:bCs/>
          <w:color w:val="auto"/>
          <w:sz w:val="32"/>
          <w:szCs w:val="32"/>
          <w:lang w:val="en-US" w:eastAsia="zh-CN"/>
        </w:rPr>
      </w:pPr>
      <w:bookmarkStart w:id="123" w:name="_Toc31456"/>
      <w:bookmarkStart w:id="124" w:name="_Toc6224"/>
      <w:r>
        <w:rPr>
          <w:rFonts w:hint="eastAsia" w:ascii="仿宋" w:hAnsi="仿宋" w:eastAsia="仿宋" w:cs="仿宋"/>
          <w:b/>
          <w:bCs/>
          <w:color w:val="auto"/>
          <w:sz w:val="32"/>
          <w:szCs w:val="32"/>
          <w:lang w:val="en-US" w:eastAsia="zh-CN"/>
        </w:rPr>
        <w:t>（二）筑牢生态保护</w:t>
      </w:r>
      <w:bookmarkEnd w:id="117"/>
      <w:bookmarkEnd w:id="118"/>
      <w:bookmarkEnd w:id="119"/>
      <w:bookmarkEnd w:id="120"/>
      <w:r>
        <w:rPr>
          <w:rFonts w:hint="eastAsia" w:ascii="仿宋" w:hAnsi="仿宋" w:eastAsia="仿宋" w:cs="仿宋"/>
          <w:b/>
          <w:bCs/>
          <w:color w:val="auto"/>
          <w:sz w:val="32"/>
          <w:szCs w:val="32"/>
          <w:lang w:val="en-US" w:eastAsia="zh-CN"/>
        </w:rPr>
        <w:t>屏障</w:t>
      </w:r>
      <w:bookmarkEnd w:id="121"/>
      <w:bookmarkEnd w:id="122"/>
      <w:bookmarkEnd w:id="123"/>
      <w:bookmarkEnd w:id="124"/>
    </w:p>
    <w:p w14:paraId="4B82BB4C">
      <w:pPr>
        <w:pStyle w:val="9"/>
        <w:keepNext w:val="0"/>
        <w:keepLines w:val="0"/>
        <w:pageBreakBefore w:val="0"/>
        <w:numPr>
          <w:ilvl w:val="-1"/>
          <w:numId w:val="0"/>
        </w:numPr>
        <w:kinsoku/>
        <w:wordWrap/>
        <w:overflowPunct/>
        <w:topLinePunct w:val="0"/>
        <w:autoSpaceDE/>
        <w:autoSpaceDN/>
        <w:bidi w:val="0"/>
        <w:adjustRightInd/>
        <w:snapToGrid/>
        <w:spacing w:line="520" w:lineRule="exact"/>
        <w:ind w:left="0" w:leftChars="0" w:firstLine="643" w:firstLineChars="200"/>
        <w:textAlignment w:val="auto"/>
        <w:outlineLvl w:val="2"/>
        <w:rPr>
          <w:rFonts w:hint="eastAsia" w:ascii="仿宋" w:hAnsi="仿宋" w:eastAsia="仿宋" w:cs="仿宋"/>
          <w:b/>
          <w:bCs/>
          <w:color w:val="auto"/>
          <w:sz w:val="32"/>
          <w:szCs w:val="32"/>
          <w:lang w:val="en-US" w:eastAsia="zh-CN"/>
        </w:rPr>
      </w:pPr>
      <w:bookmarkStart w:id="125" w:name="_Toc28893"/>
      <w:bookmarkStart w:id="126" w:name="_Toc10057"/>
      <w:bookmarkStart w:id="127" w:name="_Toc16073"/>
      <w:bookmarkStart w:id="128" w:name="_Toc20153"/>
      <w:bookmarkStart w:id="129" w:name="_Toc11517"/>
      <w:bookmarkStart w:id="130" w:name="_Toc29564"/>
      <w:bookmarkStart w:id="131" w:name="_Toc9137"/>
      <w:bookmarkStart w:id="132" w:name="_Toc6673"/>
      <w:r>
        <w:rPr>
          <w:rFonts w:hint="eastAsia" w:ascii="仿宋" w:hAnsi="仿宋" w:eastAsia="仿宋" w:cs="仿宋"/>
          <w:b/>
          <w:bCs/>
          <w:color w:val="auto"/>
          <w:sz w:val="32"/>
          <w:szCs w:val="32"/>
          <w:lang w:val="en-US" w:eastAsia="zh-CN"/>
        </w:rPr>
        <w:t>1、</w:t>
      </w:r>
      <w:bookmarkEnd w:id="125"/>
      <w:bookmarkEnd w:id="126"/>
      <w:bookmarkEnd w:id="127"/>
      <w:bookmarkEnd w:id="128"/>
      <w:bookmarkStart w:id="133" w:name="_Toc29338"/>
      <w:bookmarkStart w:id="134" w:name="_Toc29415"/>
      <w:bookmarkStart w:id="135" w:name="_Toc27454"/>
      <w:bookmarkStart w:id="136" w:name="_Toc12065"/>
      <w:r>
        <w:rPr>
          <w:rFonts w:hint="eastAsia" w:ascii="仿宋" w:hAnsi="仿宋" w:eastAsia="仿宋" w:cs="仿宋"/>
          <w:b/>
          <w:bCs/>
          <w:color w:val="auto"/>
          <w:sz w:val="32"/>
          <w:szCs w:val="32"/>
          <w:lang w:val="en-US" w:eastAsia="zh-CN"/>
        </w:rPr>
        <w:t>环保基础管理</w:t>
      </w:r>
      <w:bookmarkEnd w:id="129"/>
      <w:bookmarkEnd w:id="130"/>
      <w:bookmarkEnd w:id="131"/>
      <w:bookmarkEnd w:id="132"/>
      <w:bookmarkEnd w:id="133"/>
      <w:bookmarkEnd w:id="134"/>
      <w:bookmarkEnd w:id="135"/>
      <w:bookmarkEnd w:id="136"/>
    </w:p>
    <w:p w14:paraId="65D7F9E9">
      <w:pPr>
        <w:pStyle w:val="9"/>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kern w:val="2"/>
          <w:sz w:val="32"/>
          <w:szCs w:val="32"/>
          <w:lang w:val="en-US" w:eastAsia="zh-CN"/>
        </w:rPr>
      </w:pPr>
      <w:r>
        <w:rPr>
          <w:rFonts w:hint="eastAsia" w:ascii="仿宋" w:hAnsi="仿宋" w:eastAsia="仿宋" w:cs="仿宋"/>
          <w:color w:val="auto"/>
          <w:kern w:val="2"/>
          <w:sz w:val="32"/>
          <w:szCs w:val="32"/>
          <w:lang w:val="en-US" w:eastAsia="zh-CN"/>
        </w:rPr>
        <w:t>43.企业应成立专业生态环境管理团队，落实环保管理专人负责制，设立环保总监/经理，全面了解掌握企业环保现状，精通生态环境领域相关法律法规及标准规范，具备相关环保管理及环境事故应急处置能力。</w:t>
      </w:r>
    </w:p>
    <w:p w14:paraId="03948B8C">
      <w:pPr>
        <w:pStyle w:val="9"/>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kern w:val="2"/>
          <w:sz w:val="32"/>
          <w:szCs w:val="32"/>
          <w:lang w:val="en-US" w:eastAsia="zh-CN"/>
        </w:rPr>
      </w:pPr>
      <w:r>
        <w:rPr>
          <w:rFonts w:hint="eastAsia" w:ascii="仿宋" w:hAnsi="仿宋" w:eastAsia="仿宋" w:cs="仿宋"/>
          <w:color w:val="auto"/>
          <w:kern w:val="2"/>
          <w:sz w:val="32"/>
          <w:szCs w:val="32"/>
          <w:lang w:val="en-US" w:eastAsia="zh-CN" w:bidi="ar-SA"/>
        </w:rPr>
        <w:t>44.</w:t>
      </w:r>
      <w:r>
        <w:rPr>
          <w:rFonts w:hint="eastAsia" w:ascii="仿宋" w:hAnsi="仿宋" w:eastAsia="仿宋" w:cs="仿宋"/>
          <w:color w:val="auto"/>
          <w:kern w:val="2"/>
          <w:sz w:val="32"/>
          <w:szCs w:val="32"/>
          <w:lang w:val="en-US" w:eastAsia="zh-CN"/>
        </w:rPr>
        <w:t>企业应制定生态环境保护制度，明确责任人及其职责；建立内部环保考核体系，成立HSE部门，对环保违规行为进行考核，并保留考核记录。应建立健全企业环保管理“一厂一册”档案资料及生态环境管理台账，台账齐全、规范。</w:t>
      </w:r>
    </w:p>
    <w:p w14:paraId="79B08E96">
      <w:pPr>
        <w:pStyle w:val="9"/>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kern w:val="2"/>
          <w:sz w:val="32"/>
          <w:szCs w:val="32"/>
          <w:lang w:val="en-US" w:eastAsia="zh-CN"/>
        </w:rPr>
      </w:pPr>
      <w:r>
        <w:rPr>
          <w:rFonts w:hint="eastAsia" w:ascii="仿宋" w:hAnsi="仿宋" w:eastAsia="仿宋" w:cs="仿宋"/>
          <w:color w:val="auto"/>
          <w:kern w:val="2"/>
          <w:sz w:val="32"/>
          <w:szCs w:val="32"/>
          <w:lang w:val="en-US" w:eastAsia="zh-CN"/>
        </w:rPr>
        <w:t>45.企业应严格落实排污许可管理，在实际排污行为发生前取得排污许可证（存在多个生产经营场所的，应分别申领），按证制定实施自行监测方案，并在浙江省排污单位自行监测信息公开平台公开。排污许可证上排污权应与浙江省排污权交易网数据一致，如企业在有效期内出现新建、扩建、改建的项目，其中污染物排放口位置、数量或污染物种类、排放量、浓度增加应重新申领排污许可证；实行排污许可重点管理的，按规范及环评批复要求落实污染源在线监测。</w:t>
      </w:r>
    </w:p>
    <w:p w14:paraId="652E063A">
      <w:pPr>
        <w:pStyle w:val="9"/>
        <w:keepNext w:val="0"/>
        <w:keepLines w:val="0"/>
        <w:pageBreakBefore w:val="0"/>
        <w:numPr>
          <w:ilvl w:val="-1"/>
          <w:numId w:val="0"/>
        </w:numPr>
        <w:kinsoku/>
        <w:wordWrap/>
        <w:overflowPunct/>
        <w:topLinePunct w:val="0"/>
        <w:autoSpaceDE/>
        <w:autoSpaceDN/>
        <w:bidi w:val="0"/>
        <w:adjustRightInd/>
        <w:snapToGrid/>
        <w:spacing w:line="520" w:lineRule="exact"/>
        <w:ind w:left="0" w:leftChars="0" w:firstLine="643" w:firstLineChars="200"/>
        <w:textAlignment w:val="auto"/>
        <w:outlineLvl w:val="2"/>
        <w:rPr>
          <w:rFonts w:hint="eastAsia" w:ascii="仿宋" w:hAnsi="仿宋" w:eastAsia="仿宋" w:cs="仿宋"/>
          <w:b/>
          <w:bCs/>
          <w:color w:val="auto"/>
          <w:sz w:val="32"/>
          <w:szCs w:val="32"/>
          <w:lang w:val="en-US" w:eastAsia="zh-CN"/>
        </w:rPr>
      </w:pPr>
      <w:bookmarkStart w:id="137" w:name="_Toc29622"/>
      <w:bookmarkStart w:id="138" w:name="_Toc13294"/>
      <w:bookmarkStart w:id="139" w:name="_Toc6808"/>
      <w:bookmarkStart w:id="140" w:name="_Toc12733"/>
      <w:bookmarkStart w:id="141" w:name="_Toc24795"/>
      <w:bookmarkStart w:id="142" w:name="_Toc19886"/>
      <w:bookmarkStart w:id="143" w:name="_Toc12166"/>
      <w:bookmarkStart w:id="144" w:name="_Toc741"/>
      <w:r>
        <w:rPr>
          <w:rFonts w:hint="eastAsia" w:ascii="仿宋" w:hAnsi="仿宋" w:eastAsia="仿宋" w:cs="仿宋"/>
          <w:b/>
          <w:bCs/>
          <w:color w:val="auto"/>
          <w:sz w:val="32"/>
          <w:szCs w:val="32"/>
          <w:lang w:val="en-US" w:eastAsia="zh-CN"/>
        </w:rPr>
        <w:t>2、环保源头管理</w:t>
      </w:r>
      <w:bookmarkEnd w:id="137"/>
      <w:bookmarkEnd w:id="138"/>
      <w:bookmarkEnd w:id="139"/>
      <w:bookmarkEnd w:id="140"/>
      <w:bookmarkEnd w:id="141"/>
      <w:bookmarkEnd w:id="142"/>
      <w:bookmarkEnd w:id="143"/>
      <w:bookmarkEnd w:id="144"/>
    </w:p>
    <w:p w14:paraId="2E551A4A">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kern w:val="2"/>
          <w:sz w:val="32"/>
          <w:szCs w:val="32"/>
          <w:lang w:val="en-US" w:eastAsia="zh-CN"/>
        </w:rPr>
      </w:pPr>
      <w:r>
        <w:rPr>
          <w:rFonts w:hint="eastAsia" w:ascii="仿宋" w:hAnsi="仿宋" w:eastAsia="仿宋" w:cs="仿宋"/>
          <w:color w:val="auto"/>
          <w:kern w:val="2"/>
          <w:sz w:val="32"/>
          <w:szCs w:val="32"/>
          <w:lang w:val="en-US" w:eastAsia="zh-CN"/>
        </w:rPr>
        <w:t>46.企业应定期通过强制性清洁生产审核。新建和推倒重建的生产车间宜采用垂直流设计，优先使用低毒、低臭、低挥发性的原辅材料，</w:t>
      </w:r>
      <w:r>
        <w:rPr>
          <w:rFonts w:hint="eastAsia" w:ascii="仿宋" w:hAnsi="仿宋" w:eastAsia="仿宋" w:cs="仿宋"/>
          <w:color w:val="auto"/>
          <w:kern w:val="2"/>
          <w:sz w:val="32"/>
          <w:szCs w:val="32"/>
          <w:highlight w:val="none"/>
          <w:lang w:val="en-US" w:eastAsia="zh-CN"/>
        </w:rPr>
        <w:t>鼓励</w:t>
      </w:r>
      <w:r>
        <w:rPr>
          <w:rFonts w:hint="eastAsia" w:ascii="仿宋" w:hAnsi="仿宋" w:eastAsia="仿宋" w:cs="仿宋"/>
          <w:color w:val="auto"/>
          <w:kern w:val="2"/>
          <w:sz w:val="32"/>
          <w:szCs w:val="32"/>
          <w:lang w:val="en-US" w:eastAsia="zh-CN"/>
        </w:rPr>
        <w:t>对芳香烃、含卤素有机化合物的绿色替代。企业宜应用微通道或管道反应器等连续化生产新技术、新工艺。加强过程控制，生产工艺和设备实现密闭化、连续化、管道化。不应使用产业政策和规范文件中规定的要求淘汰、限制使用的产品、工艺、设备等。</w:t>
      </w:r>
    </w:p>
    <w:p w14:paraId="7BFB8F5D">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bidi="ar-SA"/>
        </w:rPr>
        <w:t>47.</w:t>
      </w:r>
      <w:r>
        <w:rPr>
          <w:rFonts w:hint="eastAsia" w:ascii="仿宋" w:hAnsi="仿宋" w:eastAsia="仿宋" w:cs="仿宋"/>
          <w:color w:val="auto"/>
          <w:kern w:val="2"/>
          <w:sz w:val="32"/>
          <w:szCs w:val="32"/>
          <w:lang w:val="en-US" w:eastAsia="zh-CN"/>
        </w:rPr>
        <w:t>涉VOCs物料固定顶储罐应采用低泄漏的呼吸阀、氮封、降温设施等措施，呼吸废气宜采用冷凝回流、</w:t>
      </w:r>
      <w:r>
        <w:rPr>
          <w:rFonts w:hint="eastAsia" w:ascii="仿宋" w:hAnsi="仿宋" w:eastAsia="仿宋" w:cs="仿宋"/>
          <w:color w:val="auto"/>
          <w:kern w:val="2"/>
          <w:sz w:val="32"/>
          <w:szCs w:val="32"/>
          <w:highlight w:val="none"/>
          <w:lang w:val="en-US" w:eastAsia="zh-CN"/>
        </w:rPr>
        <w:t>树脂或活性炭</w:t>
      </w:r>
      <w:r>
        <w:rPr>
          <w:rFonts w:hint="eastAsia" w:ascii="仿宋" w:hAnsi="仿宋" w:eastAsia="仿宋" w:cs="仿宋"/>
          <w:color w:val="auto"/>
          <w:kern w:val="2"/>
          <w:sz w:val="32"/>
          <w:szCs w:val="32"/>
          <w:lang w:val="en-US" w:eastAsia="zh-CN"/>
        </w:rPr>
        <w:t>吸附等方式有效处理后排放。涉VOCs物料装卸应采用装有平衡管且封闭的装卸系统，涉VOCs物料的压缩机和泵应采用无泄漏机泵。反应釜、管道等装备拆除前应清洗清理干净，原料、产品、使用过的物料桶和废弃反应釜、管道等装备应及时处理，不应露天堆放。物料运输应采用清洁运输或国</w:t>
      </w:r>
      <w:r>
        <w:rPr>
          <w:rFonts w:hint="eastAsia" w:ascii="仿宋" w:hAnsi="仿宋" w:eastAsia="仿宋" w:cs="仿宋"/>
          <w:color w:val="auto"/>
          <w:kern w:val="2"/>
          <w:sz w:val="32"/>
          <w:szCs w:val="32"/>
          <w:highlight w:val="none"/>
          <w:lang w:val="en-US" w:eastAsia="zh-CN"/>
        </w:rPr>
        <w:t>五</w:t>
      </w:r>
      <w:r>
        <w:rPr>
          <w:rFonts w:hint="eastAsia" w:ascii="仿宋" w:hAnsi="仿宋" w:eastAsia="仿宋" w:cs="仿宋"/>
          <w:color w:val="auto"/>
          <w:kern w:val="2"/>
          <w:sz w:val="32"/>
          <w:szCs w:val="32"/>
          <w:lang w:val="en-US" w:eastAsia="zh-CN"/>
        </w:rPr>
        <w:t>及以上排放标准车辆，</w:t>
      </w:r>
      <w:r>
        <w:rPr>
          <w:rFonts w:hint="eastAsia" w:ascii="仿宋" w:hAnsi="仿宋" w:eastAsia="仿宋" w:cs="仿宋"/>
          <w:color w:val="auto"/>
          <w:kern w:val="2"/>
          <w:sz w:val="32"/>
          <w:szCs w:val="32"/>
          <w:lang w:eastAsia="zh-CN"/>
          <w:woUserID w:val="1"/>
        </w:rPr>
        <w:t>鼓励有条件企业采用新能源或国六排放标准车辆，</w:t>
      </w:r>
      <w:r>
        <w:rPr>
          <w:rFonts w:hint="eastAsia" w:ascii="仿宋" w:hAnsi="仿宋" w:eastAsia="仿宋" w:cs="仿宋"/>
          <w:color w:val="auto"/>
          <w:kern w:val="2"/>
          <w:sz w:val="32"/>
          <w:szCs w:val="32"/>
          <w:lang w:val="en-US" w:eastAsia="zh-CN"/>
        </w:rPr>
        <w:t>完成门禁监管系统安装联网</w:t>
      </w:r>
      <w:r>
        <w:rPr>
          <w:rFonts w:hint="eastAsia" w:ascii="仿宋" w:hAnsi="仿宋" w:eastAsia="仿宋" w:cs="仿宋"/>
          <w:color w:val="auto"/>
          <w:kern w:val="2"/>
          <w:sz w:val="32"/>
          <w:szCs w:val="32"/>
        </w:rPr>
        <w:t>。</w:t>
      </w:r>
    </w:p>
    <w:p w14:paraId="0BF6A55B">
      <w:pPr>
        <w:pStyle w:val="9"/>
        <w:keepNext w:val="0"/>
        <w:keepLines w:val="0"/>
        <w:pageBreakBefore w:val="0"/>
        <w:numPr>
          <w:ilvl w:val="-1"/>
          <w:numId w:val="0"/>
        </w:numPr>
        <w:kinsoku/>
        <w:wordWrap/>
        <w:overflowPunct/>
        <w:topLinePunct w:val="0"/>
        <w:autoSpaceDE/>
        <w:autoSpaceDN/>
        <w:bidi w:val="0"/>
        <w:adjustRightInd/>
        <w:snapToGrid/>
        <w:spacing w:line="520" w:lineRule="exact"/>
        <w:ind w:left="0" w:leftChars="0" w:firstLine="643" w:firstLineChars="200"/>
        <w:textAlignment w:val="auto"/>
        <w:outlineLvl w:val="2"/>
        <w:rPr>
          <w:rFonts w:hint="eastAsia" w:ascii="仿宋" w:hAnsi="仿宋" w:eastAsia="仿宋" w:cs="仿宋"/>
          <w:b/>
          <w:bCs/>
          <w:color w:val="auto"/>
          <w:sz w:val="32"/>
          <w:szCs w:val="32"/>
          <w:lang w:val="en-US" w:eastAsia="zh-CN"/>
        </w:rPr>
      </w:pPr>
      <w:bookmarkStart w:id="145" w:name="_Toc15379"/>
      <w:bookmarkStart w:id="146" w:name="_Toc9944"/>
      <w:bookmarkStart w:id="147" w:name="_Toc3741"/>
      <w:bookmarkStart w:id="148" w:name="_Toc9691"/>
      <w:bookmarkStart w:id="149" w:name="_Toc24229"/>
      <w:bookmarkStart w:id="150" w:name="_Toc14701"/>
      <w:bookmarkStart w:id="151" w:name="_Toc752"/>
      <w:bookmarkStart w:id="152" w:name="_Toc9561"/>
      <w:r>
        <w:rPr>
          <w:rFonts w:hint="eastAsia" w:ascii="仿宋" w:hAnsi="仿宋" w:eastAsia="仿宋" w:cs="仿宋"/>
          <w:b/>
          <w:bCs/>
          <w:color w:val="auto"/>
          <w:sz w:val="32"/>
          <w:szCs w:val="32"/>
          <w:lang w:val="en-US" w:eastAsia="zh-CN"/>
        </w:rPr>
        <w:t>3、废水处置</w:t>
      </w:r>
      <w:bookmarkEnd w:id="145"/>
      <w:bookmarkEnd w:id="146"/>
      <w:bookmarkEnd w:id="147"/>
      <w:bookmarkEnd w:id="148"/>
      <w:bookmarkEnd w:id="149"/>
      <w:bookmarkEnd w:id="150"/>
      <w:bookmarkEnd w:id="151"/>
      <w:bookmarkEnd w:id="152"/>
    </w:p>
    <w:p w14:paraId="6401D3AE">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kern w:val="2"/>
          <w:sz w:val="32"/>
          <w:szCs w:val="32"/>
          <w:lang w:val="en-US" w:eastAsia="zh-CN"/>
        </w:rPr>
      </w:pPr>
      <w:r>
        <w:rPr>
          <w:rFonts w:hint="eastAsia" w:ascii="仿宋" w:hAnsi="仿宋" w:eastAsia="仿宋" w:cs="仿宋"/>
          <w:color w:val="auto"/>
          <w:kern w:val="2"/>
          <w:sz w:val="32"/>
          <w:szCs w:val="32"/>
          <w:lang w:val="en-US" w:eastAsia="zh-CN"/>
        </w:rPr>
        <w:t>48.企业应建设独立的清污分流、雨污分流系统，各类废水和初期雨水应纳尽纳，生产废水分类收集、分质预处理，管网及辅助设施有明确的标识。厂区生产废水管网采用明管化或架空敷设；装置或车间内工艺废水（含设备冲洗水）采用明管化收集，不应采用地埋管道或明沟；装置或车间内用于收集地面冲洗等非工艺废水的导流沟、地沟应防腐、防渗；装置或车间内废水储存设施宜采用地上罐，如现有已采用地下水池，应在池中套罐作为废水收集设施。易污染区域应进行防渗处理，设置围堰。</w:t>
      </w:r>
      <w:r>
        <w:rPr>
          <w:rFonts w:hint="eastAsia" w:ascii="仿宋" w:hAnsi="仿宋" w:eastAsia="仿宋" w:cs="仿宋"/>
          <w:color w:val="auto"/>
          <w:kern w:val="2"/>
          <w:sz w:val="32"/>
          <w:szCs w:val="32"/>
          <w:lang w:eastAsia="zh-CN"/>
          <w:woUserID w:val="1"/>
        </w:rPr>
        <w:t>定期</w:t>
      </w:r>
      <w:r>
        <w:rPr>
          <w:rFonts w:hint="eastAsia" w:ascii="仿宋" w:hAnsi="仿宋" w:eastAsia="仿宋" w:cs="仿宋"/>
          <w:i w:val="0"/>
          <w:caps w:val="0"/>
          <w:color w:val="auto"/>
          <w:spacing w:val="0"/>
          <w:sz w:val="32"/>
          <w:szCs w:val="32"/>
          <w:shd w:val="clear" w:fill="auto"/>
          <w:woUserID w:val="1"/>
        </w:rPr>
        <w:t>对开式循环水冷却塔循环水</w:t>
      </w:r>
      <w:r>
        <w:rPr>
          <w:rFonts w:hint="eastAsia" w:ascii="仿宋" w:hAnsi="仿宋" w:eastAsia="仿宋" w:cs="仿宋"/>
          <w:i w:val="0"/>
          <w:caps w:val="0"/>
          <w:color w:val="auto"/>
          <w:spacing w:val="0"/>
          <w:sz w:val="32"/>
          <w:szCs w:val="32"/>
          <w:shd w:val="clear"/>
          <w:woUserID w:val="1"/>
        </w:rPr>
        <w:t>进行总有机碳</w:t>
      </w:r>
      <w:r>
        <w:rPr>
          <w:rFonts w:hint="eastAsia" w:ascii="仿宋" w:hAnsi="仿宋" w:eastAsia="仿宋" w:cs="仿宋"/>
          <w:i w:val="0"/>
          <w:caps w:val="0"/>
          <w:color w:val="auto"/>
          <w:spacing w:val="0"/>
          <w:sz w:val="32"/>
          <w:szCs w:val="32"/>
          <w:shd w:val="clear" w:fill="auto"/>
          <w:woUserID w:val="1"/>
        </w:rPr>
        <w:t>监测</w:t>
      </w:r>
      <w:r>
        <w:rPr>
          <w:rFonts w:hint="eastAsia" w:ascii="仿宋" w:hAnsi="仿宋" w:eastAsia="仿宋" w:cs="仿宋"/>
          <w:i w:val="0"/>
          <w:caps w:val="0"/>
          <w:color w:val="auto"/>
          <w:spacing w:val="0"/>
          <w:sz w:val="32"/>
          <w:szCs w:val="32"/>
          <w:shd w:val="clear"/>
          <w:woUserID w:val="1"/>
        </w:rPr>
        <w:t>，</w:t>
      </w:r>
      <w:r>
        <w:rPr>
          <w:rFonts w:hint="eastAsia" w:ascii="仿宋" w:hAnsi="仿宋" w:eastAsia="仿宋" w:cs="仿宋"/>
          <w:color w:val="auto"/>
          <w:kern w:val="2"/>
          <w:sz w:val="32"/>
          <w:szCs w:val="32"/>
          <w:lang w:val="en-US" w:eastAsia="zh-CN"/>
        </w:rPr>
        <w:t>初期雨水收集系统覆盖范围合理，配备雨水自动切换闸阀，排放口安装智能化监控设施（在线监测或留样监测），雨水入河处规范设置标识牌，至少每半年开展一次监测。</w:t>
      </w:r>
    </w:p>
    <w:p w14:paraId="4C387D3B">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bidi="ar-SA"/>
        </w:rPr>
        <w:t>49.</w:t>
      </w:r>
      <w:r>
        <w:rPr>
          <w:rFonts w:hint="eastAsia" w:ascii="仿宋" w:hAnsi="仿宋" w:eastAsia="仿宋" w:cs="仿宋"/>
          <w:color w:val="auto"/>
          <w:kern w:val="2"/>
          <w:sz w:val="32"/>
          <w:szCs w:val="32"/>
          <w:lang w:val="en-US" w:eastAsia="zh-CN"/>
        </w:rPr>
        <w:t>日常设备</w:t>
      </w:r>
      <w:r>
        <w:rPr>
          <w:rFonts w:hint="eastAsia" w:ascii="仿宋" w:hAnsi="仿宋" w:eastAsia="仿宋" w:cs="仿宋"/>
          <w:color w:val="auto"/>
          <w:kern w:val="2"/>
          <w:sz w:val="32"/>
          <w:szCs w:val="32"/>
          <w:highlight w:val="none"/>
          <w:lang w:val="en-US" w:eastAsia="zh-CN"/>
        </w:rPr>
        <w:t>内部</w:t>
      </w:r>
      <w:r>
        <w:rPr>
          <w:rFonts w:hint="eastAsia" w:ascii="仿宋" w:hAnsi="仿宋" w:eastAsia="仿宋" w:cs="仿宋"/>
          <w:color w:val="auto"/>
          <w:kern w:val="2"/>
          <w:sz w:val="32"/>
          <w:szCs w:val="32"/>
          <w:lang w:val="en-US" w:eastAsia="zh-CN"/>
        </w:rPr>
        <w:t>冲洗水、排凝排液等不应通过地漏、地沟收集和排放。含有第一类污染物的废水排放口和全厂总排放口出水各项污染物应稳定达到排放标准要求。</w:t>
      </w:r>
    </w:p>
    <w:p w14:paraId="647303BC">
      <w:pPr>
        <w:pStyle w:val="9"/>
        <w:keepNext w:val="0"/>
        <w:keepLines w:val="0"/>
        <w:pageBreakBefore w:val="0"/>
        <w:numPr>
          <w:ilvl w:val="-1"/>
          <w:numId w:val="0"/>
        </w:numPr>
        <w:kinsoku/>
        <w:wordWrap/>
        <w:overflowPunct/>
        <w:topLinePunct w:val="0"/>
        <w:autoSpaceDE/>
        <w:autoSpaceDN/>
        <w:bidi w:val="0"/>
        <w:adjustRightInd/>
        <w:snapToGrid/>
        <w:spacing w:line="520" w:lineRule="exact"/>
        <w:ind w:left="0" w:leftChars="0" w:firstLine="643" w:firstLineChars="200"/>
        <w:textAlignment w:val="auto"/>
        <w:outlineLvl w:val="2"/>
        <w:rPr>
          <w:rFonts w:hint="eastAsia" w:ascii="仿宋" w:hAnsi="仿宋" w:eastAsia="仿宋" w:cs="仿宋"/>
          <w:b/>
          <w:bCs/>
          <w:color w:val="auto"/>
          <w:sz w:val="32"/>
          <w:szCs w:val="32"/>
          <w:lang w:val="en-US" w:eastAsia="zh-CN"/>
        </w:rPr>
      </w:pPr>
      <w:bookmarkStart w:id="153" w:name="_Toc16685"/>
      <w:bookmarkStart w:id="154" w:name="_Toc15285"/>
      <w:bookmarkStart w:id="155" w:name="_Toc7908"/>
      <w:bookmarkStart w:id="156" w:name="_Toc24966"/>
      <w:bookmarkStart w:id="157" w:name="_Toc18652"/>
      <w:bookmarkStart w:id="158" w:name="_Toc32042"/>
      <w:bookmarkStart w:id="159" w:name="_Toc24144"/>
      <w:bookmarkStart w:id="160" w:name="_Toc22804"/>
      <w:r>
        <w:rPr>
          <w:rFonts w:hint="eastAsia" w:ascii="仿宋" w:hAnsi="仿宋" w:eastAsia="仿宋" w:cs="仿宋"/>
          <w:b/>
          <w:bCs/>
          <w:color w:val="auto"/>
          <w:sz w:val="32"/>
          <w:szCs w:val="32"/>
          <w:lang w:val="en-US" w:eastAsia="zh-CN"/>
        </w:rPr>
        <w:t>4、废气处置</w:t>
      </w:r>
      <w:bookmarkEnd w:id="153"/>
      <w:bookmarkEnd w:id="154"/>
      <w:bookmarkEnd w:id="155"/>
      <w:bookmarkEnd w:id="156"/>
      <w:bookmarkEnd w:id="157"/>
      <w:bookmarkEnd w:id="158"/>
      <w:bookmarkEnd w:id="159"/>
      <w:bookmarkEnd w:id="160"/>
    </w:p>
    <w:p w14:paraId="34486C01">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50.现有制药、农药等建设项目应达到大气污染防治绩效B级及以上水平。企业应对周转量大、涉异味物质等储罐采用低泄漏呼吸阀，定期开展密封性检测。废气收集应全部采用管道、密闭设备或全密闭集气罩，液体投料应采用重力流或正压输送，异味明显的固体投料采用固体投料器，易挥发或易产生异味的生产工序宜采用密闭设施，异味明显的成品包装单元根据包装形式选用效率高、物料转移简单、自动化程度高的包装设备，</w:t>
      </w:r>
      <w:r>
        <w:rPr>
          <w:rFonts w:hint="eastAsia" w:ascii="仿宋" w:hAnsi="仿宋" w:eastAsia="仿宋" w:cs="仿宋"/>
          <w:color w:val="auto"/>
          <w:kern w:val="2"/>
          <w:sz w:val="32"/>
          <w:szCs w:val="32"/>
          <w:lang w:val="en-US" w:eastAsia="zh-CN"/>
        </w:rPr>
        <w:t>如设施、设备难以实现预期效果，</w:t>
      </w:r>
      <w:r>
        <w:rPr>
          <w:rFonts w:hint="eastAsia" w:ascii="仿宋" w:hAnsi="仿宋" w:eastAsia="仿宋" w:cs="仿宋"/>
          <w:color w:val="auto"/>
          <w:kern w:val="2"/>
          <w:sz w:val="32"/>
          <w:szCs w:val="32"/>
        </w:rPr>
        <w:t>应设置密闭隔间，</w:t>
      </w:r>
      <w:r>
        <w:rPr>
          <w:rFonts w:hint="eastAsia" w:ascii="仿宋" w:hAnsi="仿宋" w:eastAsia="仿宋" w:cs="仿宋"/>
          <w:color w:val="auto"/>
          <w:sz w:val="32"/>
          <w:szCs w:val="32"/>
          <w:lang w:val="en-US" w:eastAsia="zh-CN"/>
        </w:rPr>
        <w:t>对废气产生点位采取局部集气罩的方式收集，合理包围、靠近污染源，集气罩控制风速不应低于0.3 m/s。</w:t>
      </w:r>
    </w:p>
    <w:p w14:paraId="6F693309">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kern w:val="2"/>
          <w:sz w:val="32"/>
          <w:szCs w:val="32"/>
          <w:lang w:val="en-US" w:eastAsia="zh-CN" w:bidi="ar-SA"/>
        </w:rPr>
        <w:t>51.</w:t>
      </w:r>
      <w:r>
        <w:rPr>
          <w:rFonts w:hint="eastAsia" w:ascii="仿宋" w:hAnsi="仿宋" w:eastAsia="仿宋" w:cs="仿宋"/>
          <w:color w:val="auto"/>
          <w:sz w:val="32"/>
          <w:szCs w:val="32"/>
          <w:lang w:val="en-US" w:eastAsia="zh-CN"/>
        </w:rPr>
        <w:t>企业应根据废气类别分质分类收集处理，工艺废气应优先考虑回收利用，难以回收利用的收集处理。应淘汰低效VOC治理设施；非水溶性、不含卤代烃的VOCs废气处理应规范采用RTO焚烧或等效工艺，特别关注温度、停留时间、流速、活性炭选型及装填量、更换频次等参数。对于必须设置的旁路，增设流量计或其他感应设备，保留开启操作历史记录，开启后应及时向生态环境部门报告。严禁正常工况下废气通过旁路排放，或通过旁路补风现象发生。</w:t>
      </w:r>
    </w:p>
    <w:p w14:paraId="7B114F8E">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52.在非正常工况期间，作业产生的VOCs废气应及时收集处理。载有气态、液态VOCs物料设备与管线组件密封点大于等于2000个的，应按《设备泄漏挥发性有机物排放控制技术规范》（DB33/T 310007）要求开展LDAR工作。废水废液废渣收集、储存、处理处置过程中，应对逸散VOCs和产生异味的主要环节采取有效的密闭与收集措施。</w:t>
      </w:r>
    </w:p>
    <w:p w14:paraId="403CDCC7">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53.企业废气末端设施排放口应规范安装监测采样阀门及平台，采样电源稳定供电，RTO等废气主要排放口应安装自动监测设备，其他废气排放口应按照环评或排污许可证要求自动监测，并与生态环境部门联网。废气处理设施提标改造过程中涉及大气污染治理工程的，对已完成环评登记的项目，排污许可证重新申领予以直接核发。应科学管理废气排放设施，安装报警装置及自动加药系统，并接入到DCS中控平台，针对重点废气排放设施、主要废气污染产生工段等宜采用传感器监管设施运行。设置废气装置吸收液手动采样检测口，定期进行手工采样检测与自动检测设备比对调试。</w:t>
      </w:r>
    </w:p>
    <w:p w14:paraId="26A09A1D">
      <w:pPr>
        <w:pStyle w:val="9"/>
        <w:keepNext w:val="0"/>
        <w:keepLines w:val="0"/>
        <w:pageBreakBefore w:val="0"/>
        <w:numPr>
          <w:ilvl w:val="-1"/>
          <w:numId w:val="0"/>
        </w:numPr>
        <w:kinsoku/>
        <w:wordWrap/>
        <w:overflowPunct/>
        <w:topLinePunct w:val="0"/>
        <w:autoSpaceDE/>
        <w:autoSpaceDN/>
        <w:bidi w:val="0"/>
        <w:adjustRightInd/>
        <w:snapToGrid/>
        <w:spacing w:line="520" w:lineRule="exact"/>
        <w:ind w:left="0" w:leftChars="0" w:firstLine="643" w:firstLineChars="200"/>
        <w:textAlignment w:val="auto"/>
        <w:outlineLvl w:val="2"/>
        <w:rPr>
          <w:rFonts w:hint="eastAsia" w:ascii="仿宋" w:hAnsi="仿宋" w:eastAsia="仿宋" w:cs="仿宋"/>
          <w:b/>
          <w:bCs/>
          <w:color w:val="auto"/>
          <w:sz w:val="32"/>
          <w:szCs w:val="32"/>
          <w:lang w:val="en-US" w:eastAsia="zh-CN"/>
        </w:rPr>
      </w:pPr>
      <w:bookmarkStart w:id="161" w:name="_Toc13496"/>
      <w:bookmarkStart w:id="162" w:name="_Toc18724"/>
      <w:bookmarkStart w:id="163" w:name="_Toc28922"/>
      <w:bookmarkStart w:id="164" w:name="_Toc26810"/>
      <w:bookmarkStart w:id="165" w:name="_Toc16912"/>
      <w:bookmarkStart w:id="166" w:name="_Toc8464"/>
      <w:bookmarkStart w:id="167" w:name="_Toc19955"/>
      <w:bookmarkStart w:id="168" w:name="_Toc25393"/>
      <w:r>
        <w:rPr>
          <w:rFonts w:hint="eastAsia" w:ascii="仿宋" w:hAnsi="仿宋" w:eastAsia="仿宋" w:cs="仿宋"/>
          <w:b/>
          <w:bCs/>
          <w:color w:val="auto"/>
          <w:sz w:val="32"/>
          <w:szCs w:val="32"/>
          <w:lang w:val="en-US" w:eastAsia="zh-CN"/>
        </w:rPr>
        <w:t>5、固废处置</w:t>
      </w:r>
      <w:bookmarkEnd w:id="161"/>
      <w:bookmarkEnd w:id="162"/>
      <w:bookmarkEnd w:id="163"/>
      <w:bookmarkEnd w:id="164"/>
      <w:bookmarkEnd w:id="165"/>
      <w:bookmarkEnd w:id="166"/>
      <w:bookmarkEnd w:id="167"/>
      <w:bookmarkEnd w:id="168"/>
    </w:p>
    <w:p w14:paraId="2DF57259">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54.企业应建立健全工业固体废物污染环境防治责任制度，建立工业固废管理体系和配备专职人员，规范填报工业固废管理台账，如实记录有关信息。应每年对照“危险废物规范化环境管理评估指标”开展规范化考核自评。宜开展“无废工厂”创建，采取源头减量措施，各类工业固废优先以综合利用及焚烧处置为主，逐步降低填埋占比。</w:t>
      </w:r>
    </w:p>
    <w:p w14:paraId="1E2FA645">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kern w:val="2"/>
          <w:sz w:val="32"/>
          <w:szCs w:val="32"/>
          <w:lang w:val="en-US" w:eastAsia="zh-CN" w:bidi="ar-SA"/>
        </w:rPr>
        <w:t>55.</w:t>
      </w:r>
      <w:r>
        <w:rPr>
          <w:rFonts w:hint="eastAsia" w:ascii="仿宋" w:hAnsi="仿宋" w:eastAsia="仿宋" w:cs="仿宋"/>
          <w:color w:val="auto"/>
          <w:sz w:val="32"/>
          <w:szCs w:val="32"/>
          <w:lang w:val="en-US" w:eastAsia="zh-CN"/>
        </w:rPr>
        <w:t>企业应规范建设有足够面积的一般工业固废及危险废物贮存设施，有完善的防雨、防散、防渗和废水废液收集系统。应规范设置标识标志标签，宜使用货架式分类分层分区贮存堆放。危险废物不同贮存分区间应根据特性隔离；贮存易产生粉尘、VOCs、酸雾、有毒有害大气污染物和刺激性气味气体的危险废物，应落实气体收集和净化措施；涉及反应性、易燃性危险废物收集、贮存、利用处置的，应在重点场所安装相关自动检测装置。一般工业固废和危险废物严禁露天堆放、混合贮存、运输、利用和处置。</w:t>
      </w:r>
    </w:p>
    <w:p w14:paraId="047838FD">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56.工业固体废物应委托具备相应资质的企业进行安全利用处置，处置合同齐全、电子联单正常运行。如在省内有处置利用能力，应在省内规范处置或利用；确需跨省转移的，应按规定执行审批或备案制度。危险废物转移处置利用应由企业固管专人与具备相应资质的企业专人直接对接联系，严禁存在中间人（机构）介入正常交易；一般工业固废转移处置利用应核实受托人经营资质、技术能力等，依法签订合同。</w:t>
      </w:r>
    </w:p>
    <w:p w14:paraId="2E22D291">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kern w:val="2"/>
          <w:sz w:val="32"/>
          <w:szCs w:val="32"/>
        </w:rPr>
      </w:pPr>
      <w:r>
        <w:rPr>
          <w:rFonts w:hint="eastAsia" w:ascii="仿宋" w:hAnsi="仿宋" w:eastAsia="仿宋" w:cs="仿宋"/>
          <w:color w:val="auto"/>
          <w:sz w:val="32"/>
          <w:szCs w:val="32"/>
          <w:lang w:val="en-US" w:eastAsia="zh-CN"/>
        </w:rPr>
        <w:t>57.企业应在危险废物物流的出入口、贮存场所、主要产生（处置）设施等点位安装在线视频监控装置，并与生态环境部门联网；在浙江省固体废物管理信息系统中填报工业固废管理计划、电子台账，运行电子转移联单。年产危险废物30吨以上的，应启用“浙固码”，月度赋码率达90%以上；宜配备具有电子登记、申报功能和二维码标签打印功能的一体化智能磅秤，相关信息与“浙江危险废物在线”共享。</w:t>
      </w:r>
    </w:p>
    <w:p w14:paraId="5E1EFE4D">
      <w:pPr>
        <w:pStyle w:val="9"/>
        <w:keepNext w:val="0"/>
        <w:keepLines w:val="0"/>
        <w:pageBreakBefore w:val="0"/>
        <w:numPr>
          <w:ilvl w:val="-1"/>
          <w:numId w:val="0"/>
        </w:numPr>
        <w:kinsoku/>
        <w:wordWrap/>
        <w:overflowPunct/>
        <w:topLinePunct w:val="0"/>
        <w:autoSpaceDE/>
        <w:autoSpaceDN/>
        <w:bidi w:val="0"/>
        <w:adjustRightInd/>
        <w:snapToGrid/>
        <w:spacing w:line="520" w:lineRule="exact"/>
        <w:ind w:left="0" w:leftChars="0" w:firstLine="643" w:firstLineChars="200"/>
        <w:textAlignment w:val="auto"/>
        <w:outlineLvl w:val="2"/>
        <w:rPr>
          <w:rFonts w:hint="eastAsia" w:ascii="仿宋" w:hAnsi="仿宋" w:eastAsia="仿宋" w:cs="仿宋"/>
          <w:b/>
          <w:bCs/>
          <w:color w:val="auto"/>
          <w:sz w:val="32"/>
          <w:szCs w:val="32"/>
          <w:lang w:val="en-US" w:eastAsia="zh-CN"/>
        </w:rPr>
      </w:pPr>
      <w:bookmarkStart w:id="169" w:name="_Toc10134"/>
      <w:bookmarkStart w:id="170" w:name="_Toc15990"/>
      <w:bookmarkStart w:id="171" w:name="_Toc4632"/>
      <w:bookmarkStart w:id="172" w:name="_Toc16999"/>
      <w:bookmarkStart w:id="173" w:name="_Toc19131"/>
      <w:bookmarkStart w:id="174" w:name="_Toc3575"/>
      <w:bookmarkStart w:id="175" w:name="_Toc19673"/>
      <w:bookmarkStart w:id="176" w:name="_Toc5533"/>
      <w:r>
        <w:rPr>
          <w:rFonts w:hint="eastAsia" w:ascii="仿宋" w:hAnsi="仿宋" w:eastAsia="仿宋" w:cs="仿宋"/>
          <w:b/>
          <w:bCs/>
          <w:color w:val="auto"/>
          <w:sz w:val="32"/>
          <w:szCs w:val="32"/>
          <w:lang w:val="en-US" w:eastAsia="zh-CN"/>
        </w:rPr>
        <w:t>6、土壤和地下水管控</w:t>
      </w:r>
      <w:bookmarkEnd w:id="169"/>
      <w:bookmarkEnd w:id="170"/>
      <w:bookmarkEnd w:id="171"/>
      <w:bookmarkEnd w:id="172"/>
      <w:bookmarkEnd w:id="173"/>
      <w:bookmarkEnd w:id="174"/>
      <w:bookmarkEnd w:id="175"/>
      <w:bookmarkEnd w:id="176"/>
    </w:p>
    <w:p w14:paraId="68BEC2B7">
      <w:pPr>
        <w:pStyle w:val="13"/>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kern w:val="2"/>
          <w:sz w:val="32"/>
          <w:szCs w:val="32"/>
          <w:lang w:val="en-US" w:eastAsia="zh-CN"/>
        </w:rPr>
      </w:pPr>
      <w:r>
        <w:rPr>
          <w:rFonts w:hint="eastAsia" w:ascii="仿宋" w:hAnsi="仿宋" w:eastAsia="仿宋" w:cs="仿宋"/>
          <w:color w:val="auto"/>
          <w:kern w:val="2"/>
          <w:sz w:val="32"/>
          <w:szCs w:val="32"/>
          <w:lang w:val="en-US" w:eastAsia="zh-CN"/>
        </w:rPr>
        <w:t>58.企业拆除设施、设备或建筑物、构筑物时，应制定土壤污染防治工作方案，依法备案并实施。生产经营用地用途变更或土地使用权收回、转让前，应按规定开展土壤污染状况调查并备案。列入土壤污染重点监管的企业应落实相关法定义务。开发建设或拆除施工过程产生的渣土，宜优先选择资源化利用措施进行无害化处置，并做好各环节污染防治工作；未经土壤污染状况调查或检测，或检测结果不符合环保要求的，厂内渣土不应外运用于土方平衡、林业用土、环境治理、路基填垫、山体修复、推坡造景、绿地覆土等。</w:t>
      </w:r>
    </w:p>
    <w:p w14:paraId="37C428CD">
      <w:pPr>
        <w:pStyle w:val="13"/>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kern w:val="2"/>
          <w:sz w:val="32"/>
          <w:szCs w:val="32"/>
          <w:lang w:val="en-US" w:eastAsia="zh-CN"/>
        </w:rPr>
      </w:pPr>
      <w:r>
        <w:rPr>
          <w:rFonts w:hint="eastAsia" w:ascii="仿宋" w:hAnsi="仿宋" w:eastAsia="仿宋" w:cs="仿宋"/>
          <w:color w:val="auto"/>
          <w:kern w:val="2"/>
          <w:sz w:val="32"/>
          <w:szCs w:val="32"/>
          <w:lang w:val="en-US" w:eastAsia="zh-CN" w:bidi="ar-SA"/>
        </w:rPr>
        <w:t>59.</w:t>
      </w:r>
      <w:r>
        <w:rPr>
          <w:rFonts w:hint="eastAsia" w:ascii="仿宋" w:hAnsi="仿宋" w:eastAsia="仿宋" w:cs="仿宋"/>
          <w:color w:val="auto"/>
          <w:kern w:val="2"/>
          <w:sz w:val="32"/>
          <w:szCs w:val="32"/>
          <w:lang w:val="en-US" w:eastAsia="zh-CN"/>
        </w:rPr>
        <w:t>企业应建设永久性地下水监测井，特别关注污水收集、输运、治理设施等污水泄漏风险重点区域，定期开展水质自行监测，做好风险管控并建立地下水污染管控长效机制。</w:t>
      </w:r>
    </w:p>
    <w:p w14:paraId="0E553DB7">
      <w:pPr>
        <w:pStyle w:val="9"/>
        <w:keepNext w:val="0"/>
        <w:keepLines w:val="0"/>
        <w:pageBreakBefore w:val="0"/>
        <w:numPr>
          <w:ilvl w:val="-1"/>
          <w:numId w:val="0"/>
        </w:numPr>
        <w:kinsoku/>
        <w:wordWrap/>
        <w:overflowPunct/>
        <w:topLinePunct w:val="0"/>
        <w:autoSpaceDE/>
        <w:autoSpaceDN/>
        <w:bidi w:val="0"/>
        <w:adjustRightInd/>
        <w:snapToGrid/>
        <w:spacing w:line="520" w:lineRule="exact"/>
        <w:ind w:left="0" w:leftChars="0" w:firstLine="643" w:firstLineChars="200"/>
        <w:textAlignment w:val="auto"/>
        <w:outlineLvl w:val="2"/>
        <w:rPr>
          <w:rFonts w:hint="eastAsia" w:ascii="仿宋" w:hAnsi="仿宋" w:eastAsia="仿宋" w:cs="仿宋"/>
          <w:b/>
          <w:bCs/>
          <w:color w:val="auto"/>
          <w:sz w:val="32"/>
          <w:szCs w:val="32"/>
          <w:lang w:val="en-US" w:eastAsia="zh-CN"/>
        </w:rPr>
      </w:pPr>
      <w:bookmarkStart w:id="177" w:name="_Toc22407"/>
      <w:bookmarkStart w:id="178" w:name="_Toc3088"/>
      <w:bookmarkStart w:id="179" w:name="_Toc13353"/>
      <w:bookmarkStart w:id="180" w:name="_Toc12986"/>
      <w:bookmarkStart w:id="181" w:name="_Toc22271"/>
      <w:bookmarkStart w:id="182" w:name="_Toc26857"/>
      <w:bookmarkStart w:id="183" w:name="_Toc23513"/>
      <w:bookmarkStart w:id="184" w:name="_Toc6249"/>
      <w:r>
        <w:rPr>
          <w:rFonts w:hint="eastAsia" w:ascii="仿宋" w:hAnsi="仿宋" w:eastAsia="仿宋" w:cs="仿宋"/>
          <w:b/>
          <w:bCs/>
          <w:color w:val="auto"/>
          <w:sz w:val="32"/>
          <w:szCs w:val="32"/>
          <w:lang w:val="en-US" w:eastAsia="zh-CN"/>
        </w:rPr>
        <w:t>7、新污染物风险管控</w:t>
      </w:r>
      <w:bookmarkEnd w:id="177"/>
      <w:bookmarkEnd w:id="178"/>
      <w:bookmarkEnd w:id="179"/>
      <w:bookmarkEnd w:id="180"/>
      <w:bookmarkEnd w:id="181"/>
      <w:bookmarkEnd w:id="182"/>
      <w:bookmarkEnd w:id="183"/>
      <w:bookmarkEnd w:id="184"/>
    </w:p>
    <w:p w14:paraId="4F8777C9">
      <w:pPr>
        <w:pStyle w:val="13"/>
        <w:keepNext w:val="0"/>
        <w:keepLines w:val="0"/>
        <w:pageBreakBefore w:val="0"/>
        <w:numPr>
          <w:ilvl w:val="3"/>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kern w:val="2"/>
          <w:sz w:val="32"/>
          <w:szCs w:val="32"/>
          <w:lang w:val="en-US" w:eastAsia="zh-CN"/>
        </w:rPr>
      </w:pPr>
      <w:r>
        <w:rPr>
          <w:rFonts w:hint="eastAsia" w:ascii="仿宋" w:hAnsi="仿宋" w:eastAsia="仿宋" w:cs="仿宋"/>
          <w:color w:val="auto"/>
          <w:kern w:val="2"/>
          <w:sz w:val="32"/>
          <w:szCs w:val="32"/>
          <w:lang w:val="en-US" w:eastAsia="zh-CN"/>
        </w:rPr>
        <w:t>60.企业宜建立新污染物内部管控机制，每年开展化学物质加工、使用情况自查，严格执行《新化学物质环境管理登记办法》，落实《重点管控新污染物清单》工作要求。不应加工、使用或生产禁止类新污染物相关产品或物质；严格管控、自行监测有毒有害大气污染物排放，按环评要求落实污染治理措施，含抗生素、农药等固废依法实施无害化处置。企业宜探索新污染物治理示范技术、化学物质危害测试能力培养。</w:t>
      </w:r>
    </w:p>
    <w:p w14:paraId="0D1C760C">
      <w:pPr>
        <w:pStyle w:val="9"/>
        <w:keepNext w:val="0"/>
        <w:keepLines w:val="0"/>
        <w:pageBreakBefore w:val="0"/>
        <w:numPr>
          <w:ilvl w:val="-1"/>
          <w:numId w:val="0"/>
        </w:numPr>
        <w:kinsoku/>
        <w:wordWrap/>
        <w:overflowPunct/>
        <w:topLinePunct w:val="0"/>
        <w:autoSpaceDE/>
        <w:autoSpaceDN/>
        <w:bidi w:val="0"/>
        <w:adjustRightInd/>
        <w:snapToGrid/>
        <w:spacing w:line="520" w:lineRule="exact"/>
        <w:ind w:left="0" w:leftChars="0" w:firstLine="643" w:firstLineChars="200"/>
        <w:textAlignment w:val="auto"/>
        <w:outlineLvl w:val="2"/>
        <w:rPr>
          <w:rFonts w:hint="eastAsia" w:ascii="仿宋" w:hAnsi="仿宋" w:eastAsia="仿宋" w:cs="仿宋"/>
          <w:b/>
          <w:bCs/>
          <w:color w:val="auto"/>
          <w:sz w:val="32"/>
          <w:szCs w:val="32"/>
          <w:lang w:val="en-US" w:eastAsia="zh-CN"/>
        </w:rPr>
      </w:pPr>
      <w:bookmarkStart w:id="185" w:name="_Toc7884"/>
      <w:bookmarkStart w:id="186" w:name="_Toc9875"/>
      <w:r>
        <w:rPr>
          <w:rFonts w:hint="eastAsia" w:ascii="仿宋" w:hAnsi="仿宋" w:eastAsia="仿宋" w:cs="仿宋"/>
          <w:b/>
          <w:bCs/>
          <w:color w:val="auto"/>
          <w:sz w:val="32"/>
          <w:szCs w:val="32"/>
          <w:lang w:val="en-US" w:eastAsia="zh-CN"/>
        </w:rPr>
        <w:t>8、环保应急管理</w:t>
      </w:r>
      <w:bookmarkEnd w:id="185"/>
      <w:bookmarkEnd w:id="186"/>
    </w:p>
    <w:p w14:paraId="7C14307E">
      <w:pPr>
        <w:pStyle w:val="13"/>
        <w:keepNext w:val="0"/>
        <w:keepLines w:val="0"/>
        <w:pageBreakBefore w:val="0"/>
        <w:numPr>
          <w:ilvl w:val="3"/>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61.企业应成立专门的突发环境事故应急处置队伍，按要求配备处理环境应急事故所需的设备、设施以及其他物资，定期更新完善环境污染事故风险应急预案并规范备案。应每年单独或联合组织一次以上应急演练，演练应有脚本并留痕，进行演练复盘和总结。重点企业应委托第三方资质单位开展环保设施安全评估，高风险企业宜投保环境污染责任险。</w:t>
      </w:r>
    </w:p>
    <w:p w14:paraId="6D2BC327">
      <w:pPr>
        <w:pStyle w:val="13"/>
        <w:keepNext w:val="0"/>
        <w:keepLines w:val="0"/>
        <w:pageBreakBefore w:val="0"/>
        <w:numPr>
          <w:ilvl w:val="3"/>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62.企业应按环评或应急预案要求建设相应容积的事故应急池，确保事故废水自流进入储存设施。如采用地上储罐作为储存设施，应配备可靠电源设施。事故应急池电源应从总电源处单独接出，应急泵应安装自动感应装置。重点企业厂区内部应建立水污染物多级防控体系，完善厂界通道固定拦水设施建设。相邻企业建立事故环境应急互助机制，签订事故应急救援联防互助协议，共享应急设施和污水处理设施。</w:t>
      </w:r>
    </w:p>
    <w:p w14:paraId="0A7B58FA">
      <w:pPr>
        <w:pStyle w:val="13"/>
        <w:keepNext w:val="0"/>
        <w:keepLines w:val="0"/>
        <w:pageBreakBefore w:val="0"/>
        <w:numPr>
          <w:ilvl w:val="3"/>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63.企业应建立健全重点环保治理设施定期安全评估机制和收集、处理、运行定期排查检修机制。健全环保事故隐患定期排查机制，完善风险防范措施。新上岗人员应通过环境应急能力测试。每年组织开展至少一次以上环境应急培训，每月对应急物资和设施进行检查记录并及时补充。</w:t>
      </w:r>
    </w:p>
    <w:p w14:paraId="70E05D3F">
      <w:pPr>
        <w:pStyle w:val="9"/>
        <w:keepNext w:val="0"/>
        <w:keepLines w:val="0"/>
        <w:pageBreakBefore w:val="0"/>
        <w:numPr>
          <w:ilvl w:val="-1"/>
          <w:numId w:val="0"/>
        </w:numPr>
        <w:kinsoku/>
        <w:wordWrap/>
        <w:overflowPunct/>
        <w:topLinePunct w:val="0"/>
        <w:autoSpaceDE/>
        <w:autoSpaceDN/>
        <w:bidi w:val="0"/>
        <w:adjustRightInd/>
        <w:snapToGrid/>
        <w:spacing w:line="520" w:lineRule="exact"/>
        <w:ind w:firstLine="643" w:firstLineChars="200"/>
        <w:textAlignment w:val="auto"/>
        <w:outlineLvl w:val="1"/>
        <w:rPr>
          <w:rFonts w:hint="eastAsia" w:ascii="仿宋" w:hAnsi="仿宋" w:eastAsia="仿宋" w:cs="仿宋"/>
          <w:b/>
          <w:bCs/>
          <w:color w:val="auto"/>
          <w:sz w:val="32"/>
          <w:szCs w:val="32"/>
          <w:lang w:val="en-US" w:eastAsia="zh-CN"/>
        </w:rPr>
      </w:pPr>
      <w:bookmarkStart w:id="187" w:name="_Toc7830"/>
      <w:bookmarkStart w:id="188" w:name="_Toc1394"/>
      <w:bookmarkStart w:id="189" w:name="_Toc15844"/>
      <w:bookmarkStart w:id="190" w:name="_Toc31227"/>
      <w:bookmarkStart w:id="191" w:name="_Toc9051"/>
      <w:bookmarkStart w:id="192" w:name="_Toc24799"/>
      <w:bookmarkStart w:id="193" w:name="_Toc10910"/>
      <w:bookmarkStart w:id="194" w:name="_Toc16906"/>
      <w:r>
        <w:rPr>
          <w:rFonts w:hint="eastAsia" w:ascii="仿宋" w:hAnsi="仿宋" w:eastAsia="仿宋" w:cs="仿宋"/>
          <w:b/>
          <w:bCs/>
          <w:color w:val="auto"/>
          <w:sz w:val="32"/>
          <w:szCs w:val="32"/>
          <w:lang w:val="en-US" w:eastAsia="zh-CN"/>
        </w:rPr>
        <w:t>（三）落实节能降耗措施</w:t>
      </w:r>
      <w:bookmarkEnd w:id="187"/>
      <w:bookmarkEnd w:id="188"/>
      <w:bookmarkEnd w:id="189"/>
      <w:bookmarkEnd w:id="190"/>
      <w:bookmarkEnd w:id="191"/>
      <w:bookmarkEnd w:id="192"/>
      <w:bookmarkEnd w:id="193"/>
      <w:bookmarkEnd w:id="194"/>
    </w:p>
    <w:p w14:paraId="3F51416E">
      <w:pPr>
        <w:pStyle w:val="9"/>
        <w:keepNext w:val="0"/>
        <w:keepLines w:val="0"/>
        <w:pageBreakBefore w:val="0"/>
        <w:numPr>
          <w:ilvl w:val="-1"/>
          <w:numId w:val="0"/>
        </w:numPr>
        <w:kinsoku/>
        <w:wordWrap/>
        <w:overflowPunct/>
        <w:topLinePunct w:val="0"/>
        <w:autoSpaceDE/>
        <w:autoSpaceDN/>
        <w:bidi w:val="0"/>
        <w:adjustRightInd/>
        <w:snapToGrid/>
        <w:spacing w:line="520" w:lineRule="exact"/>
        <w:ind w:left="0" w:leftChars="0" w:firstLine="643" w:firstLineChars="200"/>
        <w:textAlignment w:val="auto"/>
        <w:outlineLvl w:val="2"/>
        <w:rPr>
          <w:rFonts w:hint="eastAsia" w:ascii="仿宋" w:hAnsi="仿宋" w:eastAsia="仿宋" w:cs="仿宋"/>
          <w:b/>
          <w:bCs/>
          <w:color w:val="auto"/>
          <w:sz w:val="32"/>
          <w:szCs w:val="32"/>
          <w:lang w:val="en-US" w:eastAsia="zh-CN"/>
        </w:rPr>
      </w:pPr>
      <w:bookmarkStart w:id="195" w:name="_Toc31675"/>
      <w:bookmarkStart w:id="196" w:name="_Toc20000"/>
      <w:bookmarkStart w:id="197" w:name="_Toc23988"/>
      <w:bookmarkStart w:id="198" w:name="_Toc9195"/>
      <w:bookmarkStart w:id="199" w:name="_Toc20509"/>
      <w:bookmarkStart w:id="200" w:name="_Toc23103"/>
      <w:bookmarkStart w:id="201" w:name="_Toc5100"/>
      <w:bookmarkStart w:id="202" w:name="_Toc6636"/>
      <w:bookmarkStart w:id="203" w:name="_Toc22186"/>
      <w:bookmarkStart w:id="204" w:name="_Toc18273"/>
      <w:bookmarkStart w:id="205" w:name="_Toc24346"/>
      <w:r>
        <w:rPr>
          <w:rFonts w:hint="eastAsia" w:ascii="仿宋" w:hAnsi="仿宋" w:eastAsia="仿宋" w:cs="仿宋"/>
          <w:b/>
          <w:bCs/>
          <w:color w:val="auto"/>
          <w:sz w:val="32"/>
          <w:szCs w:val="32"/>
          <w:lang w:val="en-US" w:eastAsia="zh-CN"/>
        </w:rPr>
        <w:t>1、用能管理</w:t>
      </w:r>
      <w:bookmarkEnd w:id="195"/>
    </w:p>
    <w:p w14:paraId="6D7C456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rPr>
        <w:t>64.企业应当建立健全能源管理制度，明确能源管理职责，加强节能管理，减少能源损失，提高能源利用效率。应</w:t>
      </w:r>
      <w:r>
        <w:rPr>
          <w:rFonts w:hint="eastAsia" w:ascii="仿宋" w:hAnsi="仿宋" w:eastAsia="仿宋" w:cs="仿宋"/>
          <w:color w:val="auto"/>
          <w:kern w:val="2"/>
          <w:sz w:val="32"/>
          <w:szCs w:val="32"/>
        </w:rPr>
        <w:t>建立节能目标责任制和节能奖惩制度，制定年度节能计划，落实节能措施。</w:t>
      </w:r>
    </w:p>
    <w:p w14:paraId="063AD2E5">
      <w:pPr>
        <w:pStyle w:val="9"/>
        <w:keepNext w:val="0"/>
        <w:keepLines w:val="0"/>
        <w:pageBreakBefore w:val="0"/>
        <w:numPr>
          <w:ilvl w:val="-1"/>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rPr>
        <w:t>65.</w:t>
      </w:r>
      <w:r>
        <w:rPr>
          <w:rFonts w:hint="eastAsia" w:ascii="仿宋" w:hAnsi="仿宋" w:eastAsia="仿宋" w:cs="仿宋"/>
          <w:color w:val="auto"/>
          <w:kern w:val="2"/>
          <w:sz w:val="32"/>
          <w:szCs w:val="32"/>
        </w:rPr>
        <w:t>年耗能5000吨标煤以上企业应明确能源管理部门，能源管理负责人和管理人员，定期参加节能专业培训，持证上岗，并报节能主管部门备案。</w:t>
      </w:r>
      <w:r>
        <w:rPr>
          <w:rFonts w:hint="eastAsia" w:ascii="仿宋" w:hAnsi="仿宋" w:eastAsia="仿宋" w:cs="仿宋"/>
          <w:color w:val="auto"/>
          <w:kern w:val="2"/>
          <w:sz w:val="32"/>
          <w:szCs w:val="32"/>
          <w:lang w:val="en-US" w:eastAsia="zh-CN"/>
        </w:rPr>
        <w:t>企业</w:t>
      </w:r>
      <w:r>
        <w:rPr>
          <w:rFonts w:hint="eastAsia" w:ascii="仿宋" w:hAnsi="仿宋" w:eastAsia="仿宋" w:cs="仿宋"/>
          <w:color w:val="auto"/>
          <w:kern w:val="2"/>
          <w:sz w:val="32"/>
          <w:szCs w:val="32"/>
        </w:rPr>
        <w:t>应完善能源消费原始记录和统计台账，按要求上报各项能源统计报表，并定期开展能耗数据分析。</w:t>
      </w:r>
      <w:r>
        <w:rPr>
          <w:rFonts w:hint="eastAsia" w:ascii="仿宋" w:hAnsi="仿宋" w:eastAsia="仿宋" w:cs="仿宋"/>
          <w:color w:val="auto"/>
          <w:kern w:val="2"/>
          <w:sz w:val="32"/>
          <w:szCs w:val="32"/>
          <w:lang w:val="en-US" w:eastAsia="zh-CN"/>
        </w:rPr>
        <w:t>应</w:t>
      </w:r>
      <w:r>
        <w:rPr>
          <w:rFonts w:hint="eastAsia" w:ascii="仿宋" w:hAnsi="仿宋" w:eastAsia="仿宋" w:cs="仿宋"/>
          <w:color w:val="auto"/>
          <w:kern w:val="2"/>
          <w:sz w:val="32"/>
          <w:szCs w:val="32"/>
        </w:rPr>
        <w:t>安排专人负责按时上报能源利用状况报告。</w:t>
      </w:r>
    </w:p>
    <w:p w14:paraId="0D8F1998">
      <w:pPr>
        <w:pStyle w:val="9"/>
        <w:keepNext w:val="0"/>
        <w:keepLines w:val="0"/>
        <w:pageBreakBefore w:val="0"/>
        <w:numPr>
          <w:ilvl w:val="-1"/>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s="仿宋"/>
          <w:color w:val="auto"/>
          <w:kern w:val="2"/>
          <w:sz w:val="32"/>
          <w:szCs w:val="32"/>
        </w:rPr>
      </w:pPr>
      <w:r>
        <w:rPr>
          <w:rFonts w:hint="eastAsia" w:ascii="仿宋" w:hAnsi="仿宋" w:eastAsia="仿宋" w:cs="仿宋"/>
          <w:b w:val="0"/>
          <w:i w:val="0"/>
          <w:color w:val="auto"/>
          <w:kern w:val="2"/>
          <w:sz w:val="32"/>
          <w:szCs w:val="32"/>
          <w:lang w:val="en-US" w:eastAsia="zh-CN" w:bidi="ar-SA"/>
        </w:rPr>
        <w:t>66.</w:t>
      </w:r>
      <w:r>
        <w:rPr>
          <w:rFonts w:hint="eastAsia" w:ascii="仿宋" w:hAnsi="仿宋" w:eastAsia="仿宋" w:cs="仿宋"/>
          <w:color w:val="auto"/>
          <w:kern w:val="2"/>
          <w:sz w:val="32"/>
          <w:szCs w:val="32"/>
        </w:rPr>
        <w:t>年耗能万吨标煤以上的企业应建立能源管控中心，实现能源计量数据在线采集、实时监测。增强企业资源综合利用水平。</w:t>
      </w:r>
    </w:p>
    <w:p w14:paraId="5896866A">
      <w:pPr>
        <w:pStyle w:val="9"/>
        <w:keepNext w:val="0"/>
        <w:keepLines w:val="0"/>
        <w:pageBreakBefore w:val="0"/>
        <w:numPr>
          <w:ilvl w:val="-1"/>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s="仿宋"/>
          <w:color w:val="auto"/>
          <w:kern w:val="2"/>
          <w:sz w:val="32"/>
          <w:szCs w:val="32"/>
          <w:lang w:val="en-US" w:eastAsia="zh-CN"/>
        </w:rPr>
      </w:pPr>
      <w:r>
        <w:rPr>
          <w:rFonts w:hint="eastAsia" w:ascii="仿宋" w:hAnsi="仿宋" w:eastAsia="仿宋" w:cs="仿宋"/>
          <w:color w:val="auto"/>
          <w:kern w:val="2"/>
          <w:sz w:val="32"/>
          <w:szCs w:val="32"/>
          <w:lang w:val="en-US" w:eastAsia="zh-CN"/>
        </w:rPr>
        <w:t>67.</w:t>
      </w:r>
      <w:r>
        <w:rPr>
          <w:rFonts w:hint="eastAsia" w:ascii="仿宋" w:hAnsi="仿宋" w:eastAsia="仿宋" w:cs="仿宋"/>
          <w:color w:val="auto"/>
          <w:kern w:val="2"/>
          <w:sz w:val="32"/>
          <w:szCs w:val="32"/>
        </w:rPr>
        <w:t>纳入用能预算管理的企业应按要求做好年度用能预算</w:t>
      </w:r>
      <w:r>
        <w:rPr>
          <w:rFonts w:hint="eastAsia" w:ascii="仿宋" w:hAnsi="仿宋" w:eastAsia="仿宋" w:cs="仿宋"/>
          <w:color w:val="auto"/>
          <w:kern w:val="2"/>
          <w:sz w:val="32"/>
          <w:szCs w:val="32"/>
          <w:lang w:eastAsia="zh-CN"/>
        </w:rPr>
        <w:t>、</w:t>
      </w:r>
      <w:r>
        <w:rPr>
          <w:rFonts w:hint="eastAsia" w:ascii="仿宋" w:hAnsi="仿宋" w:eastAsia="仿宋" w:cs="仿宋"/>
          <w:color w:val="auto"/>
          <w:kern w:val="2"/>
          <w:sz w:val="32"/>
          <w:szCs w:val="32"/>
          <w:lang w:val="en-US" w:eastAsia="zh-CN"/>
        </w:rPr>
        <w:t>化石能源</w:t>
      </w:r>
      <w:r>
        <w:rPr>
          <w:rFonts w:hint="eastAsia" w:ascii="仿宋" w:hAnsi="仿宋" w:eastAsia="仿宋" w:cs="仿宋"/>
          <w:color w:val="auto"/>
          <w:kern w:val="2"/>
          <w:sz w:val="32"/>
          <w:szCs w:val="32"/>
        </w:rPr>
        <w:t>消费预算按月分解，编制用能预算方案，</w:t>
      </w:r>
      <w:r>
        <w:rPr>
          <w:rFonts w:hint="eastAsia" w:ascii="仿宋" w:hAnsi="仿宋" w:eastAsia="仿宋" w:cs="仿宋"/>
          <w:color w:val="auto"/>
          <w:kern w:val="2"/>
          <w:sz w:val="32"/>
          <w:szCs w:val="32"/>
          <w:lang w:val="en-US" w:eastAsia="zh-CN"/>
        </w:rPr>
        <w:t>报送节能主管</w:t>
      </w:r>
    </w:p>
    <w:p w14:paraId="3A8A0C12">
      <w:pPr>
        <w:pStyle w:val="9"/>
        <w:keepNext w:val="0"/>
        <w:keepLines w:val="0"/>
        <w:pageBreakBefore w:val="0"/>
        <w:numPr>
          <w:ilvl w:val="-1"/>
          <w:numId w:val="0"/>
        </w:numPr>
        <w:kinsoku/>
        <w:wordWrap/>
        <w:overflowPunct/>
        <w:topLinePunct w:val="0"/>
        <w:autoSpaceDE/>
        <w:autoSpaceDN/>
        <w:bidi w:val="0"/>
        <w:adjustRightInd/>
        <w:snapToGrid/>
        <w:spacing w:line="520" w:lineRule="exact"/>
        <w:textAlignment w:val="auto"/>
        <w:rPr>
          <w:rFonts w:hint="eastAsia" w:ascii="仿宋" w:hAnsi="仿宋" w:eastAsia="仿宋" w:cs="仿宋"/>
          <w:color w:val="auto"/>
          <w:kern w:val="2"/>
          <w:sz w:val="32"/>
          <w:szCs w:val="32"/>
          <w:lang w:val="en-US" w:eastAsia="zh-CN"/>
        </w:rPr>
      </w:pPr>
      <w:r>
        <w:rPr>
          <w:rFonts w:hint="eastAsia" w:ascii="仿宋" w:hAnsi="仿宋" w:eastAsia="仿宋" w:cs="仿宋"/>
          <w:color w:val="auto"/>
          <w:kern w:val="2"/>
          <w:sz w:val="32"/>
          <w:szCs w:val="32"/>
        </w:rPr>
        <w:t>部门备案。</w:t>
      </w:r>
    </w:p>
    <w:p w14:paraId="4B0C5968">
      <w:pPr>
        <w:pStyle w:val="9"/>
        <w:keepNext w:val="0"/>
        <w:keepLines w:val="0"/>
        <w:pageBreakBefore w:val="0"/>
        <w:numPr>
          <w:ilvl w:val="-1"/>
          <w:numId w:val="0"/>
        </w:numPr>
        <w:kinsoku/>
        <w:wordWrap/>
        <w:overflowPunct/>
        <w:topLinePunct w:val="0"/>
        <w:autoSpaceDE/>
        <w:autoSpaceDN/>
        <w:bidi w:val="0"/>
        <w:adjustRightInd/>
        <w:snapToGrid/>
        <w:spacing w:line="520" w:lineRule="exact"/>
        <w:ind w:left="0" w:leftChars="0" w:firstLine="643" w:firstLineChars="200"/>
        <w:textAlignment w:val="auto"/>
        <w:outlineLvl w:val="2"/>
        <w:rPr>
          <w:rFonts w:hint="eastAsia" w:ascii="仿宋" w:hAnsi="仿宋" w:eastAsia="仿宋" w:cs="仿宋"/>
          <w:b/>
          <w:bCs/>
          <w:color w:val="auto"/>
          <w:sz w:val="32"/>
          <w:szCs w:val="32"/>
          <w:lang w:val="en-US" w:eastAsia="zh-CN"/>
        </w:rPr>
      </w:pPr>
      <w:bookmarkStart w:id="206" w:name="_Toc4768"/>
      <w:r>
        <w:rPr>
          <w:rFonts w:hint="eastAsia" w:ascii="仿宋" w:hAnsi="仿宋" w:eastAsia="仿宋" w:cs="仿宋"/>
          <w:b/>
          <w:bCs/>
          <w:color w:val="auto"/>
          <w:sz w:val="32"/>
          <w:szCs w:val="32"/>
          <w:lang w:val="en-US" w:eastAsia="zh-CN"/>
        </w:rPr>
        <w:t>2、合理使用与节约能源</w:t>
      </w:r>
      <w:bookmarkEnd w:id="206"/>
    </w:p>
    <w:p w14:paraId="664BF785">
      <w:pPr>
        <w:pStyle w:val="9"/>
        <w:keepNext w:val="0"/>
        <w:keepLines w:val="0"/>
        <w:pageBreakBefore w:val="0"/>
        <w:numPr>
          <w:ilvl w:val="-1"/>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kern w:val="2"/>
          <w:sz w:val="32"/>
          <w:szCs w:val="32"/>
          <w:lang w:val="en-US" w:eastAsia="zh-CN"/>
        </w:rPr>
      </w:pPr>
      <w:r>
        <w:rPr>
          <w:rFonts w:hint="eastAsia" w:ascii="仿宋" w:hAnsi="仿宋" w:eastAsia="仿宋" w:cs="仿宋"/>
          <w:color w:val="auto"/>
          <w:kern w:val="2"/>
          <w:sz w:val="32"/>
          <w:szCs w:val="32"/>
          <w:lang w:val="en-US" w:eastAsia="zh-CN"/>
        </w:rPr>
        <w:t>68.新上项目应当严格落实固定资产投资项目节能审查制度，将碳排放有关情况纳入节能报告，对项目用能和碳排放情况开展综合评价。</w:t>
      </w:r>
    </w:p>
    <w:p w14:paraId="2724D285">
      <w:pPr>
        <w:pStyle w:val="9"/>
        <w:keepNext w:val="0"/>
        <w:keepLines w:val="0"/>
        <w:pageBreakBefore w:val="0"/>
        <w:numPr>
          <w:ilvl w:val="-1"/>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rPr>
        <w:t>69.</w:t>
      </w:r>
      <w:r>
        <w:rPr>
          <w:rFonts w:hint="eastAsia" w:ascii="仿宋" w:hAnsi="仿宋" w:eastAsia="仿宋" w:cs="仿宋"/>
          <w:color w:val="auto"/>
          <w:kern w:val="2"/>
          <w:sz w:val="32"/>
          <w:szCs w:val="32"/>
        </w:rPr>
        <w:t>通过节能审查的项目在投入生产、使用前，应及时组织节能验收，验收人员应由具备节能验收工作能力的专业技术人员组成，并将节能验收报告、验收意见向出具节能审查意见的节能主管部门报备。</w:t>
      </w:r>
    </w:p>
    <w:p w14:paraId="67014EF4">
      <w:pPr>
        <w:pStyle w:val="9"/>
        <w:keepNext w:val="0"/>
        <w:keepLines w:val="0"/>
        <w:pageBreakBefore w:val="0"/>
        <w:numPr>
          <w:ilvl w:val="-1"/>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70.</w:t>
      </w:r>
      <w:r>
        <w:rPr>
          <w:rFonts w:hint="eastAsia" w:ascii="仿宋" w:hAnsi="仿宋" w:eastAsia="仿宋" w:cs="仿宋"/>
          <w:color w:val="auto"/>
          <w:kern w:val="2"/>
          <w:sz w:val="32"/>
          <w:szCs w:val="32"/>
          <w:lang w:val="en-US" w:eastAsia="zh-CN"/>
        </w:rPr>
        <w:t>企业应当加强能源计量管理，</w:t>
      </w:r>
      <w:r>
        <w:rPr>
          <w:rFonts w:hint="eastAsia" w:ascii="仿宋" w:hAnsi="仿宋" w:eastAsia="仿宋" w:cs="仿宋"/>
          <w:color w:val="auto"/>
          <w:kern w:val="2"/>
          <w:sz w:val="32"/>
          <w:szCs w:val="32"/>
          <w:lang w:val="en-US" w:eastAsia="zh-CN" w:bidi="ar-SA"/>
        </w:rPr>
        <w:t>按照《用能单位能源计量器具配备和管理通则》等有关规定，</w:t>
      </w:r>
      <w:r>
        <w:rPr>
          <w:rFonts w:hint="eastAsia" w:ascii="仿宋" w:hAnsi="仿宋" w:eastAsia="仿宋" w:cs="仿宋"/>
          <w:color w:val="auto"/>
          <w:kern w:val="2"/>
          <w:sz w:val="32"/>
          <w:szCs w:val="32"/>
          <w:lang w:val="en-US" w:eastAsia="zh-CN"/>
        </w:rPr>
        <w:t>配备和使用经依法检定合格的能源计量器具</w:t>
      </w:r>
      <w:r>
        <w:rPr>
          <w:rFonts w:hint="eastAsia" w:ascii="仿宋" w:hAnsi="仿宋" w:eastAsia="仿宋" w:cs="仿宋"/>
          <w:color w:val="auto"/>
          <w:kern w:val="2"/>
          <w:sz w:val="32"/>
          <w:szCs w:val="32"/>
          <w:lang w:val="en-US" w:eastAsia="zh-CN" w:bidi="ar-SA"/>
        </w:rPr>
        <w:t>，加强能源计量基础能力建设，提升能源管理信息化水平。</w:t>
      </w:r>
    </w:p>
    <w:p w14:paraId="5EE5C49F">
      <w:pPr>
        <w:pStyle w:val="9"/>
        <w:keepNext w:val="0"/>
        <w:keepLines w:val="0"/>
        <w:pageBreakBefore w:val="0"/>
        <w:numPr>
          <w:ilvl w:val="-1"/>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kern w:val="2"/>
          <w:sz w:val="32"/>
          <w:szCs w:val="32"/>
          <w:lang w:val="en-US" w:eastAsia="zh-CN"/>
        </w:rPr>
      </w:pPr>
      <w:r>
        <w:rPr>
          <w:rFonts w:hint="eastAsia" w:ascii="仿宋" w:hAnsi="仿宋" w:eastAsia="仿宋" w:cs="仿宋"/>
          <w:b w:val="0"/>
          <w:i w:val="0"/>
          <w:strike w:val="0"/>
          <w:dstrike w:val="0"/>
          <w:color w:val="auto"/>
          <w:kern w:val="2"/>
          <w:sz w:val="32"/>
          <w:szCs w:val="32"/>
          <w:lang w:val="en-US" w:eastAsia="zh-CN" w:bidi="ar-SA"/>
        </w:rPr>
        <w:t>71.企</w:t>
      </w:r>
      <w:r>
        <w:rPr>
          <w:rFonts w:hint="eastAsia" w:ascii="仿宋" w:hAnsi="仿宋" w:eastAsia="仿宋" w:cs="仿宋"/>
          <w:color w:val="auto"/>
          <w:kern w:val="2"/>
          <w:sz w:val="32"/>
          <w:szCs w:val="32"/>
          <w:lang w:val="en-US" w:eastAsia="zh-CN"/>
        </w:rPr>
        <w:t>业应当优先采用《国家重点节能低碳技术推广目录》以及省市发布的相关目录中的节能技术、生产工艺和用能设备，主动淘汰落后的和国家明令禁止使用的用能产品、设备和生产工艺。</w:t>
      </w:r>
    </w:p>
    <w:p w14:paraId="273FA25D">
      <w:pPr>
        <w:pStyle w:val="9"/>
        <w:keepNext w:val="0"/>
        <w:keepLines w:val="0"/>
        <w:pageBreakBefore w:val="0"/>
        <w:numPr>
          <w:ilvl w:val="-1"/>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kern w:val="2"/>
          <w:sz w:val="32"/>
          <w:szCs w:val="32"/>
          <w:lang w:val="en-US" w:eastAsia="zh-CN"/>
        </w:rPr>
      </w:pPr>
      <w:r>
        <w:rPr>
          <w:rFonts w:hint="eastAsia" w:ascii="仿宋" w:hAnsi="仿宋" w:eastAsia="仿宋" w:cs="仿宋"/>
          <w:color w:val="auto"/>
          <w:kern w:val="2"/>
          <w:sz w:val="32"/>
          <w:szCs w:val="32"/>
          <w:lang w:val="en-US" w:eastAsia="zh-CN"/>
        </w:rPr>
        <w:t>72.</w:t>
      </w:r>
      <w:r>
        <w:rPr>
          <w:rFonts w:hint="eastAsia" w:ascii="仿宋" w:hAnsi="仿宋" w:eastAsia="仿宋" w:cs="仿宋"/>
          <w:b w:val="0"/>
          <w:i w:val="0"/>
          <w:strike w:val="0"/>
          <w:dstrike w:val="0"/>
          <w:color w:val="auto"/>
          <w:kern w:val="2"/>
          <w:sz w:val="32"/>
          <w:szCs w:val="32"/>
          <w:lang w:val="en-US" w:eastAsia="zh-CN" w:bidi="ar-SA"/>
        </w:rPr>
        <w:t>企</w:t>
      </w:r>
      <w:r>
        <w:rPr>
          <w:rFonts w:hint="eastAsia" w:ascii="仿宋" w:hAnsi="仿宋" w:eastAsia="仿宋" w:cs="仿宋"/>
          <w:color w:val="auto"/>
          <w:kern w:val="2"/>
          <w:sz w:val="32"/>
          <w:szCs w:val="32"/>
          <w:lang w:val="en-US" w:eastAsia="zh-CN"/>
        </w:rPr>
        <w:t>业应当按照国家有关规定实施能源审计，分析现状，查找问题，挖掘节能潜力，提出切实可行的节能措施，并每年安排一定数量资金用于节能技术研发、节能技术改造、能源计量器具配备和节能技术培训等。</w:t>
      </w:r>
    </w:p>
    <w:p w14:paraId="2E7AA2CF">
      <w:pPr>
        <w:pStyle w:val="9"/>
        <w:keepNext w:val="0"/>
        <w:keepLines w:val="0"/>
        <w:pageBreakBefore w:val="0"/>
        <w:numPr>
          <w:ilvl w:val="-1"/>
          <w:numId w:val="0"/>
        </w:numPr>
        <w:kinsoku/>
        <w:wordWrap/>
        <w:overflowPunct/>
        <w:topLinePunct w:val="0"/>
        <w:autoSpaceDE/>
        <w:autoSpaceDN/>
        <w:bidi w:val="0"/>
        <w:adjustRightInd/>
        <w:snapToGrid/>
        <w:spacing w:line="520" w:lineRule="exact"/>
        <w:ind w:left="0" w:leftChars="0" w:firstLine="643" w:firstLineChars="200"/>
        <w:textAlignment w:val="auto"/>
        <w:outlineLvl w:val="2"/>
        <w:rPr>
          <w:rFonts w:hint="eastAsia" w:ascii="仿宋" w:hAnsi="仿宋" w:eastAsia="仿宋" w:cs="仿宋"/>
          <w:b/>
          <w:bCs/>
          <w:color w:val="auto"/>
          <w:sz w:val="32"/>
          <w:szCs w:val="32"/>
          <w:lang w:val="en-US" w:eastAsia="zh-CN"/>
        </w:rPr>
      </w:pPr>
      <w:bookmarkStart w:id="207" w:name="_Toc14166"/>
      <w:r>
        <w:rPr>
          <w:rFonts w:hint="eastAsia" w:ascii="仿宋" w:hAnsi="仿宋" w:eastAsia="仿宋" w:cs="仿宋"/>
          <w:b/>
          <w:bCs/>
          <w:color w:val="auto"/>
          <w:sz w:val="32"/>
          <w:szCs w:val="32"/>
          <w:lang w:val="en-US" w:eastAsia="zh-CN"/>
        </w:rPr>
        <w:t>3、绿色低碳发展</w:t>
      </w:r>
      <w:bookmarkEnd w:id="207"/>
    </w:p>
    <w:p w14:paraId="0552B1B4">
      <w:pPr>
        <w:pStyle w:val="9"/>
        <w:keepNext w:val="0"/>
        <w:keepLines w:val="0"/>
        <w:pageBreakBefore w:val="0"/>
        <w:numPr>
          <w:ilvl w:val="-1"/>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rPr>
        <w:t>73.</w:t>
      </w:r>
      <w:r>
        <w:rPr>
          <w:rFonts w:hint="eastAsia" w:ascii="仿宋" w:hAnsi="仿宋" w:eastAsia="仿宋" w:cs="仿宋"/>
          <w:color w:val="auto"/>
          <w:kern w:val="2"/>
          <w:sz w:val="32"/>
          <w:szCs w:val="32"/>
          <w:lang w:val="en-US" w:eastAsia="zh-CN" w:bidi="ar-SA"/>
        </w:rPr>
        <w:t>鼓励企业制定严于国家标准、行业标准、地方标准的企业节能标准，积极开展能效对标活动，运用先进节能技术实施节能改造，不断减少单位产品综合能耗，持续提升能效水平。</w:t>
      </w:r>
    </w:p>
    <w:p w14:paraId="562AB184">
      <w:pPr>
        <w:pStyle w:val="9"/>
        <w:keepNext w:val="0"/>
        <w:keepLines w:val="0"/>
        <w:pageBreakBefore w:val="0"/>
        <w:numPr>
          <w:ilvl w:val="-1"/>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74.</w:t>
      </w:r>
      <w:r>
        <w:rPr>
          <w:rFonts w:hint="eastAsia" w:ascii="仿宋" w:hAnsi="仿宋" w:eastAsia="仿宋" w:cs="仿宋"/>
          <w:b w:val="0"/>
          <w:bCs w:val="0"/>
          <w:color w:val="auto"/>
          <w:spacing w:val="0"/>
          <w:kern w:val="2"/>
          <w:sz w:val="32"/>
          <w:szCs w:val="32"/>
          <w:lang w:val="en-US" w:eastAsia="zh-CN" w:bidi="ar"/>
        </w:rPr>
        <w:t>鼓励企业开展产品碳足迹核算，建立健全全生命周期</w:t>
      </w:r>
      <w:r>
        <w:rPr>
          <w:rFonts w:hint="eastAsia" w:ascii="仿宋" w:hAnsi="仿宋" w:eastAsia="仿宋" w:cs="仿宋"/>
          <w:color w:val="auto"/>
          <w:kern w:val="2"/>
          <w:sz w:val="32"/>
          <w:szCs w:val="32"/>
          <w:lang w:val="en-US" w:eastAsia="zh-CN" w:bidi="ar-SA"/>
        </w:rPr>
        <w:t>碳排放管理体系，重点推进核心产品碳足迹标识认证，打造低碳品牌竞争力。鼓励企业积极参与碳排放计量审查试点，建立健全碳排放计量管理制度，完善碳计量器具配备与管理，提升碳计量能力和水平。</w:t>
      </w:r>
    </w:p>
    <w:bookmarkEnd w:id="196"/>
    <w:bookmarkEnd w:id="197"/>
    <w:bookmarkEnd w:id="198"/>
    <w:bookmarkEnd w:id="199"/>
    <w:bookmarkEnd w:id="200"/>
    <w:bookmarkEnd w:id="201"/>
    <w:bookmarkEnd w:id="202"/>
    <w:bookmarkEnd w:id="203"/>
    <w:bookmarkEnd w:id="204"/>
    <w:bookmarkEnd w:id="205"/>
    <w:p w14:paraId="58A3ACE8">
      <w:pPr>
        <w:pStyle w:val="9"/>
        <w:keepNext w:val="0"/>
        <w:keepLines w:val="0"/>
        <w:pageBreakBefore w:val="0"/>
        <w:numPr>
          <w:ilvl w:val="-1"/>
          <w:numId w:val="0"/>
        </w:numPr>
        <w:kinsoku/>
        <w:wordWrap/>
        <w:overflowPunct/>
        <w:topLinePunct w:val="0"/>
        <w:autoSpaceDE/>
        <w:autoSpaceDN/>
        <w:bidi w:val="0"/>
        <w:adjustRightInd/>
        <w:snapToGrid/>
        <w:spacing w:line="520" w:lineRule="exact"/>
        <w:ind w:firstLine="640" w:firstLineChars="200"/>
        <w:textAlignment w:val="auto"/>
        <w:outlineLvl w:val="0"/>
        <w:rPr>
          <w:rFonts w:hint="eastAsia" w:ascii="仿宋" w:hAnsi="仿宋" w:eastAsia="仿宋" w:cs="仿宋"/>
          <w:color w:val="auto"/>
          <w:sz w:val="32"/>
          <w:szCs w:val="32"/>
          <w:lang w:val="en-US" w:eastAsia="zh-CN"/>
        </w:rPr>
      </w:pPr>
      <w:bookmarkStart w:id="208" w:name="_Toc6900"/>
      <w:bookmarkStart w:id="209" w:name="_Toc22325"/>
      <w:bookmarkStart w:id="210" w:name="_Toc25984"/>
      <w:bookmarkStart w:id="211" w:name="_Toc8529"/>
      <w:bookmarkStart w:id="212" w:name="_Toc28851"/>
      <w:bookmarkStart w:id="213" w:name="_Toc25970"/>
      <w:bookmarkStart w:id="214" w:name="_Toc20413"/>
      <w:bookmarkStart w:id="215" w:name="_Toc14208"/>
      <w:r>
        <w:rPr>
          <w:rFonts w:hint="eastAsia" w:ascii="仿宋" w:hAnsi="仿宋" w:eastAsia="仿宋" w:cs="仿宋"/>
          <w:color w:val="auto"/>
          <w:sz w:val="32"/>
          <w:szCs w:val="32"/>
          <w:lang w:val="en-US" w:eastAsia="zh-CN"/>
        </w:rPr>
        <w:t>三、数字转型与监管</w:t>
      </w:r>
      <w:bookmarkEnd w:id="208"/>
      <w:bookmarkEnd w:id="209"/>
      <w:bookmarkEnd w:id="210"/>
      <w:bookmarkEnd w:id="211"/>
      <w:bookmarkEnd w:id="212"/>
      <w:bookmarkEnd w:id="213"/>
      <w:bookmarkEnd w:id="214"/>
      <w:bookmarkEnd w:id="215"/>
    </w:p>
    <w:p w14:paraId="23371EA3">
      <w:pPr>
        <w:pStyle w:val="9"/>
        <w:keepNext w:val="0"/>
        <w:keepLines w:val="0"/>
        <w:pageBreakBefore w:val="0"/>
        <w:numPr>
          <w:ilvl w:val="-1"/>
          <w:numId w:val="0"/>
        </w:numPr>
        <w:kinsoku/>
        <w:wordWrap/>
        <w:overflowPunct/>
        <w:topLinePunct w:val="0"/>
        <w:autoSpaceDE/>
        <w:autoSpaceDN/>
        <w:bidi w:val="0"/>
        <w:adjustRightInd/>
        <w:snapToGrid/>
        <w:spacing w:line="520" w:lineRule="exact"/>
        <w:ind w:firstLine="643" w:firstLineChars="200"/>
        <w:textAlignment w:val="auto"/>
        <w:outlineLvl w:val="1"/>
        <w:rPr>
          <w:rFonts w:hint="eastAsia" w:ascii="仿宋" w:hAnsi="仿宋" w:eastAsia="仿宋" w:cs="仿宋"/>
          <w:b/>
          <w:bCs/>
          <w:color w:val="auto"/>
          <w:sz w:val="32"/>
          <w:szCs w:val="32"/>
          <w:lang w:val="en-US" w:eastAsia="zh-CN"/>
        </w:rPr>
      </w:pPr>
      <w:bookmarkStart w:id="216" w:name="_Toc25722"/>
      <w:bookmarkStart w:id="217" w:name="_Toc1632"/>
      <w:bookmarkStart w:id="218" w:name="_Toc3218"/>
      <w:bookmarkStart w:id="219" w:name="_Toc21252"/>
      <w:bookmarkStart w:id="220" w:name="_Toc29213"/>
      <w:bookmarkStart w:id="221" w:name="_Toc14867"/>
      <w:bookmarkStart w:id="222" w:name="_Toc25355"/>
      <w:bookmarkStart w:id="223" w:name="_Toc27437"/>
      <w:bookmarkStart w:id="224" w:name="_Toc5160"/>
      <w:bookmarkStart w:id="225" w:name="_Toc18169"/>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lang w:eastAsia="zh-CN"/>
          <w:woUserID w:val="1"/>
        </w:rPr>
        <w:t>应急</w:t>
      </w:r>
      <w:r>
        <w:rPr>
          <w:rFonts w:hint="eastAsia" w:ascii="仿宋" w:hAnsi="仿宋" w:eastAsia="仿宋" w:cs="仿宋"/>
          <w:b/>
          <w:bCs/>
          <w:color w:val="auto"/>
          <w:sz w:val="32"/>
          <w:szCs w:val="32"/>
          <w:lang w:val="en-US" w:eastAsia="zh-CN"/>
        </w:rPr>
        <w:t>数智化</w:t>
      </w:r>
      <w:bookmarkEnd w:id="216"/>
      <w:bookmarkEnd w:id="217"/>
      <w:bookmarkEnd w:id="218"/>
      <w:bookmarkEnd w:id="219"/>
      <w:bookmarkEnd w:id="220"/>
      <w:bookmarkEnd w:id="221"/>
      <w:bookmarkEnd w:id="222"/>
      <w:bookmarkEnd w:id="223"/>
      <w:bookmarkEnd w:id="224"/>
      <w:bookmarkEnd w:id="225"/>
    </w:p>
    <w:p w14:paraId="143D659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75.根据绍兴市上虞区安全生产委员会办公室《关于全面推进化工企业安全风险智能化管控平台建设的通知》要求，建设十一大块功能；构成重大危险源的化工企业，危化品生产许可企业，2025年底前完成，不构成重大危险源的非许可化工医药企业，2026年底前完成，新建化工企业应当在项目竣工验收前，完成平台建设应用和数据对接互通；企业平台应与杭州湾经开区安全环保智慧监管平台实现的数据交换对接。</w:t>
      </w:r>
    </w:p>
    <w:p w14:paraId="066F550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76.应采用危险与可操作性分析等方法或设计院设计确定，合理确定报警阈值；涉及“一重点一重大”（重大危险源、重点监管危险化工工艺）企业应落实分工况报警管理措施，根据工艺单元或工艺设备的实际运行工况条件进行动态的报警设置，经过危险与可操作性分析，确定置换、投料、反应、静置、保温、排空等不同工艺操作阶段不同的报警阈值；涉及“一重点一重大”企业应基于连锁摘除在线审批系统，实现连锁异常摘除报警功能。</w:t>
      </w:r>
    </w:p>
    <w:p w14:paraId="75704B9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77.应建设应用安全培训系统，登记完善员工个人安全培训信息化档案；从业人员300人以上的企业，应配备安全管理、生产、设备、工艺、电气仪表等各专业领域内训师，通过组织试讲、竞赛、交流、培训等形式提高内训师教育培训能力,实现企业在岗培训以内训师承担为主；安全生产培训可采取线下、线上相结合的方式进行，线下、线上培训每日不得超过8学时，超过8学时的按照8学时计算；员工岗前培训和年度再培训学时中，线下培训不得少于法定培训学时的50%。</w:t>
      </w:r>
    </w:p>
    <w:p w14:paraId="4253BCF8">
      <w:pPr>
        <w:pStyle w:val="9"/>
        <w:keepNext w:val="0"/>
        <w:keepLines w:val="0"/>
        <w:pageBreakBefore w:val="0"/>
        <w:numPr>
          <w:ilvl w:val="-1"/>
          <w:numId w:val="0"/>
        </w:numPr>
        <w:kinsoku/>
        <w:wordWrap/>
        <w:overflowPunct/>
        <w:topLinePunct w:val="0"/>
        <w:autoSpaceDE/>
        <w:autoSpaceDN/>
        <w:bidi w:val="0"/>
        <w:adjustRightInd/>
        <w:snapToGrid/>
        <w:spacing w:line="520" w:lineRule="exact"/>
        <w:ind w:firstLine="643" w:firstLineChars="200"/>
        <w:textAlignment w:val="auto"/>
        <w:outlineLvl w:val="1"/>
        <w:rPr>
          <w:rFonts w:hint="eastAsia" w:ascii="仿宋" w:hAnsi="仿宋" w:eastAsia="仿宋" w:cs="仿宋"/>
          <w:b/>
          <w:bCs/>
          <w:color w:val="auto"/>
          <w:sz w:val="32"/>
          <w:szCs w:val="32"/>
          <w:lang w:val="en-US" w:eastAsia="zh-CN"/>
        </w:rPr>
      </w:pPr>
      <w:bookmarkStart w:id="226" w:name="_Toc12775"/>
      <w:bookmarkStart w:id="227" w:name="_Toc10177"/>
      <w:bookmarkStart w:id="228" w:name="_Toc8087"/>
      <w:bookmarkStart w:id="229" w:name="_Toc17830"/>
      <w:bookmarkStart w:id="230" w:name="_Toc16543"/>
      <w:bookmarkStart w:id="231" w:name="_Toc1497"/>
      <w:bookmarkStart w:id="232" w:name="_Toc24912"/>
      <w:bookmarkStart w:id="233" w:name="_Toc19219"/>
      <w:r>
        <w:rPr>
          <w:rFonts w:hint="eastAsia" w:ascii="仿宋" w:hAnsi="仿宋" w:eastAsia="仿宋" w:cs="仿宋"/>
          <w:b/>
          <w:bCs/>
          <w:color w:val="auto"/>
          <w:sz w:val="32"/>
          <w:szCs w:val="32"/>
          <w:lang w:val="en-US" w:eastAsia="zh-CN"/>
        </w:rPr>
        <w:t>（二）环保智能化</w:t>
      </w:r>
      <w:bookmarkEnd w:id="226"/>
      <w:bookmarkEnd w:id="227"/>
      <w:bookmarkEnd w:id="228"/>
      <w:bookmarkEnd w:id="229"/>
      <w:bookmarkEnd w:id="230"/>
      <w:bookmarkEnd w:id="231"/>
      <w:bookmarkEnd w:id="232"/>
      <w:bookmarkEnd w:id="233"/>
    </w:p>
    <w:p w14:paraId="08CF67B1">
      <w:pPr>
        <w:pStyle w:val="9"/>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kern w:val="2"/>
          <w:sz w:val="32"/>
          <w:szCs w:val="32"/>
          <w:lang w:val="en-US" w:eastAsia="zh-CN"/>
        </w:rPr>
      </w:pPr>
      <w:r>
        <w:rPr>
          <w:rFonts w:hint="eastAsia" w:ascii="仿宋" w:hAnsi="仿宋" w:eastAsia="仿宋" w:cs="仿宋"/>
          <w:color w:val="auto"/>
          <w:kern w:val="2"/>
          <w:sz w:val="32"/>
          <w:szCs w:val="32"/>
          <w:lang w:val="en-US" w:eastAsia="zh-CN" w:bidi="ar-SA"/>
        </w:rPr>
        <w:t>78.</w:t>
      </w:r>
      <w:r>
        <w:rPr>
          <w:rFonts w:hint="eastAsia" w:ascii="仿宋" w:hAnsi="仿宋" w:eastAsia="仿宋" w:cs="仿宋"/>
          <w:color w:val="auto"/>
          <w:kern w:val="2"/>
          <w:sz w:val="32"/>
          <w:szCs w:val="32"/>
          <w:lang w:val="en-US" w:eastAsia="zh-CN"/>
        </w:rPr>
        <w:t>企业按照国家有关规定，安装污染源在线自动监控设施，并实施在线自动分析。重点排污单位在废水及重点废气排放口配套安装在线监控设施，应急排放口要安装阀门操作及流量数据自动监控，保留操作运行记录。</w:t>
      </w:r>
    </w:p>
    <w:p w14:paraId="4C903778">
      <w:pPr>
        <w:pStyle w:val="9"/>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kern w:val="2"/>
          <w:sz w:val="32"/>
          <w:szCs w:val="32"/>
          <w:lang w:val="en-US" w:eastAsia="zh-CN"/>
        </w:rPr>
      </w:pPr>
      <w:r>
        <w:rPr>
          <w:rFonts w:hint="eastAsia" w:ascii="仿宋" w:hAnsi="仿宋" w:eastAsia="仿宋" w:cs="仿宋"/>
          <w:color w:val="auto"/>
          <w:kern w:val="2"/>
          <w:sz w:val="32"/>
          <w:szCs w:val="32"/>
          <w:lang w:val="en-US" w:eastAsia="zh-CN" w:bidi="ar-SA"/>
        </w:rPr>
        <w:t>79.</w:t>
      </w:r>
      <w:r>
        <w:rPr>
          <w:rFonts w:hint="eastAsia" w:ascii="仿宋" w:hAnsi="仿宋" w:eastAsia="仿宋" w:cs="仿宋"/>
          <w:color w:val="auto"/>
          <w:kern w:val="2"/>
          <w:sz w:val="32"/>
          <w:szCs w:val="32"/>
          <w:lang w:val="en-US" w:eastAsia="zh-CN"/>
        </w:rPr>
        <w:t>企业将污染物排放在线监控数据上传内部监控平台，设置排放限值、超标预警条件等，触发相关条件后，通过短信或声光报警等形式，确保管理及操作人员第一时间发现异常，并进行应急处置、留痕，最大限度降低或消除隐患。</w:t>
      </w:r>
    </w:p>
    <w:p w14:paraId="722C48C0">
      <w:pPr>
        <w:pStyle w:val="9"/>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kern w:val="2"/>
          <w:sz w:val="32"/>
          <w:szCs w:val="32"/>
          <w:lang w:val="en-US" w:eastAsia="zh-CN"/>
        </w:rPr>
      </w:pPr>
      <w:r>
        <w:rPr>
          <w:rFonts w:hint="eastAsia" w:ascii="仿宋" w:hAnsi="仿宋" w:eastAsia="仿宋" w:cs="仿宋"/>
          <w:color w:val="auto"/>
          <w:kern w:val="2"/>
          <w:sz w:val="32"/>
          <w:szCs w:val="32"/>
          <w:lang w:val="en-US" w:eastAsia="zh-CN"/>
        </w:rPr>
        <w:t>80.企业应</w:t>
      </w:r>
      <w:r>
        <w:rPr>
          <w:rFonts w:hint="eastAsia" w:ascii="仿宋" w:hAnsi="仿宋" w:eastAsia="仿宋" w:cs="仿宋"/>
          <w:color w:val="auto"/>
          <w:kern w:val="2"/>
          <w:sz w:val="32"/>
          <w:szCs w:val="32"/>
          <w:lang w:eastAsia="zh-CN"/>
          <w:woUserID w:val="2"/>
        </w:rPr>
        <w:t>安装环保设施自动加药系统，鼓励环保设施与生产装置进行联动运行，同时，</w:t>
      </w:r>
      <w:r>
        <w:rPr>
          <w:rFonts w:hint="eastAsia" w:ascii="仿宋" w:hAnsi="仿宋" w:eastAsia="仿宋" w:cs="仿宋"/>
          <w:color w:val="auto"/>
          <w:kern w:val="2"/>
          <w:sz w:val="32"/>
          <w:szCs w:val="32"/>
          <w:lang w:val="en-US" w:eastAsia="zh-CN"/>
        </w:rPr>
        <w:t>加强对环保装置的运行监控，具备各类环保装置运行状态数据</w:t>
      </w:r>
      <w:r>
        <w:rPr>
          <w:rFonts w:hint="eastAsia" w:ascii="仿宋" w:hAnsi="仿宋" w:eastAsia="仿宋" w:cs="仿宋"/>
          <w:color w:val="auto"/>
          <w:kern w:val="2"/>
          <w:sz w:val="32"/>
          <w:szCs w:val="32"/>
          <w:lang w:eastAsia="zh-CN"/>
          <w:woUserID w:val="1"/>
        </w:rPr>
        <w:t>（</w:t>
      </w:r>
      <w:r>
        <w:rPr>
          <w:rFonts w:hint="eastAsia" w:ascii="仿宋" w:hAnsi="仿宋" w:eastAsia="仿宋" w:cs="仿宋"/>
          <w:color w:val="auto"/>
          <w:kern w:val="2"/>
          <w:sz w:val="32"/>
          <w:szCs w:val="32"/>
          <w:lang w:val="en-US" w:eastAsia="zh-CN"/>
        </w:rPr>
        <w:t>电流、</w:t>
      </w:r>
      <w:r>
        <w:rPr>
          <w:rFonts w:hint="eastAsia" w:ascii="仿宋" w:hAnsi="仿宋" w:eastAsia="仿宋" w:cs="仿宋"/>
          <w:color w:val="auto"/>
          <w:kern w:val="2"/>
          <w:sz w:val="32"/>
          <w:szCs w:val="32"/>
          <w:lang w:eastAsia="zh-CN"/>
          <w:woUserID w:val="1"/>
        </w:rPr>
        <w:t>p</w:t>
      </w:r>
      <w:r>
        <w:rPr>
          <w:rFonts w:hint="eastAsia" w:ascii="仿宋" w:hAnsi="仿宋" w:eastAsia="仿宋" w:cs="仿宋"/>
          <w:color w:val="auto"/>
          <w:kern w:val="2"/>
          <w:sz w:val="32"/>
          <w:szCs w:val="32"/>
          <w:lang w:val="en-US" w:eastAsia="zh-CN"/>
        </w:rPr>
        <w:t>H值等</w:t>
      </w:r>
      <w:r>
        <w:rPr>
          <w:rFonts w:hint="eastAsia" w:ascii="仿宋" w:hAnsi="仿宋" w:eastAsia="仿宋" w:cs="仿宋"/>
          <w:color w:val="auto"/>
          <w:kern w:val="2"/>
          <w:sz w:val="32"/>
          <w:szCs w:val="32"/>
          <w:lang w:eastAsia="zh-CN"/>
          <w:woUserID w:val="1"/>
        </w:rPr>
        <w:t>）</w:t>
      </w:r>
      <w:r>
        <w:rPr>
          <w:rFonts w:hint="eastAsia" w:ascii="仿宋" w:hAnsi="仿宋" w:eastAsia="仿宋" w:cs="仿宋"/>
          <w:color w:val="auto"/>
          <w:kern w:val="2"/>
          <w:sz w:val="32"/>
          <w:szCs w:val="32"/>
          <w:lang w:val="en-US" w:eastAsia="zh-CN"/>
        </w:rPr>
        <w:t>采集、实时上传到DCS监管（控）平台的能力，并根据管理需要对相关历史视频、数据进行存档保留。</w:t>
      </w:r>
    </w:p>
    <w:p w14:paraId="06516CC3">
      <w:pPr>
        <w:pStyle w:val="9"/>
        <w:keepNext w:val="0"/>
        <w:keepLines w:val="0"/>
        <w:pageBreakBefore w:val="0"/>
        <w:numPr>
          <w:ilvl w:val="-1"/>
          <w:numId w:val="0"/>
        </w:numPr>
        <w:kinsoku/>
        <w:wordWrap/>
        <w:overflowPunct/>
        <w:topLinePunct w:val="0"/>
        <w:autoSpaceDE/>
        <w:autoSpaceDN/>
        <w:bidi w:val="0"/>
        <w:adjustRightInd/>
        <w:snapToGrid/>
        <w:spacing w:line="520" w:lineRule="exact"/>
        <w:ind w:firstLine="643" w:firstLineChars="200"/>
        <w:textAlignment w:val="auto"/>
        <w:outlineLvl w:val="1"/>
        <w:rPr>
          <w:rFonts w:hint="eastAsia" w:ascii="仿宋" w:hAnsi="仿宋" w:eastAsia="仿宋" w:cs="仿宋"/>
          <w:b/>
          <w:bCs/>
          <w:color w:val="auto"/>
          <w:sz w:val="32"/>
          <w:szCs w:val="32"/>
          <w:lang w:val="en-US" w:eastAsia="zh-CN"/>
        </w:rPr>
      </w:pPr>
      <w:bookmarkStart w:id="234" w:name="_Toc18457"/>
      <w:bookmarkStart w:id="235" w:name="_Toc17329"/>
      <w:bookmarkStart w:id="236" w:name="_Toc2759"/>
      <w:bookmarkStart w:id="237" w:name="_Toc13276"/>
      <w:bookmarkStart w:id="238" w:name="_Toc16255"/>
      <w:bookmarkStart w:id="239" w:name="_Toc10421"/>
      <w:bookmarkStart w:id="240" w:name="_Toc25478"/>
      <w:bookmarkStart w:id="241" w:name="_Toc4118"/>
      <w:r>
        <w:rPr>
          <w:rFonts w:hint="eastAsia" w:ascii="仿宋" w:hAnsi="仿宋" w:eastAsia="仿宋" w:cs="仿宋"/>
          <w:b/>
          <w:bCs/>
          <w:color w:val="auto"/>
          <w:sz w:val="32"/>
          <w:szCs w:val="32"/>
          <w:lang w:val="en-US" w:eastAsia="zh-CN"/>
        </w:rPr>
        <w:t>（三）数字化</w:t>
      </w:r>
      <w:bookmarkEnd w:id="234"/>
      <w:bookmarkEnd w:id="235"/>
      <w:bookmarkEnd w:id="236"/>
      <w:bookmarkEnd w:id="237"/>
      <w:r>
        <w:rPr>
          <w:rFonts w:hint="eastAsia" w:ascii="仿宋" w:hAnsi="仿宋" w:eastAsia="仿宋" w:cs="仿宋"/>
          <w:b/>
          <w:bCs/>
          <w:color w:val="auto"/>
          <w:sz w:val="32"/>
          <w:szCs w:val="32"/>
          <w:lang w:val="en-US" w:eastAsia="zh-CN"/>
        </w:rPr>
        <w:t>转型</w:t>
      </w:r>
      <w:bookmarkEnd w:id="238"/>
      <w:bookmarkEnd w:id="239"/>
      <w:bookmarkEnd w:id="240"/>
      <w:bookmarkEnd w:id="241"/>
    </w:p>
    <w:p w14:paraId="7BD6819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81.</w:t>
      </w:r>
      <w:r>
        <w:rPr>
          <w:rFonts w:hint="eastAsia" w:ascii="仿宋" w:hAnsi="仿宋" w:eastAsia="仿宋" w:cs="仿宋"/>
          <w:color w:val="auto"/>
          <w:spacing w:val="-2"/>
          <w:sz w:val="32"/>
          <w:szCs w:val="32"/>
        </w:rPr>
        <w:t>从数字化基础、经营、管理、成效四个维度综合评估企业数字化发展水平，</w:t>
      </w:r>
      <w:r>
        <w:rPr>
          <w:rFonts w:hint="eastAsia" w:ascii="仿宋" w:hAnsi="仿宋" w:eastAsia="仿宋" w:cs="仿宋"/>
          <w:color w:val="auto"/>
          <w:spacing w:val="-13"/>
          <w:sz w:val="32"/>
          <w:szCs w:val="32"/>
        </w:rPr>
        <w:t>其中，数字化基础、管理和成效三个维度采用评分的方式确定等</w:t>
      </w:r>
      <w:r>
        <w:rPr>
          <w:rFonts w:hint="eastAsia" w:ascii="仿宋" w:hAnsi="仿宋" w:eastAsia="仿宋" w:cs="仿宋"/>
          <w:color w:val="auto"/>
          <w:spacing w:val="-12"/>
          <w:sz w:val="32"/>
          <w:szCs w:val="32"/>
        </w:rPr>
        <w:t>级，数字化经营部分用场景等级判定的方式确定等级。企业需</w:t>
      </w:r>
      <w:r>
        <w:rPr>
          <w:rFonts w:hint="eastAsia" w:ascii="仿宋" w:hAnsi="仿宋" w:eastAsia="仿宋" w:cs="仿宋"/>
          <w:color w:val="auto"/>
          <w:spacing w:val="-13"/>
          <w:sz w:val="32"/>
          <w:szCs w:val="32"/>
        </w:rPr>
        <w:t>依据数字化基础、管理及成效评测得分和数字化经营应用场</w:t>
      </w:r>
      <w:r>
        <w:rPr>
          <w:rFonts w:hint="eastAsia" w:ascii="仿宋" w:hAnsi="仿宋" w:eastAsia="仿宋" w:cs="仿宋"/>
          <w:color w:val="auto"/>
          <w:spacing w:val="-6"/>
          <w:sz w:val="32"/>
          <w:szCs w:val="32"/>
        </w:rPr>
        <w:t>景等级判定，</w:t>
      </w:r>
      <w:r>
        <w:rPr>
          <w:rFonts w:hint="eastAsia" w:ascii="仿宋" w:hAnsi="仿宋" w:eastAsia="仿宋" w:cs="仿宋"/>
          <w:spacing w:val="-6"/>
          <w:sz w:val="32"/>
          <w:szCs w:val="32"/>
        </w:rPr>
        <w:t>并通过</w:t>
      </w:r>
      <w:r>
        <w:rPr>
          <w:rFonts w:hint="eastAsia" w:ascii="仿宋" w:hAnsi="仿宋" w:eastAsia="仿宋" w:cs="仿宋"/>
          <w:spacing w:val="-12"/>
          <w:sz w:val="32"/>
          <w:szCs w:val="32"/>
        </w:rPr>
        <w:t>数字化改造提升工作，将</w:t>
      </w:r>
      <w:r>
        <w:rPr>
          <w:rFonts w:hint="eastAsia" w:ascii="仿宋" w:hAnsi="仿宋" w:eastAsia="仿宋" w:cs="仿宋"/>
          <w:spacing w:val="-6"/>
          <w:sz w:val="32"/>
          <w:szCs w:val="32"/>
        </w:rPr>
        <w:t>企业数字化水平提升至规范级（改造提升前已达到规范级的需提升至集成级）</w:t>
      </w:r>
      <w:r>
        <w:rPr>
          <w:rFonts w:hint="eastAsia" w:ascii="仿宋" w:hAnsi="仿宋" w:eastAsia="仿宋" w:cs="仿宋"/>
          <w:color w:val="auto"/>
          <w:spacing w:val="-6"/>
          <w:sz w:val="32"/>
          <w:szCs w:val="32"/>
        </w:rPr>
        <w:t>。</w:t>
      </w:r>
    </w:p>
    <w:p w14:paraId="6289135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82.企业应建成应用系统网络，实现大规模设备、人员信息系统互联，可支持大规模设备、人员与信息系统互联，生产设备数字化率和生产设备联网率均应达到20%以上。企业应该在产品设计、工艺设计、营销管理等方面实现数据的自动采集，在多个业务环节（2个及以上）使用本地或云化部署的信息化服务，实现业务的数字化管理情况。企业需应用相关网络安全产品及服务（如防火墙、网络分区、入侵检测、身份认证等）和数据安全产品及服务（如数据加密、数据备份与恢复、数据脱敏、数据分级分类保护等）。</w:t>
      </w:r>
    </w:p>
    <w:p w14:paraId="7763AD1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83.企业需制定相关实施数字化的规划、计划及保障措施等，同时需要建立相关信息系统建设及运营管理制度。企业需在人才建设上设置专门的数字化岗位/部门，</w:t>
      </w:r>
      <w:r>
        <w:rPr>
          <w:rFonts w:hint="eastAsia" w:ascii="仿宋" w:hAnsi="仿宋" w:eastAsia="仿宋" w:cs="仿宋"/>
          <w:color w:val="000000"/>
          <w:sz w:val="32"/>
          <w:szCs w:val="32"/>
        </w:rPr>
        <w:t>定期对员工开展数字化方面培训。</w:t>
      </w:r>
      <w:r>
        <w:rPr>
          <w:rFonts w:hint="eastAsia" w:ascii="仿宋" w:hAnsi="仿宋" w:eastAsia="仿宋" w:cs="仿宋"/>
          <w:color w:val="000000"/>
          <w:sz w:val="32"/>
          <w:szCs w:val="32"/>
          <w:highlight w:val="none"/>
        </w:rPr>
        <w:t>集成级企业按照数字化车间的要求开展建设，制造设备中</w:t>
      </w:r>
      <w:r>
        <w:rPr>
          <w:rFonts w:hint="eastAsia" w:ascii="仿宋" w:hAnsi="仿宋" w:eastAsia="仿宋" w:cs="仿宋"/>
          <w:spacing w:val="-6"/>
          <w:sz w:val="32"/>
          <w:szCs w:val="32"/>
          <w:highlight w:val="none"/>
        </w:rPr>
        <w:t>数字化设备的比率应不低于70%，并通过网络可实现设备、生产资源和系统之间的信息交互。企业需建有制造执行系统或其他的信息化生产管理系统，以支撑制造运行管理的功能</w:t>
      </w:r>
      <w:r>
        <w:rPr>
          <w:rFonts w:hint="eastAsia" w:ascii="仿宋" w:hAnsi="仿宋" w:eastAsia="仿宋" w:cs="仿宋"/>
          <w:spacing w:val="-6"/>
          <w:sz w:val="32"/>
          <w:szCs w:val="32"/>
          <w:highlight w:val="none"/>
          <w:lang w:eastAsia="zh-CN"/>
        </w:rPr>
        <w:t>，</w:t>
      </w:r>
      <w:r>
        <w:rPr>
          <w:rFonts w:hint="eastAsia" w:ascii="仿宋" w:hAnsi="仿宋" w:eastAsia="仿宋" w:cs="仿宋"/>
          <w:spacing w:val="-6"/>
          <w:sz w:val="32"/>
          <w:szCs w:val="32"/>
          <w:highlight w:val="none"/>
        </w:rPr>
        <w:t>企业需开展危险分析和风险评估，提出车间安全控制和数字化管理方案，并实施数字化生产安全管控</w:t>
      </w:r>
      <w:r>
        <w:rPr>
          <w:rFonts w:hint="eastAsia" w:ascii="仿宋" w:hAnsi="仿宋" w:eastAsia="仿宋" w:cs="仿宋"/>
          <w:color w:val="auto"/>
          <w:sz w:val="32"/>
          <w:szCs w:val="32"/>
          <w:lang w:val="en-US" w:eastAsia="zh-CN"/>
        </w:rPr>
        <w:t>。</w:t>
      </w:r>
    </w:p>
    <w:p w14:paraId="522D11B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84.企业应在产品生命周期数字化、生产执行数字化、供应链数字化和管理决策数字化等十六个应用场景（其中产品设计、营销管理、生产管控、质量管理、设备管理、安全生产、能耗管理、采购管理、仓储物流和财务管理为约束性场景）中，需建设不少于6个应用场景（其中不少于3个约束性场景）且场景等级需达到</w:t>
      </w:r>
      <w:r>
        <w:rPr>
          <w:rFonts w:hint="eastAsia" w:ascii="仿宋" w:hAnsi="仿宋" w:eastAsia="仿宋" w:cs="仿宋"/>
          <w:color w:val="000000"/>
          <w:sz w:val="32"/>
          <w:szCs w:val="32"/>
        </w:rPr>
        <w:t>规范级［</w:t>
      </w:r>
      <w:r>
        <w:rPr>
          <w:rFonts w:hint="eastAsia" w:ascii="仿宋" w:hAnsi="仿宋" w:eastAsia="仿宋" w:cs="仿宋"/>
          <w:spacing w:val="-6"/>
          <w:sz w:val="32"/>
          <w:szCs w:val="32"/>
        </w:rPr>
        <w:t>集成级需</w:t>
      </w:r>
      <w:r>
        <w:rPr>
          <w:rFonts w:hint="eastAsia" w:ascii="仿宋" w:hAnsi="仿宋" w:eastAsia="仿宋" w:cs="仿宋"/>
          <w:color w:val="000000"/>
          <w:sz w:val="32"/>
          <w:szCs w:val="32"/>
        </w:rPr>
        <w:t>建设不少于8个应用场景（其中不少于5个约束性场景）且场景等级需达到集成级］</w:t>
      </w:r>
      <w:r>
        <w:rPr>
          <w:rFonts w:hint="eastAsia" w:ascii="仿宋" w:hAnsi="仿宋" w:eastAsia="仿宋" w:cs="仿宋"/>
          <w:color w:val="auto"/>
          <w:sz w:val="32"/>
          <w:szCs w:val="32"/>
          <w:lang w:val="en-US" w:eastAsia="zh-CN"/>
        </w:rPr>
        <w:t>。</w:t>
      </w:r>
    </w:p>
    <w:p w14:paraId="672CBFB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85.</w:t>
      </w:r>
      <w:r>
        <w:rPr>
          <w:rFonts w:hint="eastAsia" w:ascii="仿宋" w:hAnsi="仿宋" w:eastAsia="仿宋" w:cs="仿宋"/>
          <w:color w:val="000000"/>
          <w:sz w:val="32"/>
          <w:szCs w:val="32"/>
          <w:highlight w:val="none"/>
        </w:rPr>
        <w:t>企业在开展数字化改造前需参考每百元营业收入中综合能源消费量、月均产品合格率、年度人均营业收入、年度每百元营业收入中的成本等指标开展数字化改造成效预测，并在数字化改造提升工作后对相关指标开展绩效评估，且各项指标在数字化改造后</w:t>
      </w:r>
      <w:r>
        <w:rPr>
          <w:rFonts w:hint="eastAsia" w:ascii="仿宋" w:hAnsi="仿宋" w:eastAsia="仿宋" w:cs="仿宋"/>
          <w:color w:val="000000"/>
          <w:sz w:val="32"/>
          <w:szCs w:val="32"/>
          <w:highlight w:val="none"/>
          <w:woUserID w:val="1"/>
        </w:rPr>
        <w:t>整体</w:t>
      </w:r>
      <w:r>
        <w:rPr>
          <w:rFonts w:hint="eastAsia" w:ascii="仿宋" w:hAnsi="仿宋" w:eastAsia="仿宋" w:cs="仿宋"/>
          <w:color w:val="000000"/>
          <w:sz w:val="32"/>
          <w:szCs w:val="32"/>
          <w:highlight w:val="none"/>
        </w:rPr>
        <w:t>不低于改造前的企业现状</w:t>
      </w:r>
      <w:r>
        <w:rPr>
          <w:rFonts w:hint="eastAsia" w:ascii="仿宋" w:hAnsi="仿宋" w:eastAsia="仿宋" w:cs="仿宋"/>
          <w:color w:val="auto"/>
          <w:sz w:val="32"/>
          <w:szCs w:val="32"/>
          <w:lang w:val="en-US" w:eastAsia="zh-CN"/>
        </w:rPr>
        <w:t>。</w:t>
      </w:r>
    </w:p>
    <w:p w14:paraId="11B7825A">
      <w:pPr>
        <w:pStyle w:val="9"/>
        <w:keepNext w:val="0"/>
        <w:keepLines w:val="0"/>
        <w:pageBreakBefore w:val="0"/>
        <w:numPr>
          <w:ilvl w:val="-1"/>
          <w:numId w:val="0"/>
        </w:numPr>
        <w:kinsoku/>
        <w:wordWrap/>
        <w:overflowPunct/>
        <w:topLinePunct w:val="0"/>
        <w:autoSpaceDE/>
        <w:autoSpaceDN/>
        <w:bidi w:val="0"/>
        <w:adjustRightInd/>
        <w:snapToGrid/>
        <w:spacing w:line="520" w:lineRule="exact"/>
        <w:ind w:firstLine="640" w:firstLineChars="200"/>
        <w:textAlignment w:val="auto"/>
        <w:outlineLvl w:val="0"/>
        <w:rPr>
          <w:rFonts w:hint="eastAsia" w:ascii="仿宋" w:hAnsi="仿宋" w:eastAsia="仿宋" w:cs="仿宋"/>
          <w:color w:val="auto"/>
          <w:sz w:val="32"/>
          <w:szCs w:val="32"/>
          <w:lang w:val="en-US" w:eastAsia="zh-CN"/>
        </w:rPr>
      </w:pPr>
      <w:bookmarkStart w:id="242" w:name="_Toc8177"/>
      <w:bookmarkStart w:id="243" w:name="_Toc1911"/>
      <w:bookmarkStart w:id="244" w:name="_Toc4325"/>
      <w:bookmarkStart w:id="245" w:name="_Toc31451"/>
      <w:bookmarkStart w:id="246" w:name="_Toc30111"/>
      <w:bookmarkStart w:id="247" w:name="_Toc20423"/>
      <w:bookmarkStart w:id="248" w:name="_Toc13870"/>
      <w:bookmarkStart w:id="249" w:name="_Toc18161"/>
      <w:r>
        <w:rPr>
          <w:rFonts w:hint="eastAsia" w:ascii="仿宋" w:hAnsi="仿宋" w:eastAsia="仿宋" w:cs="仿宋"/>
          <w:color w:val="auto"/>
          <w:sz w:val="32"/>
          <w:szCs w:val="32"/>
          <w:lang w:val="en-US" w:eastAsia="zh-CN"/>
        </w:rPr>
        <w:t>四、附则</w:t>
      </w:r>
      <w:bookmarkEnd w:id="242"/>
      <w:bookmarkEnd w:id="243"/>
      <w:bookmarkEnd w:id="244"/>
      <w:bookmarkEnd w:id="245"/>
      <w:bookmarkEnd w:id="246"/>
      <w:bookmarkEnd w:id="247"/>
      <w:bookmarkEnd w:id="248"/>
      <w:bookmarkEnd w:id="249"/>
    </w:p>
    <w:p w14:paraId="773E959F">
      <w:pPr>
        <w:pStyle w:val="9"/>
        <w:keepNext w:val="0"/>
        <w:keepLines w:val="0"/>
        <w:pageBreakBefore w:val="0"/>
        <w:numPr>
          <w:ilvl w:val="-1"/>
          <w:numId w:val="0"/>
        </w:numPr>
        <w:kinsoku/>
        <w:wordWrap/>
        <w:overflowPunct/>
        <w:topLinePunct w:val="0"/>
        <w:autoSpaceDE/>
        <w:autoSpaceDN/>
        <w:bidi w:val="0"/>
        <w:adjustRightInd/>
        <w:snapToGrid/>
        <w:spacing w:line="520" w:lineRule="exact"/>
        <w:ind w:firstLine="643" w:firstLineChars="200"/>
        <w:textAlignment w:val="auto"/>
        <w:outlineLvl w:val="1"/>
        <w:rPr>
          <w:rFonts w:hint="eastAsia" w:ascii="仿宋" w:hAnsi="仿宋" w:eastAsia="仿宋" w:cs="仿宋"/>
          <w:b/>
          <w:bCs/>
          <w:color w:val="auto"/>
          <w:sz w:val="32"/>
          <w:szCs w:val="32"/>
          <w:lang w:val="en-US" w:eastAsia="zh-CN"/>
        </w:rPr>
      </w:pPr>
      <w:bookmarkStart w:id="250" w:name="_Toc5581"/>
      <w:bookmarkStart w:id="251" w:name="_Toc846"/>
      <w:bookmarkStart w:id="252" w:name="_Toc24624"/>
      <w:bookmarkStart w:id="253" w:name="_Toc19442"/>
      <w:bookmarkStart w:id="254" w:name="_Toc22561"/>
      <w:bookmarkStart w:id="255" w:name="_Toc17028"/>
      <w:bookmarkStart w:id="256" w:name="_Toc4377"/>
      <w:bookmarkStart w:id="257" w:name="_Toc26557"/>
      <w:bookmarkStart w:id="258" w:name="_Toc18511"/>
      <w:bookmarkStart w:id="259" w:name="_Toc9260"/>
      <w:r>
        <w:rPr>
          <w:rFonts w:hint="eastAsia" w:ascii="仿宋" w:hAnsi="仿宋" w:eastAsia="仿宋" w:cs="仿宋"/>
          <w:b/>
          <w:bCs/>
          <w:color w:val="auto"/>
          <w:sz w:val="32"/>
          <w:szCs w:val="32"/>
          <w:lang w:val="en-US" w:eastAsia="zh-CN"/>
        </w:rPr>
        <w:t>（一）社会责任</w:t>
      </w:r>
      <w:bookmarkEnd w:id="250"/>
      <w:bookmarkEnd w:id="251"/>
      <w:bookmarkEnd w:id="252"/>
      <w:bookmarkEnd w:id="253"/>
      <w:bookmarkEnd w:id="254"/>
      <w:bookmarkEnd w:id="255"/>
      <w:bookmarkEnd w:id="256"/>
      <w:bookmarkEnd w:id="257"/>
    </w:p>
    <w:bookmarkEnd w:id="258"/>
    <w:bookmarkEnd w:id="259"/>
    <w:p w14:paraId="15A746B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highlight w:val="none"/>
          <w:lang w:val="en-US" w:eastAsia="zh-CN"/>
        </w:rPr>
        <w:t>86.</w:t>
      </w:r>
      <w:r>
        <w:rPr>
          <w:rFonts w:hint="eastAsia" w:ascii="仿宋" w:hAnsi="仿宋" w:eastAsia="仿宋" w:cs="仿宋"/>
          <w:color w:val="auto"/>
          <w:kern w:val="0"/>
          <w:sz w:val="32"/>
          <w:szCs w:val="32"/>
          <w:lang w:val="en-US" w:eastAsia="zh-CN"/>
        </w:rPr>
        <w:t>企业应遵守相关法律法规，遵循以人为本的原则，保障员工劳动权益和健康安全，为员工发展提供必要条件，促进企业与人协调发展。</w:t>
      </w:r>
    </w:p>
    <w:p w14:paraId="66556A7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highlight w:val="none"/>
          <w:lang w:val="en-US" w:eastAsia="zh-CN"/>
        </w:rPr>
        <w:t>87.</w:t>
      </w:r>
      <w:r>
        <w:rPr>
          <w:rFonts w:hint="eastAsia" w:ascii="仿宋" w:hAnsi="仿宋" w:eastAsia="仿宋" w:cs="仿宋"/>
          <w:color w:val="auto"/>
          <w:kern w:val="0"/>
          <w:sz w:val="32"/>
          <w:szCs w:val="32"/>
          <w:lang w:val="en-US" w:eastAsia="zh-CN"/>
        </w:rPr>
        <w:t>企业应建立社会责任管理制度，并融入企业日常管理。鼓励企业进行能力建设，制定社会责任培训计划、参与社会责任交流活动等，提升企业社会责任建设和可持续发展能力。</w:t>
      </w:r>
    </w:p>
    <w:p w14:paraId="3B68044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highlight w:val="none"/>
          <w:lang w:val="en-US" w:eastAsia="zh-CN"/>
        </w:rPr>
        <w:t>88.</w:t>
      </w:r>
      <w:r>
        <w:rPr>
          <w:rFonts w:hint="eastAsia" w:ascii="仿宋" w:hAnsi="仿宋" w:eastAsia="仿宋" w:cs="仿宋"/>
          <w:color w:val="auto"/>
          <w:kern w:val="0"/>
          <w:sz w:val="32"/>
          <w:szCs w:val="32"/>
          <w:lang w:val="en-US" w:eastAsia="zh-CN"/>
        </w:rPr>
        <w:t>企业应开展环境信息公开。鼓励企业主动开展社会责任和可持续发展信息披露，建立健全信息披露机制，提高信息披露质量，促进企业改善管理，提高价值链协同发展能力。</w:t>
      </w:r>
    </w:p>
    <w:p w14:paraId="3A44462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89.企业应采用先进的生产工艺和污染治理技术，减少废水、废气、废渣等污染物的排放，降低对空气、水和土壤的污染。积极推动资源的节约和循环利用，提高能源利用效率，降低原材料消耗。</w:t>
      </w:r>
    </w:p>
    <w:p w14:paraId="7E6A239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90.企业应严格控制产品质量，确保所生产的产品符合国家标准和行业规范，满足消费者的需求。建立良好的客户服务体系，及时处理消费者的咨询、投诉和建议，不断改进产品和服务质量，提高消费者的满意度和忠诚度。</w:t>
      </w:r>
    </w:p>
    <w:p w14:paraId="205628E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91.企业应对供应商进行严格的评估和管理，优先选择具有良好社会责任表现的供应商，建立长期稳定的合作关系，共同推动供应链的可持续发展。</w:t>
      </w:r>
    </w:p>
    <w:p w14:paraId="7439C63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92.企业宜参与化工行业标准和规范的制定工作，凭借自身的技术优势和实践经验，为行业提供科学合理的标准依据，促进行业的规范化发展。</w:t>
      </w:r>
    </w:p>
    <w:p w14:paraId="04DB260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93.企业宜参与碳市场建设，按照相关规定进行温室气体排放的监测、报告和核查，通过碳交易等市场机制，实现温室气体减排的成本效益最优化。</w:t>
      </w:r>
    </w:p>
    <w:p w14:paraId="5AE752A6">
      <w:pPr>
        <w:pStyle w:val="9"/>
        <w:keepNext w:val="0"/>
        <w:keepLines w:val="0"/>
        <w:pageBreakBefore w:val="0"/>
        <w:numPr>
          <w:ilvl w:val="-1"/>
          <w:numId w:val="0"/>
        </w:numPr>
        <w:kinsoku/>
        <w:wordWrap/>
        <w:overflowPunct/>
        <w:topLinePunct w:val="0"/>
        <w:autoSpaceDE/>
        <w:autoSpaceDN/>
        <w:bidi w:val="0"/>
        <w:adjustRightInd/>
        <w:snapToGrid/>
        <w:spacing w:line="520" w:lineRule="exact"/>
        <w:ind w:firstLine="643" w:firstLineChars="200"/>
        <w:textAlignment w:val="auto"/>
        <w:outlineLvl w:val="1"/>
        <w:rPr>
          <w:rFonts w:hint="eastAsia" w:ascii="仿宋" w:hAnsi="仿宋" w:eastAsia="仿宋" w:cs="仿宋"/>
          <w:b/>
          <w:bCs/>
          <w:color w:val="auto"/>
          <w:sz w:val="32"/>
          <w:szCs w:val="32"/>
          <w:lang w:val="en-US" w:eastAsia="zh-CN"/>
        </w:rPr>
      </w:pPr>
      <w:bookmarkStart w:id="260" w:name="_Toc28598"/>
      <w:bookmarkStart w:id="261" w:name="_Toc15267"/>
      <w:bookmarkStart w:id="262" w:name="_Toc29808"/>
      <w:bookmarkStart w:id="263" w:name="_Toc14604"/>
      <w:bookmarkStart w:id="264" w:name="_Toc13382"/>
      <w:bookmarkStart w:id="265" w:name="_Toc19959"/>
      <w:bookmarkStart w:id="266" w:name="_Toc12059"/>
      <w:bookmarkStart w:id="267" w:name="_Toc22555"/>
      <w:r>
        <w:rPr>
          <w:rFonts w:hint="eastAsia" w:ascii="仿宋" w:hAnsi="仿宋" w:eastAsia="仿宋" w:cs="仿宋"/>
          <w:b/>
          <w:bCs/>
          <w:color w:val="auto"/>
          <w:sz w:val="32"/>
          <w:szCs w:val="32"/>
          <w:lang w:val="en-US" w:eastAsia="zh-CN"/>
        </w:rPr>
        <w:t>（二）项目退出</w:t>
      </w:r>
      <w:bookmarkEnd w:id="260"/>
      <w:bookmarkEnd w:id="261"/>
      <w:bookmarkEnd w:id="262"/>
      <w:bookmarkEnd w:id="263"/>
      <w:bookmarkEnd w:id="264"/>
      <w:bookmarkEnd w:id="265"/>
      <w:bookmarkEnd w:id="266"/>
      <w:bookmarkEnd w:id="267"/>
    </w:p>
    <w:p w14:paraId="5413E71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94.企业存在重大安全隐患、发生重大安全事故，造成人员伤亡、重大财产损失或严重环境污染等后果，对自身及周边安全构成严重威胁，经监管部门责令整改后，在规定期限内仍无法达到安全生产要求，将被书面通知限期退出。</w:t>
      </w:r>
    </w:p>
    <w:p w14:paraId="1C19812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95.企业的废水、废气、废渣等污染物排放长期超过国家或地方规定的环保标准，对自身及周边环境造成严重污染，经多次整改仍不能达标，将被书面通知限期退出。企业的生产活动存在重大环境风险，可能导致突发环境事件，且企业无法有效控制环境风险，将被书面通知限期退出。</w:t>
      </w:r>
    </w:p>
    <w:p w14:paraId="2110C86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96.企业存在严重的违法违规行为，如无证生产、偷排偷放、篡改监测数据等，被相关部门依法查处，情节严重的将被书面通知限期退出。</w:t>
      </w:r>
    </w:p>
    <w:p w14:paraId="0A41F288">
      <w:pPr>
        <w:pStyle w:val="9"/>
        <w:keepNext w:val="0"/>
        <w:keepLines w:val="0"/>
        <w:pageBreakBefore w:val="0"/>
        <w:numPr>
          <w:ilvl w:val="-1"/>
          <w:numId w:val="0"/>
        </w:numPr>
        <w:kinsoku/>
        <w:wordWrap/>
        <w:overflowPunct/>
        <w:topLinePunct w:val="0"/>
        <w:autoSpaceDE/>
        <w:autoSpaceDN/>
        <w:bidi w:val="0"/>
        <w:adjustRightInd/>
        <w:snapToGrid/>
        <w:spacing w:line="520" w:lineRule="exact"/>
        <w:ind w:firstLine="643" w:firstLineChars="200"/>
        <w:textAlignment w:val="auto"/>
        <w:outlineLvl w:val="1"/>
        <w:rPr>
          <w:rFonts w:hint="eastAsia" w:ascii="仿宋" w:hAnsi="仿宋" w:eastAsia="仿宋" w:cs="仿宋"/>
          <w:b/>
          <w:bCs/>
          <w:color w:val="auto"/>
          <w:sz w:val="32"/>
          <w:szCs w:val="32"/>
          <w:lang w:val="en-US" w:eastAsia="zh-CN"/>
        </w:rPr>
      </w:pPr>
      <w:bookmarkStart w:id="268" w:name="_Toc24948"/>
      <w:bookmarkStart w:id="269" w:name="_Toc29265"/>
      <w:bookmarkStart w:id="270" w:name="_Toc25481"/>
      <w:bookmarkStart w:id="271" w:name="_Toc32476"/>
      <w:bookmarkStart w:id="272" w:name="_Toc21175"/>
      <w:bookmarkStart w:id="273" w:name="_Toc5840"/>
      <w:bookmarkStart w:id="274" w:name="_Toc13535"/>
      <w:r>
        <w:rPr>
          <w:rFonts w:hint="eastAsia" w:ascii="仿宋" w:hAnsi="仿宋" w:eastAsia="仿宋" w:cs="仿宋"/>
          <w:b/>
          <w:bCs/>
          <w:color w:val="auto"/>
          <w:sz w:val="32"/>
          <w:szCs w:val="32"/>
          <w:lang w:val="en-US" w:eastAsia="zh-CN"/>
        </w:rPr>
        <w:t>（三）其它</w:t>
      </w:r>
      <w:bookmarkEnd w:id="268"/>
    </w:p>
    <w:p w14:paraId="619C0E2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97.本规范适用于</w:t>
      </w:r>
      <w:r>
        <w:rPr>
          <w:rFonts w:hint="eastAsia" w:ascii="仿宋" w:hAnsi="仿宋" w:eastAsia="仿宋" w:cs="仿宋"/>
          <w:color w:val="auto"/>
          <w:sz w:val="32"/>
          <w:szCs w:val="32"/>
        </w:rPr>
        <w:t>杭州湾上虞经济技术开发区（化工集聚区）内的化工生产经营企业</w:t>
      </w:r>
      <w:r>
        <w:rPr>
          <w:rFonts w:hint="eastAsia" w:ascii="仿宋" w:hAnsi="仿宋" w:eastAsia="仿宋" w:cs="仿宋"/>
          <w:color w:val="auto"/>
          <w:kern w:val="0"/>
          <w:sz w:val="32"/>
          <w:szCs w:val="32"/>
          <w:lang w:val="en-US" w:eastAsia="zh-CN"/>
        </w:rPr>
        <w:t>，范围为《国民经济行业分类和代码》（GB/T 4754-2017）所列的第25—28类行业。</w:t>
      </w:r>
    </w:p>
    <w:p w14:paraId="6A0ED9B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98.本规范是鼓励和引导行业技术进步和规范发展的引导性文件，不具有行政审批的前置性。</w:t>
      </w:r>
    </w:p>
    <w:p w14:paraId="06EF5EF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99.本规范引用的标准、法律、法规、技术规范和产业政策等，按其最新版本执行，如有修订，从其规定。</w:t>
      </w:r>
    </w:p>
    <w:p w14:paraId="709525F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100.本规范自2025年4月XX日起实施。</w:t>
      </w:r>
    </w:p>
    <w:p w14:paraId="12169B24">
      <w:pPr>
        <w:rPr>
          <w:rFonts w:hint="eastAsia" w:ascii="仿宋_GB2312" w:hAnsi="仿宋_GB2312" w:eastAsia="仿宋_GB2312" w:cs="Times New Roman"/>
          <w:color w:val="auto"/>
          <w:kern w:val="0"/>
          <w:sz w:val="32"/>
          <w:szCs w:val="32"/>
          <w:lang w:val="en-US" w:eastAsia="zh-CN"/>
        </w:rPr>
      </w:pPr>
      <w:r>
        <w:rPr>
          <w:rFonts w:hint="eastAsia" w:ascii="仿宋_GB2312" w:hAnsi="仿宋_GB2312" w:eastAsia="仿宋_GB2312" w:cs="Times New Roman"/>
          <w:color w:val="auto"/>
          <w:kern w:val="0"/>
          <w:sz w:val="32"/>
          <w:szCs w:val="32"/>
          <w:lang w:val="en-US" w:eastAsia="zh-CN"/>
        </w:rPr>
        <w:br w:type="page"/>
      </w:r>
    </w:p>
    <w:p w14:paraId="6217E4D5">
      <w:pPr>
        <w:pStyle w:val="9"/>
        <w:widowControl/>
        <w:numPr>
          <w:ilvl w:val="-1"/>
          <w:numId w:val="0"/>
        </w:numPr>
        <w:ind w:firstLine="640" w:firstLineChars="200"/>
        <w:outlineLvl w:val="0"/>
        <w:rPr>
          <w:rFonts w:hint="eastAsia" w:ascii="黑体" w:hAnsi="黑体" w:eastAsia="黑体" w:cs="黑体"/>
          <w:color w:val="auto"/>
          <w:kern w:val="0"/>
          <w:sz w:val="32"/>
          <w:szCs w:val="32"/>
          <w:lang w:val="en-US" w:eastAsia="zh-CN"/>
        </w:rPr>
      </w:pPr>
      <w:bookmarkStart w:id="275" w:name="_Toc24939"/>
      <w:r>
        <w:rPr>
          <w:rFonts w:hint="eastAsia" w:ascii="黑体" w:hAnsi="黑体" w:eastAsia="黑体" w:cs="黑体"/>
          <w:color w:val="auto"/>
          <w:kern w:val="0"/>
          <w:sz w:val="32"/>
          <w:szCs w:val="32"/>
          <w:lang w:val="en-US" w:eastAsia="zh-CN"/>
        </w:rPr>
        <w:t>五、附注</w:t>
      </w:r>
      <w:bookmarkEnd w:id="269"/>
      <w:bookmarkEnd w:id="270"/>
      <w:bookmarkEnd w:id="271"/>
      <w:bookmarkEnd w:id="272"/>
      <w:bookmarkEnd w:id="273"/>
      <w:bookmarkEnd w:id="274"/>
      <w:bookmarkEnd w:id="275"/>
    </w:p>
    <w:p w14:paraId="7528169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kern w:val="0"/>
          <w:sz w:val="32"/>
          <w:szCs w:val="32"/>
          <w:lang w:val="en-US" w:eastAsia="zh-CN"/>
        </w:rPr>
      </w:pPr>
      <w:r>
        <w:rPr>
          <w:rFonts w:hint="eastAsia" w:ascii="仿宋_GB2312" w:hAnsi="仿宋_GB2312" w:eastAsia="仿宋_GB2312" w:cs="Times New Roman"/>
          <w:color w:val="auto"/>
          <w:kern w:val="0"/>
          <w:sz w:val="32"/>
          <w:szCs w:val="32"/>
          <w:lang w:val="en-US" w:eastAsia="zh-CN"/>
        </w:rPr>
        <w:t>一、项目准入与建设中第1条由杭州湾经开区管委会提供；第2条由区标准化研究院提供；第3条-第5条由杭州湾经开区管委会提供；第6条-第8条由区应急管理局提供。</w:t>
      </w:r>
    </w:p>
    <w:p w14:paraId="14F518E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kern w:val="0"/>
          <w:sz w:val="32"/>
          <w:szCs w:val="32"/>
          <w:lang w:val="en-US" w:eastAsia="zh-CN"/>
        </w:rPr>
      </w:pPr>
      <w:r>
        <w:rPr>
          <w:rFonts w:hint="eastAsia" w:ascii="仿宋_GB2312" w:hAnsi="仿宋_GB2312" w:eastAsia="仿宋_GB2312" w:cs="Times New Roman"/>
          <w:color w:val="auto"/>
          <w:kern w:val="0"/>
          <w:sz w:val="32"/>
          <w:szCs w:val="32"/>
          <w:lang w:val="en-US" w:eastAsia="zh-CN"/>
        </w:rPr>
        <w:t>二、生产经营与管理中第9条-第14条由区应急管理局提供；第15条-第24条由区消防大队提供；第25条-第29条由区市场监管局提供；第30条由区公安分局提供；第31条-第33条由区交通运输局提供；第34条-第36条由区气象局提供；第37条-第42条由区应急管理局提供；第43条-第63条由区生态环境分局提供；第64条-第73条由区发改局提供;第74条由区市场监管局提供。</w:t>
      </w:r>
    </w:p>
    <w:p w14:paraId="10CD101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kern w:val="0"/>
          <w:sz w:val="32"/>
          <w:szCs w:val="32"/>
          <w:lang w:val="en-US" w:eastAsia="zh-CN"/>
        </w:rPr>
      </w:pPr>
      <w:r>
        <w:rPr>
          <w:rFonts w:hint="eastAsia" w:ascii="仿宋_GB2312" w:hAnsi="仿宋_GB2312" w:eastAsia="仿宋_GB2312" w:cs="Times New Roman"/>
          <w:color w:val="auto"/>
          <w:kern w:val="0"/>
          <w:sz w:val="32"/>
          <w:szCs w:val="32"/>
          <w:lang w:val="en-US" w:eastAsia="zh-CN"/>
        </w:rPr>
        <w:t>三、数字转型与监管中第75条-第77条由区应急管理局提供；第78条-第80条由区生态环境分局提供；第81条-第85条由区经信局提供。</w:t>
      </w:r>
    </w:p>
    <w:p w14:paraId="0F0B61D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kern w:val="0"/>
          <w:sz w:val="32"/>
          <w:szCs w:val="32"/>
          <w:lang w:val="en-US" w:eastAsia="zh-CN"/>
        </w:rPr>
      </w:pPr>
      <w:r>
        <w:rPr>
          <w:rFonts w:hint="eastAsia" w:ascii="仿宋_GB2312" w:hAnsi="仿宋_GB2312" w:eastAsia="仿宋_GB2312" w:cs="Times New Roman"/>
          <w:color w:val="auto"/>
          <w:kern w:val="0"/>
          <w:sz w:val="32"/>
          <w:szCs w:val="32"/>
          <w:lang w:val="en-US" w:eastAsia="zh-CN"/>
        </w:rPr>
        <w:t>四、附则中第86条-第96条由区标准化研究院提供。</w:t>
      </w:r>
    </w:p>
    <w:p w14:paraId="27F5C557"/>
    <w:sectPr>
      <w:footerReference r:id="rId3" w:type="default"/>
      <w:pgSz w:w="11906" w:h="16838"/>
      <w:pgMar w:top="2098" w:right="1474" w:bottom="1984"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3290CC6-EDDA-4E8F-80B1-5337BCFACCC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F3B0A93-65EE-4FCD-88E3-7BDB5873521E}"/>
  </w:font>
  <w:font w:name="方正小标宋简体">
    <w:panose1 w:val="02000000000000000000"/>
    <w:charset w:val="86"/>
    <w:family w:val="auto"/>
    <w:pitch w:val="default"/>
    <w:sig w:usb0="00000001" w:usb1="080E0000" w:usb2="00000000" w:usb3="00000000" w:csb0="00040000" w:csb1="00000000"/>
    <w:embedRegular r:id="rId3" w:fontKey="{13171815-B790-4F14-83EF-92A8AAF99C94}"/>
  </w:font>
  <w:font w:name="仿宋">
    <w:panose1 w:val="02010609060101010101"/>
    <w:charset w:val="86"/>
    <w:family w:val="auto"/>
    <w:pitch w:val="default"/>
    <w:sig w:usb0="800002BF" w:usb1="38CF7CFA" w:usb2="00000016" w:usb3="00000000" w:csb0="00040001" w:csb1="00000000"/>
    <w:embedRegular r:id="rId4" w:fontKey="{BDB74DB9-B456-4008-BC91-F39C218EFCCC}"/>
  </w:font>
  <w:font w:name="楷体_GB2312">
    <w:panose1 w:val="02010609030101010101"/>
    <w:charset w:val="86"/>
    <w:family w:val="auto"/>
    <w:pitch w:val="default"/>
    <w:sig w:usb0="00000001" w:usb1="080E0000" w:usb2="00000000" w:usb3="00000000" w:csb0="00040000" w:csb1="00000000"/>
    <w:embedRegular r:id="rId5" w:fontKey="{F17E2D51-B48A-4E63-B06A-2BDEA641209D}"/>
  </w:font>
  <w:font w:name="仿宋_GB2312">
    <w:panose1 w:val="02010609030101010101"/>
    <w:charset w:val="86"/>
    <w:family w:val="modern"/>
    <w:pitch w:val="default"/>
    <w:sig w:usb0="00000001" w:usb1="080E0000" w:usb2="00000000" w:usb3="00000000" w:csb0="00040000" w:csb1="00000000"/>
    <w:embedRegular r:id="rId6" w:fontKey="{59AF7A0A-50C8-45B5-AD77-D39E0F76E1C4}"/>
  </w:font>
  <w:font w:name="方正小标宋_GBK">
    <w:panose1 w:val="02000000000000000000"/>
    <w:charset w:val="86"/>
    <w:family w:val="auto"/>
    <w:pitch w:val="default"/>
    <w:sig w:usb0="A00002BF" w:usb1="38CF7CFA" w:usb2="00082016" w:usb3="00000000" w:csb0="00040001" w:csb1="00000000"/>
    <w:embedRegular r:id="rId7" w:fontKey="{953ED010-B140-41B5-A5C2-C7CE7601DCB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464AA">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41B41C">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241B41C">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11"/>
      <w:suff w:val="nothing"/>
      <w:lvlText w:val="%1%2　"/>
      <w:lvlJc w:val="left"/>
      <w:pPr>
        <w:ind w:left="0" w:firstLine="0"/>
      </w:pPr>
      <w:rPr>
        <w:rFonts w:hint="eastAsia" w:ascii="黑体" w:eastAsia="黑体"/>
        <w:b w:val="0"/>
        <w:i w:val="0"/>
        <w:sz w:val="21"/>
      </w:rPr>
    </w:lvl>
    <w:lvl w:ilvl="2" w:tentative="0">
      <w:start w:val="1"/>
      <w:numFmt w:val="decimal"/>
      <w:pStyle w:val="10"/>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14"/>
      <w:suff w:val="nothing"/>
      <w:lvlText w:val="%1%2.%3.%4　"/>
      <w:lvlJc w:val="left"/>
      <w:pPr>
        <w:ind w:left="0" w:firstLine="0"/>
      </w:pPr>
      <w:rPr>
        <w:rFonts w:hint="eastAsia" w:ascii="黑体" w:hAns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3OWJjZGE1YzQwYWEwNGVjZmQ1NWU0Yzg5MDhhZjgifQ=="/>
  </w:docVars>
  <w:rsids>
    <w:rsidRoot w:val="6D4A51D6"/>
    <w:rsid w:val="020B5EE9"/>
    <w:rsid w:val="0D8A4280"/>
    <w:rsid w:val="1B325FD1"/>
    <w:rsid w:val="2AC47561"/>
    <w:rsid w:val="313C034F"/>
    <w:rsid w:val="3B348AD7"/>
    <w:rsid w:val="5C657365"/>
    <w:rsid w:val="6D4A51D6"/>
    <w:rsid w:val="7DC52409"/>
    <w:rsid w:val="7FBFC00E"/>
    <w:rsid w:val="7FCDEE70"/>
    <w:rsid w:val="970E1456"/>
    <w:rsid w:val="B67F7F63"/>
    <w:rsid w:val="CBFF90CF"/>
    <w:rsid w:val="F9DCF73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c 3"/>
    <w:basedOn w:val="1"/>
    <w:next w:val="1"/>
    <w:qFormat/>
    <w:uiPriority w:val="0"/>
    <w:pPr>
      <w:ind w:left="840" w:leftChars="4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style>
  <w:style w:type="paragraph" w:styleId="6">
    <w:name w:val="toc 2"/>
    <w:basedOn w:val="1"/>
    <w:next w:val="1"/>
    <w:qFormat/>
    <w:uiPriority w:val="0"/>
    <w:pPr>
      <w:ind w:left="420" w:leftChars="200"/>
    </w:pPr>
  </w:style>
  <w:style w:type="paragraph" w:customStyle="1" w:styleId="9">
    <w:name w:val="标准文件_一级无标题"/>
    <w:basedOn w:val="10"/>
    <w:qFormat/>
    <w:uiPriority w:val="0"/>
    <w:pPr>
      <w:spacing w:before="0" w:beforeLines="0" w:after="0" w:afterLines="0"/>
      <w:outlineLvl w:val="9"/>
    </w:pPr>
    <w:rPr>
      <w:rFonts w:ascii="宋体" w:eastAsia="宋体"/>
    </w:rPr>
  </w:style>
  <w:style w:type="paragraph" w:customStyle="1" w:styleId="10">
    <w:name w:val="标准文件_一级条标题"/>
    <w:basedOn w:val="11"/>
    <w:next w:val="12"/>
    <w:qFormat/>
    <w:uiPriority w:val="0"/>
    <w:pPr>
      <w:numPr>
        <w:ilvl w:val="2"/>
      </w:numPr>
      <w:spacing w:before="50" w:beforeLines="50" w:after="50" w:afterLines="50"/>
      <w:outlineLvl w:val="1"/>
    </w:pPr>
  </w:style>
  <w:style w:type="paragraph" w:customStyle="1" w:styleId="11">
    <w:name w:val="标准文件_章标题"/>
    <w:next w:val="12"/>
    <w:qFormat/>
    <w:uiPriority w:val="0"/>
    <w:pPr>
      <w:numPr>
        <w:ilvl w:val="1"/>
        <w:numId w:val="1"/>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2">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
    <w:name w:val="标准文件_二级无标题"/>
    <w:basedOn w:val="14"/>
    <w:qFormat/>
    <w:uiPriority w:val="0"/>
    <w:pPr>
      <w:spacing w:before="0" w:beforeLines="0" w:after="0" w:afterLines="0"/>
      <w:outlineLvl w:val="9"/>
    </w:pPr>
    <w:rPr>
      <w:rFonts w:ascii="宋体" w:eastAsia="宋体"/>
    </w:rPr>
  </w:style>
  <w:style w:type="paragraph" w:customStyle="1" w:styleId="14">
    <w:name w:val="标准文件_二级条标题"/>
    <w:next w:val="12"/>
    <w:qFormat/>
    <w:uiPriority w:val="0"/>
    <w:pPr>
      <w:widowControl w:val="0"/>
      <w:numPr>
        <w:ilvl w:val="3"/>
        <w:numId w:val="1"/>
      </w:numPr>
      <w:spacing w:before="50" w:beforeLines="50" w:after="50" w:afterLines="50"/>
      <w:jc w:val="both"/>
      <w:outlineLvl w:val="2"/>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27</Pages>
  <Words>13806</Words>
  <Characters>14223</Characters>
  <Lines>0</Lines>
  <Paragraphs>0</Paragraphs>
  <TotalTime>0</TotalTime>
  <ScaleCrop>false</ScaleCrop>
  <LinksUpToDate>false</LinksUpToDate>
  <CharactersWithSpaces>14338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2025-04-09T16:24:00Z</dcterms:created>
  <dc:creator>MMZ</dc:creator>
  <cp:lastModifiedBy>过客</cp:lastModifiedBy>
  <dcterms:modified xsi:type="dcterms:W3CDTF">2025-04-10T08:00:56Z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ED561391256141FEB5A464A5868D688E_11</vt:lpwstr>
  </property>
  <property fmtid="{D5CDD505-2E9C-101B-9397-08002B2CF9AE}" pid="4" name="KSOTemplateDocerSaveRecord">
    <vt:lpwstr>eyJoZGlkIjoiNjE4YjBiMzM2ZmM1MzJlOTc2NTBmMmE1NTllMWQ0MTMiLCJ1c2VySWQiOiIyOTU3NTQ5NTQifQ==</vt:lpwstr>
  </property>
</Properties>
</file>