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宁波前湾新区工业项目建设用地</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复核验收管理办法</w:t>
      </w:r>
    </w:p>
    <w:p>
      <w:pPr>
        <w:spacing w:line="54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rPr>
        <w:t>）</w:t>
      </w:r>
    </w:p>
    <w:p>
      <w:pPr>
        <w:spacing w:line="540" w:lineRule="exact"/>
        <w:ind w:firstLine="632"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为进一步规范宁波前湾新区工业项目建设用地复核验收工作，加强工业用地项目监督管理，</w:t>
      </w:r>
      <w:r>
        <w:rPr>
          <w:rFonts w:hint="eastAsia" w:ascii="仿宋_GB2312" w:hAnsi="仿宋_GB2312" w:eastAsia="仿宋_GB2312" w:cs="仿宋_GB2312"/>
          <w:sz w:val="32"/>
          <w:szCs w:val="32"/>
          <w:lang w:val="en-US" w:eastAsia="zh-CN"/>
        </w:rPr>
        <w:t>切实解决企业生产经营过程中的融资困难问题，</w:t>
      </w:r>
      <w:r>
        <w:rPr>
          <w:rFonts w:hint="eastAsia" w:ascii="仿宋_GB2312" w:hAnsi="仿宋_GB2312" w:eastAsia="仿宋_GB2312" w:cs="仿宋_GB2312"/>
          <w:sz w:val="32"/>
          <w:szCs w:val="32"/>
        </w:rPr>
        <w:t>促进工业经济高质量发展，结合新区实际，特制定本办法。</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一、基本原则</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企业投资工业项目</w:t>
      </w:r>
      <w:r>
        <w:rPr>
          <w:rFonts w:hint="eastAsia" w:ascii="仿宋_GB2312" w:hAnsi="仿宋_GB2312" w:eastAsia="仿宋_GB2312" w:cs="仿宋_GB2312"/>
          <w:sz w:val="32"/>
          <w:szCs w:val="32"/>
          <w:lang w:val="en-US" w:eastAsia="zh-CN"/>
        </w:rPr>
        <w:t>复核</w:t>
      </w:r>
      <w:r>
        <w:rPr>
          <w:rFonts w:hint="eastAsia" w:ascii="仿宋_GB2312" w:hAnsi="仿宋_GB2312" w:eastAsia="仿宋_GB2312" w:cs="仿宋_GB2312"/>
          <w:sz w:val="32"/>
          <w:szCs w:val="32"/>
        </w:rPr>
        <w:t>验收以“尊重历史、</w:t>
      </w:r>
      <w:r>
        <w:rPr>
          <w:rFonts w:hint="eastAsia" w:ascii="仿宋_GB2312" w:hAnsi="仿宋_GB2312" w:eastAsia="仿宋_GB2312" w:cs="仿宋_GB2312"/>
          <w:sz w:val="32"/>
          <w:szCs w:val="32"/>
          <w:lang w:val="en-US" w:eastAsia="zh-CN"/>
        </w:rPr>
        <w:t>实事求是、</w:t>
      </w:r>
      <w:r>
        <w:rPr>
          <w:rFonts w:hint="eastAsia" w:ascii="仿宋_GB2312" w:hAnsi="仿宋_GB2312" w:eastAsia="仿宋_GB2312" w:cs="仿宋_GB2312"/>
          <w:sz w:val="32"/>
          <w:szCs w:val="32"/>
        </w:rPr>
        <w:t>分类处置”为原则，对不同时期工业用地项目分类开展</w:t>
      </w:r>
      <w:r>
        <w:rPr>
          <w:rFonts w:hint="eastAsia" w:ascii="仿宋_GB2312" w:hAnsi="仿宋_GB2312" w:eastAsia="仿宋_GB2312" w:cs="仿宋_GB2312"/>
          <w:sz w:val="32"/>
          <w:szCs w:val="32"/>
          <w:lang w:val="en-US" w:eastAsia="zh-CN"/>
        </w:rPr>
        <w:t>复核</w:t>
      </w:r>
      <w:r>
        <w:rPr>
          <w:rFonts w:hint="eastAsia" w:ascii="仿宋_GB2312" w:hAnsi="仿宋_GB2312" w:eastAsia="仿宋_GB2312" w:cs="仿宋_GB2312"/>
          <w:sz w:val="32"/>
          <w:szCs w:val="32"/>
        </w:rPr>
        <w:t>验收。</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分类</w:t>
      </w:r>
      <w:r>
        <w:rPr>
          <w:rFonts w:hint="eastAsia" w:ascii="黑体" w:hAnsi="黑体" w:eastAsia="黑体" w:cs="黑体"/>
          <w:sz w:val="32"/>
          <w:szCs w:val="32"/>
          <w:lang w:val="en-US" w:eastAsia="zh-CN"/>
        </w:rPr>
        <w:t>管理</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bookmarkStart w:id="0" w:name="OLE_LINK4"/>
      <w:r>
        <w:rPr>
          <w:rFonts w:hint="eastAsia" w:ascii="仿宋_GB2312" w:hAnsi="仿宋_GB2312" w:eastAsia="仿宋_GB2312" w:cs="仿宋_GB2312"/>
          <w:sz w:val="32"/>
          <w:szCs w:val="32"/>
          <w:lang w:val="en-US" w:eastAsia="zh-CN"/>
        </w:rPr>
        <w:t>首次出</w:t>
      </w:r>
      <w:r>
        <w:rPr>
          <w:rFonts w:hint="eastAsia" w:ascii="仿宋_GB2312" w:hAnsi="仿宋_GB2312" w:eastAsia="仿宋_GB2312" w:cs="仿宋_GB2312"/>
          <w:sz w:val="32"/>
          <w:szCs w:val="32"/>
        </w:rPr>
        <w:t>让工业用地使用权</w:t>
      </w:r>
      <w:bookmarkEnd w:id="0"/>
      <w:r>
        <w:rPr>
          <w:rFonts w:hint="eastAsia" w:ascii="仿宋_GB2312" w:hAnsi="仿宋_GB2312" w:eastAsia="仿宋_GB2312" w:cs="仿宋_GB2312"/>
          <w:sz w:val="32"/>
          <w:szCs w:val="32"/>
          <w:lang w:val="en-US" w:eastAsia="zh-CN"/>
        </w:rPr>
        <w:t>时间，分为2019年前的</w:t>
      </w:r>
      <w:r>
        <w:rPr>
          <w:rFonts w:hint="eastAsia" w:ascii="仿宋_GB2312" w:hAnsi="仿宋_GB2312" w:eastAsia="仿宋_GB2312" w:cs="仿宋_GB2312"/>
          <w:sz w:val="32"/>
          <w:szCs w:val="32"/>
        </w:rPr>
        <w:t>执行非“标准地”</w:t>
      </w:r>
      <w:r>
        <w:rPr>
          <w:rFonts w:hint="eastAsia" w:ascii="仿宋_GB2312" w:hAnsi="仿宋_GB2312" w:eastAsia="仿宋_GB2312" w:cs="仿宋_GB2312"/>
          <w:sz w:val="32"/>
          <w:szCs w:val="32"/>
          <w:lang w:val="en-US" w:eastAsia="zh-CN"/>
        </w:rPr>
        <w:t>验收办法</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2019年后的执行“</w:t>
      </w:r>
      <w:r>
        <w:rPr>
          <w:rFonts w:hint="eastAsia" w:ascii="仿宋_GB2312" w:hAnsi="仿宋_GB2312" w:eastAsia="仿宋_GB2312" w:cs="仿宋_GB2312"/>
          <w:sz w:val="32"/>
          <w:szCs w:val="32"/>
        </w:rPr>
        <w:t>标准地”验收</w:t>
      </w:r>
      <w:r>
        <w:rPr>
          <w:rFonts w:hint="eastAsia" w:ascii="仿宋_GB2312" w:hAnsi="仿宋_GB2312" w:eastAsia="仿宋_GB2312" w:cs="仿宋_GB2312"/>
          <w:sz w:val="32"/>
          <w:szCs w:val="32"/>
          <w:lang w:val="en-US" w:eastAsia="zh-CN"/>
        </w:rPr>
        <w:t>办法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分类验收</w:t>
      </w:r>
      <w:r>
        <w:rPr>
          <w:rFonts w:hint="eastAsia" w:ascii="黑体" w:hAnsi="黑体" w:eastAsia="黑体" w:cs="黑体"/>
          <w:b w:val="0"/>
          <w:bCs w:val="0"/>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rPr>
        <w:t>（一）非“标准地”验收</w:t>
      </w:r>
      <w:r>
        <w:rPr>
          <w:rFonts w:hint="eastAsia" w:ascii="楷体_GB2312" w:hAnsi="楷体_GB2312" w:eastAsia="楷体_GB2312" w:cs="楷体_GB2312"/>
          <w:b w:val="0"/>
          <w:bCs w:val="0"/>
          <w:sz w:val="32"/>
          <w:szCs w:val="32"/>
          <w:lang w:val="en-US" w:eastAsia="zh-CN"/>
        </w:rPr>
        <w:t>办法</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申请单位按规划确认的总平面图</w:t>
      </w:r>
      <w:r>
        <w:rPr>
          <w:rFonts w:hint="eastAsia" w:ascii="仿宋_GB2312" w:hAnsi="仿宋_GB2312" w:eastAsia="仿宋_GB2312" w:cs="仿宋_GB2312"/>
          <w:sz w:val="32"/>
          <w:szCs w:val="32"/>
        </w:rPr>
        <w:t>完成建设并投产，满足以下条件之一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复核验收予以通过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主营业务</w:t>
      </w:r>
      <w:r>
        <w:rPr>
          <w:rFonts w:hint="eastAsia" w:ascii="仿宋_GB2312" w:hAnsi="仿宋_GB2312" w:eastAsia="仿宋_GB2312" w:cs="仿宋_GB2312"/>
          <w:sz w:val="32"/>
          <w:szCs w:val="32"/>
        </w:rPr>
        <w:t>收入达到《投资协议书》约定要求</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固定资产投资强度达到《国有建设用地使用权出让合同》约定要求以上； </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亩均税收达到《投资协议书》约定要求</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bookmarkStart w:id="1" w:name="OLE_LINK23"/>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申请单位按规划确认的总平面图</w:t>
      </w:r>
      <w:r>
        <w:rPr>
          <w:rFonts w:hint="eastAsia" w:ascii="仿宋_GB2312" w:hAnsi="仿宋_GB2312" w:eastAsia="仿宋_GB2312" w:cs="仿宋_GB2312"/>
          <w:sz w:val="32"/>
          <w:szCs w:val="32"/>
        </w:rPr>
        <w:t>完成建设并投产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但达不到履约要求，</w:t>
      </w:r>
      <w:r>
        <w:rPr>
          <w:rFonts w:hint="eastAsia" w:ascii="仿宋_GB2312" w:hAnsi="仿宋_GB2312" w:eastAsia="仿宋_GB2312" w:cs="仿宋_GB2312"/>
          <w:sz w:val="32"/>
          <w:szCs w:val="32"/>
        </w:rPr>
        <w:t>实际完成的</w:t>
      </w:r>
      <w:bookmarkStart w:id="2" w:name="OLE_LINK32"/>
      <w:r>
        <w:rPr>
          <w:rFonts w:hint="eastAsia" w:ascii="仿宋_GB2312" w:hAnsi="仿宋_GB2312" w:eastAsia="仿宋_GB2312" w:cs="仿宋_GB2312"/>
          <w:sz w:val="32"/>
          <w:szCs w:val="32"/>
          <w:lang w:val="en-US" w:eastAsia="zh-CN"/>
        </w:rPr>
        <w:t>主营业务</w:t>
      </w:r>
      <w:r>
        <w:rPr>
          <w:rFonts w:hint="eastAsia" w:ascii="仿宋_GB2312" w:hAnsi="仿宋_GB2312" w:eastAsia="仿宋_GB2312" w:cs="仿宋_GB2312"/>
          <w:sz w:val="32"/>
          <w:szCs w:val="32"/>
        </w:rPr>
        <w:t>收入或固定资产投资强度或亩均税收</w:t>
      </w:r>
      <w:r>
        <w:rPr>
          <w:rFonts w:hint="eastAsia" w:ascii="仿宋_GB2312" w:hAnsi="仿宋_GB2312" w:eastAsia="仿宋_GB2312" w:cs="仿宋_GB2312"/>
          <w:sz w:val="32"/>
          <w:szCs w:val="32"/>
          <w:lang w:val="en-US" w:eastAsia="zh-CN"/>
        </w:rPr>
        <w:t>履约完成率</w:t>
      </w:r>
      <w:r>
        <w:rPr>
          <w:rFonts w:hint="eastAsia" w:ascii="仿宋_GB2312" w:hAnsi="仿宋_GB2312" w:eastAsia="仿宋_GB2312" w:cs="仿宋_GB2312"/>
          <w:sz w:val="32"/>
          <w:szCs w:val="32"/>
        </w:rPr>
        <w:t>达50%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以上时，</w:t>
      </w:r>
      <w:bookmarkStart w:id="3" w:name="OLE_LINK15"/>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万元/亩的标准以未达产比例计算缴纳未达产违约金</w:t>
      </w:r>
      <w:bookmarkEnd w:id="3"/>
      <w:bookmarkStart w:id="4" w:name="OLE_LINK22"/>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项目保证金可冲抵</w:t>
      </w:r>
      <w:r>
        <w:rPr>
          <w:rFonts w:hint="eastAsia" w:ascii="仿宋_GB2312" w:hAnsi="仿宋_GB2312" w:eastAsia="仿宋_GB2312" w:cs="仿宋_GB2312"/>
          <w:sz w:val="32"/>
          <w:szCs w:val="32"/>
          <w:lang w:eastAsia="zh-CN"/>
        </w:rPr>
        <w:t>）</w:t>
      </w:r>
      <w:bookmarkEnd w:id="2"/>
      <w:bookmarkEnd w:id="4"/>
      <w:r>
        <w:rPr>
          <w:rFonts w:hint="eastAsia" w:ascii="仿宋_GB2312" w:hAnsi="仿宋_GB2312" w:eastAsia="仿宋_GB2312" w:cs="仿宋_GB2312"/>
          <w:sz w:val="32"/>
          <w:szCs w:val="32"/>
          <w:lang w:val="en-US" w:eastAsia="zh-CN"/>
        </w:rPr>
        <w:t>后，复核验收予以通过。</w:t>
      </w:r>
      <w:bookmarkStart w:id="5" w:name="OLE_LINK33"/>
      <w:r>
        <w:rPr>
          <w:rFonts w:hint="eastAsia" w:ascii="仿宋_GB2312" w:hAnsi="仿宋_GB2312" w:eastAsia="仿宋_GB2312" w:cs="仿宋_GB2312"/>
          <w:sz w:val="32"/>
          <w:szCs w:val="32"/>
          <w:lang w:val="en-US" w:eastAsia="zh-CN"/>
        </w:rPr>
        <w:t>实际履约完成的主营业务收入、固定资产投资强度、亩均税收均小于50%（含）时，按5万元/亩的标准缴纳未达产违约金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项目保证金可冲抵</w:t>
      </w:r>
      <w:r>
        <w:rPr>
          <w:rFonts w:hint="eastAsia" w:ascii="仿宋_GB2312" w:hAnsi="仿宋_GB2312" w:eastAsia="仿宋_GB2312" w:cs="仿宋_GB2312"/>
          <w:sz w:val="32"/>
          <w:szCs w:val="32"/>
          <w:lang w:eastAsia="zh-CN"/>
        </w:rPr>
        <w:t>）</w:t>
      </w:r>
      <w:bookmarkEnd w:id="5"/>
      <w:r>
        <w:rPr>
          <w:rFonts w:hint="eastAsia" w:ascii="仿宋_GB2312" w:hAnsi="仿宋_GB2312" w:eastAsia="仿宋_GB2312" w:cs="仿宋_GB2312"/>
          <w:sz w:val="32"/>
          <w:szCs w:val="32"/>
          <w:lang w:val="en-US" w:eastAsia="zh-CN"/>
        </w:rPr>
        <w:t>后复核验收予以通过。</w:t>
      </w:r>
      <w:bookmarkEnd w:id="1"/>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（1）对于</w:t>
      </w:r>
      <w:r>
        <w:rPr>
          <w:rFonts w:hint="eastAsia" w:ascii="仿宋_GB2312" w:hAnsi="仿宋_GB2312" w:eastAsia="仿宋_GB2312" w:cs="仿宋_GB2312"/>
          <w:sz w:val="32"/>
          <w:szCs w:val="32"/>
        </w:rPr>
        <w:t>母公司为土地使用权人，其子公司承租母公司土地和厂房用于实施母公司申报项目的，允许合并申报复核验收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（2）对于用地单位未经营或部分经营，有承租工业企业注册在项目地块满三年以上且已上规入统（入统企业实施项目符合新区产业准入要求），可将承租企业的固定资产投入和实现的</w:t>
      </w:r>
      <w:bookmarkStart w:id="6" w:name="OLE_LINK24"/>
      <w:r>
        <w:rPr>
          <w:rFonts w:hint="eastAsia" w:ascii="仿宋_GB2312" w:hAnsi="仿宋_GB2312" w:eastAsia="仿宋_GB2312" w:cs="仿宋_GB2312"/>
          <w:sz w:val="32"/>
          <w:szCs w:val="32"/>
          <w:lang w:val="en-US" w:eastAsia="zh-CN"/>
        </w:rPr>
        <w:t>近三年平均</w:t>
      </w:r>
      <w:bookmarkEnd w:id="6"/>
      <w:r>
        <w:rPr>
          <w:rFonts w:hint="eastAsia" w:ascii="仿宋_GB2312" w:hAnsi="仿宋_GB2312" w:eastAsia="仿宋_GB2312" w:cs="仿宋_GB2312"/>
          <w:sz w:val="32"/>
          <w:szCs w:val="32"/>
          <w:lang w:val="en-US" w:eastAsia="zh-CN"/>
        </w:rPr>
        <w:t>主营业务收入、税收叠加至用地单位。</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《投资协议书》</w:t>
      </w:r>
      <w:r>
        <w:rPr>
          <w:rFonts w:hint="eastAsia" w:ascii="仿宋_GB2312" w:hAnsi="仿宋_GB2312" w:eastAsia="仿宋_GB2312" w:cs="仿宋_GB2312"/>
          <w:sz w:val="32"/>
          <w:szCs w:val="32"/>
          <w:lang w:val="en-US" w:eastAsia="zh-CN"/>
        </w:rPr>
        <w:t>没有约定主营业务收入和亩均税收的，及经司法拍卖、二级市场转让、股权转让等方式取得土地使用权，实施项目符合新区产业导向的项目企业，但未与管委会重新签订《投资协议》的，验收控制指标按《浙江省工业等项目建设用地控制指标（2014）》执行。</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（4）2019年后，未执行“标准地”要求的项目，按项目单位与管委会签订《投资协议书》的约定，结合本办法执行。</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楷体_GB2312" w:hAnsi="楷体_GB2312" w:eastAsia="楷体_GB2312" w:cs="楷体_GB2312"/>
          <w:b w:val="0"/>
          <w:bCs w:val="0"/>
          <w:sz w:val="32"/>
          <w:szCs w:val="32"/>
          <w:lang w:val="en-US" w:eastAsia="zh-CN"/>
        </w:rPr>
      </w:pPr>
      <w:bookmarkStart w:id="7" w:name="OLE_LINK13"/>
      <w:r>
        <w:rPr>
          <w:rFonts w:hint="eastAsia" w:ascii="楷体_GB2312" w:hAnsi="楷体_GB2312" w:eastAsia="楷体_GB2312" w:cs="楷体_GB2312"/>
          <w:b w:val="0"/>
          <w:bCs w:val="0"/>
          <w:sz w:val="32"/>
          <w:szCs w:val="32"/>
        </w:rPr>
        <w:t>（二）“标准地”验收</w:t>
      </w:r>
      <w:r>
        <w:rPr>
          <w:rFonts w:hint="eastAsia" w:ascii="楷体_GB2312" w:hAnsi="楷体_GB2312" w:eastAsia="楷体_GB2312" w:cs="楷体_GB2312"/>
          <w:b w:val="0"/>
          <w:bCs w:val="0"/>
          <w:sz w:val="32"/>
          <w:szCs w:val="32"/>
          <w:lang w:val="en-US" w:eastAsia="zh-CN"/>
        </w:rPr>
        <w:t>办法</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申请单位</w:t>
      </w:r>
      <w:bookmarkStart w:id="8" w:name="OLE_LINK30"/>
      <w:r>
        <w:rPr>
          <w:rFonts w:hint="eastAsia" w:ascii="仿宋_GB2312" w:hAnsi="仿宋_GB2312" w:eastAsia="仿宋_GB2312" w:cs="仿宋_GB2312"/>
          <w:sz w:val="32"/>
          <w:szCs w:val="32"/>
          <w:lang w:val="en-US" w:eastAsia="zh-CN"/>
        </w:rPr>
        <w:t>在约定期限内通过竣工验收</w:t>
      </w:r>
      <w:bookmarkEnd w:id="8"/>
      <w:r>
        <w:rPr>
          <w:rFonts w:hint="eastAsia" w:ascii="仿宋_GB2312" w:hAnsi="仿宋_GB2312" w:eastAsia="仿宋_GB2312" w:cs="仿宋_GB2312"/>
          <w:sz w:val="32"/>
          <w:szCs w:val="32"/>
        </w:rPr>
        <w:t>并投产，固定资产投资强度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可以提前申请单项验收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、亩均税收</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亩均主营业务收入</w:t>
      </w:r>
      <w:r>
        <w:rPr>
          <w:rFonts w:hint="eastAsia" w:ascii="仿宋_GB2312" w:hAnsi="仿宋_GB2312" w:eastAsia="仿宋_GB2312" w:cs="仿宋_GB2312"/>
          <w:sz w:val="32"/>
          <w:szCs w:val="32"/>
          <w:lang w:val="en-US" w:eastAsia="zh-CN"/>
        </w:rPr>
        <w:t>达到70</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、单位能耗增加值、单位排放增加值、</w:t>
      </w:r>
      <w:r>
        <w:rPr>
          <w:rFonts w:hint="eastAsia" w:ascii="仿宋_GB2312" w:hAnsi="仿宋_GB2312" w:eastAsia="仿宋_GB2312" w:cs="仿宋_GB2312"/>
          <w:sz w:val="32"/>
          <w:szCs w:val="32"/>
          <w:lang w:val="en-US" w:eastAsia="zh-CN"/>
        </w:rPr>
        <w:t>R&amp;D投入强度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在复核验收约定年限内的同一年度指标</w:t>
      </w:r>
      <w:r>
        <w:rPr>
          <w:rFonts w:hint="eastAsia" w:ascii="仿宋_GB2312" w:hAnsi="仿宋_GB2312" w:eastAsia="仿宋_GB2312" w:cs="仿宋_GB2312"/>
          <w:sz w:val="32"/>
          <w:szCs w:val="32"/>
        </w:rPr>
        <w:t>均达到</w:t>
      </w:r>
      <w:bookmarkStart w:id="9" w:name="OLE_LINK21"/>
      <w:bookmarkStart w:id="10" w:name="OLE_LINK28"/>
      <w:r>
        <w:rPr>
          <w:rFonts w:hint="eastAsia" w:ascii="仿宋_GB2312" w:hAnsi="仿宋_GB2312" w:eastAsia="仿宋_GB2312" w:cs="仿宋_GB2312"/>
          <w:sz w:val="32"/>
          <w:szCs w:val="32"/>
        </w:rPr>
        <w:t>《“标准地”投资建设协议》</w:t>
      </w:r>
      <w:bookmarkEnd w:id="9"/>
      <w:r>
        <w:rPr>
          <w:rFonts w:hint="eastAsia" w:ascii="仿宋_GB2312" w:hAnsi="仿宋_GB2312" w:eastAsia="仿宋_GB2312" w:cs="仿宋_GB2312"/>
          <w:sz w:val="32"/>
          <w:szCs w:val="32"/>
        </w:rPr>
        <w:t>、《投资协议书》及《宁波杭州湾新区工业项目“标准地”工作实施方案》</w:t>
      </w:r>
      <w:bookmarkEnd w:id="10"/>
      <w:r>
        <w:rPr>
          <w:rFonts w:hint="eastAsia" w:ascii="仿宋_GB2312" w:hAnsi="仿宋_GB2312" w:eastAsia="仿宋_GB2312" w:cs="仿宋_GB2312"/>
          <w:sz w:val="32"/>
          <w:szCs w:val="32"/>
        </w:rPr>
        <w:t>（甬新办发〔2018〕120号)约定或标准要求</w:t>
      </w:r>
      <w:r>
        <w:rPr>
          <w:rFonts w:hint="eastAsia" w:ascii="仿宋_GB2312" w:hAnsi="仿宋_GB2312" w:eastAsia="仿宋_GB2312" w:cs="仿宋_GB2312"/>
          <w:sz w:val="32"/>
          <w:szCs w:val="32"/>
          <w:lang w:eastAsia="zh-CN"/>
        </w:rPr>
        <w:t>，</w:t>
      </w:r>
      <w:bookmarkStart w:id="11" w:name="OLE_LINK6"/>
      <w:r>
        <w:rPr>
          <w:rFonts w:hint="eastAsia" w:ascii="仿宋_GB2312" w:hAnsi="仿宋_GB2312" w:eastAsia="仿宋_GB2312" w:cs="仿宋_GB2312"/>
          <w:sz w:val="32"/>
          <w:szCs w:val="32"/>
          <w:lang w:val="en-US" w:eastAsia="zh-CN"/>
        </w:rPr>
        <w:t>复核验收予以通过</w:t>
      </w:r>
      <w:bookmarkEnd w:id="11"/>
      <w:r>
        <w:rPr>
          <w:rFonts w:hint="eastAsia" w:ascii="仿宋_GB2312" w:hAnsi="仿宋_GB2312" w:eastAsia="仿宋_GB2312" w:cs="仿宋_GB2312"/>
          <w:sz w:val="32"/>
          <w:szCs w:val="32"/>
          <w:lang w:val="en-US" w:eastAsia="zh-CN"/>
        </w:rPr>
        <w:t>。（</w:t>
      </w:r>
      <w:bookmarkStart w:id="12" w:name="OLE_LINK29"/>
      <w:r>
        <w:rPr>
          <w:rFonts w:hint="eastAsia" w:ascii="仿宋_GB2312" w:hAnsi="仿宋_GB2312" w:eastAsia="仿宋_GB2312" w:cs="仿宋_GB2312"/>
          <w:sz w:val="32"/>
          <w:szCs w:val="32"/>
          <w:lang w:val="en-US" w:eastAsia="zh-CN"/>
        </w:rPr>
        <w:t>三个标准不一致时，以《“标准地”投资建设协议》为准</w:t>
      </w:r>
      <w:bookmarkEnd w:id="12"/>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申请单位在约定期限内通过竣工验收</w:t>
      </w:r>
      <w:r>
        <w:rPr>
          <w:rFonts w:hint="eastAsia" w:ascii="仿宋_GB2312" w:hAnsi="仿宋_GB2312" w:eastAsia="仿宋_GB2312" w:cs="仿宋_GB2312"/>
          <w:sz w:val="32"/>
          <w:szCs w:val="32"/>
        </w:rPr>
        <w:t>并投产，</w:t>
      </w:r>
      <w:bookmarkStart w:id="13" w:name="OLE_LINK20"/>
      <w:r>
        <w:rPr>
          <w:rFonts w:hint="eastAsia" w:ascii="仿宋_GB2312" w:hAnsi="仿宋_GB2312" w:eastAsia="仿宋_GB2312" w:cs="仿宋_GB2312"/>
          <w:sz w:val="32"/>
          <w:szCs w:val="32"/>
        </w:rPr>
        <w:t>取得土地</w:t>
      </w:r>
      <w:r>
        <w:rPr>
          <w:rFonts w:hint="eastAsia" w:ascii="仿宋_GB2312" w:hAnsi="仿宋_GB2312" w:eastAsia="仿宋_GB2312" w:cs="仿宋_GB2312"/>
          <w:sz w:val="32"/>
          <w:szCs w:val="32"/>
          <w:lang w:val="en-US" w:eastAsia="zh-CN"/>
        </w:rPr>
        <w:t>使用权时间已到复核验收约定年限</w:t>
      </w:r>
      <w:r>
        <w:rPr>
          <w:rFonts w:hint="eastAsia" w:ascii="仿宋_GB2312" w:hAnsi="仿宋_GB2312" w:eastAsia="仿宋_GB2312" w:cs="仿宋_GB2312"/>
          <w:sz w:val="32"/>
          <w:szCs w:val="32"/>
        </w:rPr>
        <w:t>（含整改期限一年）</w:t>
      </w:r>
      <w:bookmarkEnd w:id="13"/>
      <w:r>
        <w:rPr>
          <w:rFonts w:hint="eastAsia" w:ascii="仿宋_GB2312" w:hAnsi="仿宋_GB2312" w:eastAsia="仿宋_GB2312" w:cs="仿宋_GB2312"/>
          <w:sz w:val="32"/>
          <w:szCs w:val="32"/>
        </w:rPr>
        <w:t>，</w:t>
      </w:r>
      <w:bookmarkStart w:id="14" w:name="OLE_LINK25"/>
      <w:r>
        <w:rPr>
          <w:rFonts w:hint="eastAsia" w:ascii="仿宋_GB2312" w:hAnsi="仿宋_GB2312" w:eastAsia="仿宋_GB2312" w:cs="仿宋_GB2312"/>
          <w:sz w:val="32"/>
          <w:szCs w:val="32"/>
        </w:rPr>
        <w:t>个别指标未达到</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val="en-US" w:eastAsia="zh-CN"/>
        </w:rPr>
        <w:t>按主要指标赋分办法办理</w:t>
      </w:r>
      <w:bookmarkEnd w:id="14"/>
      <w:r>
        <w:rPr>
          <w:rFonts w:hint="eastAsia" w:ascii="仿宋_GB2312" w:hAnsi="仿宋_GB2312" w:eastAsia="仿宋_GB2312" w:cs="仿宋_GB2312"/>
          <w:sz w:val="32"/>
          <w:szCs w:val="32"/>
          <w:lang w:val="en-US" w:eastAsia="zh-CN"/>
        </w:rPr>
        <w:t>。</w:t>
      </w:r>
    </w:p>
    <w:bookmarkEnd w:id="7"/>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（1）主要指标赋分，</w:t>
      </w:r>
      <w:bookmarkStart w:id="15" w:name="OLE_LINK2"/>
      <w:bookmarkStart w:id="16" w:name="OLE_LINK34"/>
      <w:r>
        <w:rPr>
          <w:rFonts w:hint="eastAsia" w:ascii="仿宋_GB2312" w:hAnsi="仿宋_GB2312" w:eastAsia="仿宋_GB2312" w:cs="仿宋_GB2312"/>
          <w:sz w:val="32"/>
          <w:szCs w:val="32"/>
          <w:lang w:val="en-US" w:eastAsia="zh-CN"/>
        </w:rPr>
        <w:t>固定资产投资强度</w:t>
      </w:r>
      <w:bookmarkEnd w:id="15"/>
      <w:r>
        <w:rPr>
          <w:rFonts w:hint="eastAsia" w:ascii="仿宋_GB2312" w:hAnsi="仿宋_GB2312" w:eastAsia="仿宋_GB2312" w:cs="仿宋_GB2312"/>
          <w:sz w:val="32"/>
          <w:szCs w:val="32"/>
          <w:lang w:val="en-US" w:eastAsia="zh-CN"/>
        </w:rPr>
        <w:t>与年</w:t>
      </w:r>
      <w:r>
        <w:rPr>
          <w:rFonts w:hint="eastAsia" w:ascii="仿宋_GB2312" w:hAnsi="仿宋_GB2312" w:eastAsia="仿宋_GB2312" w:cs="仿宋_GB2312"/>
          <w:sz w:val="32"/>
          <w:szCs w:val="32"/>
        </w:rPr>
        <w:t>亩均税收</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亩均主营业务收入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各3.5分，单位能耗</w:t>
      </w:r>
      <w:r>
        <w:rPr>
          <w:rFonts w:hint="eastAsia" w:ascii="仿宋_GB2312" w:hAnsi="仿宋_GB2312" w:eastAsia="仿宋_GB2312" w:cs="仿宋_GB2312"/>
          <w:sz w:val="32"/>
          <w:szCs w:val="32"/>
          <w:lang w:val="en-US" w:eastAsia="zh-CN"/>
        </w:rPr>
        <w:t>增加</w:t>
      </w:r>
      <w:r>
        <w:rPr>
          <w:rFonts w:hint="eastAsia" w:ascii="仿宋_GB2312" w:hAnsi="仿宋_GB2312" w:eastAsia="仿宋_GB2312" w:cs="仿宋_GB2312"/>
          <w:sz w:val="32"/>
          <w:szCs w:val="32"/>
        </w:rPr>
        <w:t>值、单位排放增加值、</w:t>
      </w:r>
      <w:r>
        <w:rPr>
          <w:rFonts w:hint="eastAsia" w:ascii="仿宋_GB2312" w:hAnsi="仿宋_GB2312" w:eastAsia="仿宋_GB2312" w:cs="仿宋_GB2312"/>
          <w:sz w:val="32"/>
          <w:szCs w:val="32"/>
          <w:lang w:val="en-US" w:eastAsia="zh-CN"/>
        </w:rPr>
        <w:t>R&amp;D投入强度</w:t>
      </w:r>
      <w:r>
        <w:rPr>
          <w:rFonts w:hint="eastAsia" w:ascii="仿宋_GB2312" w:hAnsi="仿宋_GB2312" w:eastAsia="仿宋_GB2312" w:cs="仿宋_GB2312"/>
          <w:sz w:val="32"/>
          <w:szCs w:val="32"/>
        </w:rPr>
        <w:t>分别为1分，总计10分。按完成指标比例计算各自得分</w:t>
      </w:r>
      <w:bookmarkEnd w:id="16"/>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（2）项目</w:t>
      </w:r>
      <w:bookmarkStart w:id="17" w:name="OLE_LINK35"/>
      <w:r>
        <w:rPr>
          <w:rFonts w:hint="eastAsia" w:ascii="仿宋_GB2312" w:hAnsi="仿宋_GB2312" w:eastAsia="仿宋_GB2312" w:cs="仿宋_GB2312"/>
          <w:sz w:val="32"/>
          <w:szCs w:val="32"/>
        </w:rPr>
        <w:t>单位固定资产投资强度完成</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0%以上且</w:t>
      </w:r>
      <w:r>
        <w:rPr>
          <w:rFonts w:hint="eastAsia" w:ascii="仿宋_GB2312" w:hAnsi="仿宋_GB2312" w:eastAsia="仿宋_GB2312" w:cs="仿宋_GB2312"/>
          <w:sz w:val="32"/>
          <w:szCs w:val="32"/>
          <w:lang w:val="en-US" w:eastAsia="zh-CN"/>
        </w:rPr>
        <w:t>以验收</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亩均税收（</w:t>
      </w:r>
      <w:bookmarkStart w:id="18" w:name="OLE_LINK1"/>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亩均主营业务收入</w:t>
      </w:r>
      <w:bookmarkEnd w:id="18"/>
      <w:r>
        <w:rPr>
          <w:rFonts w:hint="eastAsia" w:ascii="仿宋_GB2312" w:hAnsi="仿宋_GB2312" w:eastAsia="仿宋_GB2312" w:cs="仿宋_GB2312"/>
          <w:sz w:val="32"/>
          <w:szCs w:val="32"/>
        </w:rPr>
        <w:t>）完成50%以上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剩余保证金转为违约金后，</w:t>
      </w:r>
      <w:r>
        <w:rPr>
          <w:rFonts w:hint="eastAsia" w:ascii="仿宋_GB2312" w:hAnsi="仿宋_GB2312" w:eastAsia="仿宋_GB2312" w:cs="仿宋_GB2312"/>
          <w:sz w:val="32"/>
          <w:szCs w:val="32"/>
        </w:rPr>
        <w:t>可进行赋分</w:t>
      </w:r>
      <w:bookmarkEnd w:id="17"/>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各指标</w:t>
      </w:r>
      <w:r>
        <w:rPr>
          <w:rFonts w:hint="eastAsia" w:ascii="仿宋_GB2312" w:hAnsi="仿宋_GB2312" w:eastAsia="仿宋_GB2312" w:cs="仿宋_GB2312"/>
          <w:sz w:val="32"/>
          <w:szCs w:val="32"/>
        </w:rPr>
        <w:t>按完成比例赋分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总分达</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bookmarkStart w:id="19" w:name="OLE_LINK19"/>
      <w:r>
        <w:rPr>
          <w:rFonts w:hint="eastAsia" w:ascii="仿宋_GB2312" w:hAnsi="仿宋_GB2312" w:eastAsia="仿宋_GB2312" w:cs="仿宋_GB2312"/>
          <w:sz w:val="32"/>
          <w:szCs w:val="32"/>
          <w:lang w:val="en-US" w:eastAsia="zh-CN"/>
        </w:rPr>
        <w:t>不含</w:t>
      </w:r>
      <w:bookmarkEnd w:id="19"/>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复核验收予以通过；6分（不含）-9分（含），</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万元/亩</w:t>
      </w:r>
      <w:r>
        <w:rPr>
          <w:rFonts w:hint="eastAsia" w:ascii="仿宋_GB2312" w:hAnsi="仿宋_GB2312" w:eastAsia="仿宋_GB2312" w:cs="仿宋_GB2312"/>
          <w:sz w:val="32"/>
          <w:szCs w:val="32"/>
          <w:lang w:val="en-US" w:eastAsia="zh-CN"/>
        </w:rPr>
        <w:t>及10分</w:t>
      </w:r>
      <w:r>
        <w:rPr>
          <w:rFonts w:hint="eastAsia" w:ascii="仿宋_GB2312" w:hAnsi="仿宋_GB2312" w:eastAsia="仿宋_GB2312" w:cs="仿宋_GB2312"/>
          <w:sz w:val="32"/>
          <w:szCs w:val="32"/>
        </w:rPr>
        <w:t>的标准以</w:t>
      </w:r>
      <w:r>
        <w:rPr>
          <w:rFonts w:hint="eastAsia" w:ascii="仿宋_GB2312" w:hAnsi="仿宋_GB2312" w:eastAsia="仿宋_GB2312" w:cs="仿宋_GB2312"/>
          <w:sz w:val="32"/>
          <w:szCs w:val="32"/>
          <w:lang w:val="en-US" w:eastAsia="zh-CN"/>
        </w:rPr>
        <w:t>得分差额</w:t>
      </w:r>
      <w:r>
        <w:rPr>
          <w:rFonts w:hint="eastAsia" w:ascii="仿宋_GB2312" w:hAnsi="仿宋_GB2312" w:eastAsia="仿宋_GB2312" w:cs="仿宋_GB2312"/>
          <w:sz w:val="32"/>
          <w:szCs w:val="32"/>
        </w:rPr>
        <w:t>比例计算缴纳违约金</w:t>
      </w:r>
      <w:r>
        <w:rPr>
          <w:rFonts w:hint="eastAsia" w:ascii="仿宋_GB2312" w:hAnsi="仿宋_GB2312" w:eastAsia="仿宋_GB2312" w:cs="仿宋_GB2312"/>
          <w:sz w:val="32"/>
          <w:szCs w:val="32"/>
          <w:lang w:eastAsia="zh-CN"/>
        </w:rPr>
        <w:t>，复核验收予以通过</w:t>
      </w:r>
      <w:r>
        <w:rPr>
          <w:rFonts w:hint="eastAsia" w:ascii="仿宋_GB2312" w:hAnsi="仿宋_GB2312" w:eastAsia="仿宋_GB2312" w:cs="仿宋_GB2312"/>
          <w:sz w:val="32"/>
          <w:szCs w:val="32"/>
          <w:lang w:val="en-US" w:eastAsia="zh-CN"/>
        </w:rPr>
        <w:t>；5分（不含）-6分（含），允许再增加整改期一年；</w:t>
      </w:r>
      <w:bookmarkStart w:id="20" w:name="OLE_LINK26"/>
      <w:r>
        <w:rPr>
          <w:rFonts w:hint="eastAsia" w:ascii="仿宋_GB2312" w:hAnsi="仿宋_GB2312" w:eastAsia="仿宋_GB2312" w:cs="仿宋_GB2312"/>
          <w:sz w:val="32"/>
          <w:szCs w:val="32"/>
          <w:lang w:val="en-US" w:eastAsia="zh-CN"/>
        </w:rPr>
        <w:t>5分（含）以下及到期未申请复核验收的，由牵头部门通报管委会各相关部门，取消</w:t>
      </w:r>
      <w:r>
        <w:rPr>
          <w:rFonts w:hint="eastAsia" w:ascii="仿宋_GB2312" w:hAnsi="仿宋_GB2312" w:eastAsia="仿宋_GB2312" w:cs="仿宋_GB2312"/>
          <w:sz w:val="32"/>
          <w:szCs w:val="32"/>
        </w:rPr>
        <w:t>项目业主单位申请各类政府性奖励及荣誉的资格。</w:t>
      </w:r>
      <w:bookmarkEnd w:id="20"/>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经管委会认定的产业园项目，</w:t>
      </w:r>
      <w:r>
        <w:rPr>
          <w:rFonts w:hint="eastAsia" w:ascii="仿宋_GB2312" w:hAnsi="仿宋_GB2312" w:eastAsia="仿宋_GB2312" w:cs="仿宋_GB2312"/>
          <w:sz w:val="32"/>
          <w:szCs w:val="32"/>
        </w:rPr>
        <w:t>固定资产投资强度</w:t>
      </w:r>
      <w:r>
        <w:rPr>
          <w:rFonts w:hint="eastAsia" w:ascii="仿宋_GB2312" w:hAnsi="仿宋_GB2312" w:eastAsia="仿宋_GB2312" w:cs="仿宋_GB2312"/>
          <w:sz w:val="32"/>
          <w:szCs w:val="32"/>
          <w:lang w:val="en-US" w:eastAsia="zh-CN"/>
        </w:rPr>
        <w:t>达到50%以上，复核验收予以通过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三、验收流程</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（一）提出申请。</w:t>
      </w:r>
      <w:r>
        <w:rPr>
          <w:rFonts w:hint="eastAsia" w:ascii="仿宋_GB2312" w:hAnsi="仿宋_GB2312" w:eastAsia="仿宋_GB2312" w:cs="仿宋_GB2312"/>
          <w:sz w:val="32"/>
          <w:szCs w:val="32"/>
        </w:rPr>
        <w:t>项目业主向</w:t>
      </w:r>
      <w:r>
        <w:rPr>
          <w:rFonts w:hint="eastAsia" w:ascii="仿宋_GB2312" w:hAnsi="仿宋_GB2312" w:eastAsia="仿宋_GB2312" w:cs="仿宋_GB2312"/>
          <w:sz w:val="32"/>
          <w:szCs w:val="32"/>
          <w:lang w:val="en-US" w:eastAsia="zh-CN"/>
        </w:rPr>
        <w:t>工业项目复核</w:t>
      </w:r>
      <w:r>
        <w:rPr>
          <w:rFonts w:hint="eastAsia" w:ascii="仿宋_GB2312" w:hAnsi="仿宋_GB2312" w:eastAsia="仿宋_GB2312" w:cs="仿宋_GB2312"/>
          <w:sz w:val="32"/>
          <w:szCs w:val="32"/>
        </w:rPr>
        <w:t>验收领导小组</w:t>
      </w:r>
      <w:r>
        <w:rPr>
          <w:rFonts w:hint="eastAsia" w:ascii="仿宋_GB2312" w:hAnsi="仿宋_GB2312" w:eastAsia="仿宋_GB2312" w:cs="仿宋_GB2312"/>
          <w:sz w:val="32"/>
          <w:szCs w:val="32"/>
          <w:lang w:val="en-US" w:eastAsia="zh-CN"/>
        </w:rPr>
        <w:t>办公室</w:t>
      </w:r>
      <w:r>
        <w:rPr>
          <w:rFonts w:hint="eastAsia" w:ascii="仿宋_GB2312" w:hAnsi="仿宋_GB2312" w:eastAsia="仿宋_GB2312" w:cs="仿宋_GB2312"/>
          <w:sz w:val="32"/>
          <w:szCs w:val="32"/>
        </w:rPr>
        <w:t>提出验收申请，提供申请报告及相关证明材料，材料内容包括但不限于项目的</w:t>
      </w:r>
      <w:r>
        <w:rPr>
          <w:rFonts w:hint="eastAsia" w:ascii="仿宋_GB2312" w:hAnsi="仿宋_GB2312" w:eastAsia="仿宋_GB2312" w:cs="仿宋_GB2312"/>
          <w:sz w:val="32"/>
          <w:szCs w:val="32"/>
          <w:lang w:val="en-US" w:eastAsia="zh-CN"/>
        </w:rPr>
        <w:t>规划确认的总平面图、规划核实确认书、</w:t>
      </w:r>
      <w:r>
        <w:rPr>
          <w:rFonts w:hint="eastAsia" w:ascii="仿宋_GB2312" w:hAnsi="仿宋_GB2312" w:eastAsia="仿宋_GB2312" w:cs="仿宋_GB2312"/>
          <w:sz w:val="32"/>
          <w:szCs w:val="32"/>
        </w:rPr>
        <w:t>固定资产投资强度、年亩均税收强度、单位能耗增加值、单位排放增加值、研发费用投入强度等约定和实际完成情况。</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（二）材料审查。</w:t>
      </w:r>
      <w:r>
        <w:rPr>
          <w:rFonts w:hint="eastAsia" w:ascii="仿宋_GB2312" w:hAnsi="仿宋_GB2312" w:eastAsia="仿宋_GB2312" w:cs="仿宋_GB2312"/>
          <w:sz w:val="32"/>
          <w:szCs w:val="32"/>
          <w:lang w:val="en-US" w:eastAsia="zh-CN"/>
        </w:rPr>
        <w:t>发改局</w:t>
      </w:r>
      <w:r>
        <w:rPr>
          <w:rFonts w:hint="eastAsia" w:ascii="仿宋_GB2312" w:hAnsi="仿宋_GB2312" w:eastAsia="仿宋_GB2312" w:cs="仿宋_GB2312"/>
          <w:sz w:val="32"/>
          <w:szCs w:val="32"/>
        </w:rPr>
        <w:t>对项目业主递交的申请材料进行初步审查，并根据工作分工将有关指标情况发相关部门核实，相关部门核实意见以书面方式反馈</w:t>
      </w:r>
      <w:r>
        <w:rPr>
          <w:rFonts w:hint="eastAsia" w:ascii="仿宋_GB2312" w:hAnsi="仿宋_GB2312" w:eastAsia="仿宋_GB2312" w:cs="仿宋_GB2312"/>
          <w:sz w:val="32"/>
          <w:szCs w:val="32"/>
          <w:lang w:val="en-US" w:eastAsia="zh-CN"/>
        </w:rPr>
        <w:t>发改局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（三）现场验收。</w:t>
      </w:r>
      <w:r>
        <w:rPr>
          <w:rFonts w:hint="eastAsia" w:ascii="仿宋_GB2312" w:hAnsi="仿宋_GB2312" w:eastAsia="仿宋_GB2312" w:cs="仿宋_GB2312"/>
          <w:sz w:val="32"/>
          <w:szCs w:val="32"/>
        </w:rPr>
        <w:t>领导小组对通过初步审查的项目，</w:t>
      </w:r>
      <w:r>
        <w:rPr>
          <w:rFonts w:hint="eastAsia" w:ascii="仿宋_GB2312" w:hAnsi="仿宋_GB2312" w:eastAsia="仿宋_GB2312" w:cs="仿宋_GB2312"/>
          <w:sz w:val="32"/>
          <w:szCs w:val="32"/>
          <w:lang w:val="en-US" w:eastAsia="zh-CN"/>
        </w:rPr>
        <w:t>由发改局组织相关部门以现场会的形式</w:t>
      </w:r>
      <w:r>
        <w:rPr>
          <w:rFonts w:hint="eastAsia" w:ascii="仿宋_GB2312" w:hAnsi="仿宋_GB2312" w:eastAsia="仿宋_GB2312" w:cs="仿宋_GB2312"/>
          <w:sz w:val="32"/>
          <w:szCs w:val="32"/>
        </w:rPr>
        <w:t>开展项目验收，并形成项目现场验收报告。</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（四）验收意见出具。</w:t>
      </w:r>
      <w:r>
        <w:rPr>
          <w:rFonts w:hint="eastAsia" w:ascii="仿宋_GB2312" w:hAnsi="仿宋_GB2312" w:eastAsia="仿宋_GB2312" w:cs="仿宋_GB2312"/>
          <w:sz w:val="32"/>
          <w:szCs w:val="32"/>
        </w:rPr>
        <w:t>领导小组根据各相关部门的指标核实意见以及项目现场验收报告，出具验收意见。通过验收的单位，给予换发不动产权证。</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（五）整改复验。</w:t>
      </w:r>
      <w:r>
        <w:rPr>
          <w:rFonts w:hint="eastAsia" w:ascii="仿宋_GB2312" w:hAnsi="仿宋_GB2312" w:eastAsia="仿宋_GB2312" w:cs="仿宋_GB2312"/>
          <w:sz w:val="32"/>
          <w:szCs w:val="32"/>
        </w:rPr>
        <w:t>对“标准地”项目验收中发现的问题, 要在验收结论中告知项目业主单位整改要求、整改途径和整改方法。复</w:t>
      </w:r>
      <w:r>
        <w:rPr>
          <w:rFonts w:hint="eastAsia" w:ascii="仿宋_GB2312" w:hAnsi="仿宋_GB2312" w:eastAsia="仿宋_GB2312" w:cs="仿宋_GB2312"/>
          <w:sz w:val="32"/>
          <w:szCs w:val="32"/>
          <w:lang w:val="en-US" w:eastAsia="zh-CN"/>
        </w:rPr>
        <w:t>验</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eastAsia="zh-CN"/>
        </w:rPr>
        <w:t>为验收意见整改期限后的六个月内</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四、部门职责</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val="en-US" w:eastAsia="zh-CN"/>
        </w:rPr>
        <w:t>复核</w:t>
      </w:r>
      <w:r>
        <w:rPr>
          <w:rFonts w:hint="eastAsia" w:ascii="仿宋_GB2312" w:hAnsi="仿宋_GB2312" w:eastAsia="仿宋_GB2312" w:cs="仿宋_GB2312"/>
          <w:sz w:val="32"/>
          <w:szCs w:val="32"/>
        </w:rPr>
        <w:t>验收领导小组，由管委会</w:t>
      </w:r>
      <w:r>
        <w:rPr>
          <w:rFonts w:hint="eastAsia" w:ascii="仿宋_GB2312" w:hAnsi="仿宋_GB2312" w:eastAsia="仿宋_GB2312" w:cs="仿宋_GB2312"/>
          <w:sz w:val="32"/>
          <w:szCs w:val="32"/>
          <w:lang w:val="en-US" w:eastAsia="zh-CN"/>
        </w:rPr>
        <w:t>分管</w:t>
      </w:r>
      <w:r>
        <w:rPr>
          <w:rFonts w:hint="eastAsia" w:ascii="仿宋_GB2312" w:hAnsi="仿宋_GB2312" w:eastAsia="仿宋_GB2312" w:cs="仿宋_GB2312"/>
          <w:sz w:val="32"/>
          <w:szCs w:val="32"/>
        </w:rPr>
        <w:t>领导任组长，发展和改革局</w:t>
      </w:r>
      <w:r>
        <w:rPr>
          <w:rFonts w:hint="eastAsia" w:ascii="仿宋_GB2312" w:hAnsi="仿宋_GB2312" w:eastAsia="仿宋_GB2312" w:cs="仿宋_GB2312"/>
          <w:sz w:val="32"/>
          <w:szCs w:val="32"/>
          <w:lang w:val="en-US" w:eastAsia="zh-CN"/>
        </w:rPr>
        <w:t>主要负责人</w:t>
      </w:r>
      <w:r>
        <w:rPr>
          <w:rFonts w:hint="eastAsia" w:ascii="仿宋_GB2312" w:hAnsi="仿宋_GB2312" w:eastAsia="仿宋_GB2312" w:cs="仿宋_GB2312"/>
          <w:sz w:val="32"/>
          <w:szCs w:val="32"/>
        </w:rPr>
        <w:t>任副组长，</w:t>
      </w:r>
      <w:bookmarkStart w:id="21" w:name="OLE_LINK27"/>
      <w:r>
        <w:rPr>
          <w:rFonts w:hint="eastAsia" w:ascii="仿宋_GB2312" w:hAnsi="仿宋_GB2312" w:eastAsia="仿宋_GB2312" w:cs="仿宋_GB2312"/>
          <w:sz w:val="32"/>
          <w:szCs w:val="32"/>
        </w:rPr>
        <w:t>发展和改革局</w:t>
      </w:r>
      <w:bookmarkEnd w:id="21"/>
      <w:r>
        <w:rPr>
          <w:rFonts w:hint="eastAsia" w:ascii="仿宋_GB2312" w:hAnsi="仿宋_GB2312" w:eastAsia="仿宋_GB2312" w:cs="仿宋_GB2312"/>
          <w:sz w:val="32"/>
          <w:szCs w:val="32"/>
        </w:rPr>
        <w:t>、投资合作局、经济和信息化局、自然资源和规划分局、财政局等相关部门负责人为成员。领导小组下设办公室，办公室设在发改局，统筹协调</w:t>
      </w:r>
      <w:r>
        <w:rPr>
          <w:rFonts w:hint="eastAsia" w:ascii="仿宋_GB2312" w:hAnsi="仿宋_GB2312" w:eastAsia="仿宋_GB2312" w:cs="仿宋_GB2312"/>
          <w:sz w:val="32"/>
          <w:szCs w:val="32"/>
          <w:lang w:val="en-US" w:eastAsia="zh-CN"/>
        </w:rPr>
        <w:t>复核</w:t>
      </w:r>
      <w:r>
        <w:rPr>
          <w:rFonts w:hint="eastAsia" w:ascii="仿宋_GB2312" w:hAnsi="仿宋_GB2312" w:eastAsia="仿宋_GB2312" w:cs="仿宋_GB2312"/>
          <w:sz w:val="32"/>
          <w:szCs w:val="32"/>
        </w:rPr>
        <w:t>验收工作。领导小组各成员单位职责明确如下：</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（一）发展和改革局。</w:t>
      </w:r>
      <w:r>
        <w:rPr>
          <w:rFonts w:hint="eastAsia" w:ascii="仿宋_GB2312" w:hAnsi="仿宋_GB2312" w:eastAsia="仿宋_GB2312" w:cs="仿宋_GB2312"/>
          <w:sz w:val="32"/>
          <w:szCs w:val="32"/>
        </w:rPr>
        <w:t>负责验收文件的制定；负责复核牵头工作；负责固定资产投资强度、</w:t>
      </w:r>
      <w:r>
        <w:rPr>
          <w:rFonts w:hint="eastAsia" w:ascii="仿宋_GB2312" w:hAnsi="仿宋_GB2312" w:eastAsia="仿宋_GB2312" w:cs="仿宋_GB2312"/>
          <w:sz w:val="32"/>
          <w:szCs w:val="32"/>
          <w:lang w:val="en-US" w:eastAsia="zh-CN"/>
        </w:rPr>
        <w:t>工业</w:t>
      </w:r>
      <w:r>
        <w:rPr>
          <w:rFonts w:hint="eastAsia" w:ascii="仿宋_GB2312" w:hAnsi="仿宋_GB2312" w:eastAsia="仿宋_GB2312" w:cs="仿宋_GB2312"/>
          <w:sz w:val="32"/>
          <w:szCs w:val="32"/>
        </w:rPr>
        <w:t>增加值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主营业务收入</w:t>
      </w:r>
      <w:r>
        <w:rPr>
          <w:rFonts w:hint="eastAsia" w:ascii="仿宋_GB2312" w:hAnsi="仿宋_GB2312" w:eastAsia="仿宋_GB2312" w:cs="仿宋_GB2312"/>
          <w:sz w:val="32"/>
          <w:szCs w:val="32"/>
        </w:rPr>
        <w:t>履约审核与确认。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（二）投资合作局。</w:t>
      </w:r>
      <w:r>
        <w:rPr>
          <w:rFonts w:hint="eastAsia" w:ascii="仿宋_GB2312" w:hAnsi="仿宋_GB2312" w:eastAsia="仿宋_GB2312" w:cs="仿宋_GB2312"/>
          <w:sz w:val="32"/>
          <w:szCs w:val="32"/>
        </w:rPr>
        <w:t>负责项目变更的审核与确认；负责通知项目单位开展相应验收工作；负责项目综合验收时所参照时间节点的审核与确认。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sz w:val="32"/>
          <w:szCs w:val="32"/>
        </w:rPr>
        <w:t>（三）经济和信息化局。</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符合新区产业准入要求</w:t>
      </w:r>
      <w:r>
        <w:rPr>
          <w:rFonts w:hint="eastAsia" w:ascii="仿宋_GB2312" w:hAnsi="仿宋_GB2312" w:eastAsia="仿宋_GB2312" w:cs="仿宋_GB2312"/>
          <w:sz w:val="32"/>
          <w:szCs w:val="32"/>
        </w:rPr>
        <w:t>认定；负责单位能耗增加值、单位排放增加值、研发费用投入强度等指标履约审核与确认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（四）财政局。</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做好亩均税收、固定资产投资强度的履约审核与确认。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（五）自然资源和规划分局。</w:t>
      </w:r>
      <w:r>
        <w:rPr>
          <w:rFonts w:hint="eastAsia" w:ascii="仿宋_GB2312" w:hAnsi="仿宋_GB2312" w:eastAsia="仿宋_GB2312" w:cs="仿宋_GB2312"/>
          <w:sz w:val="32"/>
          <w:szCs w:val="32"/>
        </w:rPr>
        <w:t>负责土地出让合同约定的竣工期限、建筑容积率等内容的履约审核与确认。</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五、其他事项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w:t>
      </w:r>
      <w:r>
        <w:rPr>
          <w:rFonts w:hint="eastAsia" w:ascii="仿宋_GB2312" w:hAnsi="仿宋_GB2312" w:eastAsia="仿宋_GB2312" w:cs="仿宋_GB2312"/>
          <w:sz w:val="32"/>
          <w:szCs w:val="32"/>
        </w:rPr>
        <w:t>本办法于签发之日</w:t>
      </w:r>
      <w:r>
        <w:rPr>
          <w:rFonts w:hint="default" w:ascii="仿宋_GB2312" w:hAnsi="仿宋_GB2312" w:cs="仿宋_GB2312"/>
          <w:sz w:val="32"/>
          <w:szCs w:val="32"/>
          <w:woUserID w:val="1"/>
        </w:rPr>
        <w:t>起30日后</w:t>
      </w:r>
      <w:bookmarkStart w:id="34" w:name="_GoBack"/>
      <w:bookmarkEnd w:id="34"/>
      <w:r>
        <w:rPr>
          <w:rFonts w:hint="eastAsia" w:ascii="仿宋_GB2312" w:hAnsi="仿宋_GB2312" w:eastAsia="仿宋_GB2312" w:cs="仿宋_GB2312"/>
          <w:sz w:val="32"/>
          <w:szCs w:val="32"/>
        </w:rPr>
        <w:t>开始执行，原执行的《浙江慈溪经济开发区工业项目建设用地复核验收办法》（甬慈开管〔2006〕22号）、《宁波杭州湾新区关于做好工业项目建设用地复核验收相关工作的补充意见》（甬新办发〔2015〕59号）废止。</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本办法相关条例与其他文件约定有冲突，以本办法为准。</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sz w:val="32"/>
          <w:szCs w:val="32"/>
          <w:lang w:val="en-US" w:eastAsia="zh-CN"/>
        </w:rPr>
        <w:t>非“标准地”的项目，适用于本办法期限为三年。</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（四）</w:t>
      </w:r>
      <w:r>
        <w:rPr>
          <w:rFonts w:hint="eastAsia" w:ascii="仿宋_GB2312" w:hAnsi="仿宋_GB2312" w:eastAsia="仿宋_GB2312" w:cs="仿宋_GB2312"/>
          <w:sz w:val="32"/>
          <w:szCs w:val="32"/>
          <w:lang w:val="en-US" w:eastAsia="zh-CN"/>
        </w:rPr>
        <w:t>“标准地”项目，达产验收通过前，不动产登记证书备注：国有建设用地使用权的抵押价值以土地出让总价款为最高抵押额。</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val="0"/>
          <w:bCs w:val="0"/>
          <w:sz w:val="32"/>
          <w:szCs w:val="32"/>
          <w:lang w:val="en-US" w:eastAsia="zh-CN"/>
        </w:rPr>
        <w:t>（五）</w:t>
      </w:r>
      <w:r>
        <w:rPr>
          <w:rFonts w:hint="eastAsia" w:ascii="仿宋_GB2312" w:hAnsi="仿宋_GB2312" w:eastAsia="仿宋_GB2312" w:cs="仿宋_GB2312"/>
          <w:sz w:val="32"/>
          <w:szCs w:val="32"/>
          <w:lang w:val="en-US" w:eastAsia="zh-CN"/>
        </w:rPr>
        <w:t>属于各</w:t>
      </w:r>
      <w:bookmarkStart w:id="22" w:name="OLE_LINK5"/>
      <w:r>
        <w:rPr>
          <w:rFonts w:hint="eastAsia" w:ascii="仿宋_GB2312" w:hAnsi="仿宋_GB2312" w:eastAsia="仿宋_GB2312" w:cs="仿宋_GB2312"/>
          <w:sz w:val="32"/>
          <w:szCs w:val="32"/>
          <w:lang w:val="en-US" w:eastAsia="zh-CN"/>
        </w:rPr>
        <w:t>街道、乡镇</w:t>
      </w:r>
      <w:bookmarkEnd w:id="22"/>
      <w:r>
        <w:rPr>
          <w:rFonts w:hint="eastAsia" w:ascii="仿宋_GB2312" w:hAnsi="仿宋_GB2312" w:eastAsia="仿宋_GB2312" w:cs="仿宋_GB2312"/>
          <w:sz w:val="32"/>
          <w:szCs w:val="32"/>
          <w:lang w:val="en-US" w:eastAsia="zh-CN"/>
        </w:rPr>
        <w:t>项目验收参照本办法执行，由各街道、乡镇签署验收意见后，复核验收予以通过。</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val="0"/>
          <w:bCs w:val="0"/>
          <w:sz w:val="32"/>
          <w:szCs w:val="32"/>
          <w:lang w:val="en-US" w:eastAsia="zh-CN"/>
        </w:rPr>
        <w:t>（六）</w:t>
      </w:r>
      <w:r>
        <w:rPr>
          <w:rFonts w:hint="eastAsia" w:ascii="仿宋_GB2312" w:hAnsi="仿宋_GB2312" w:eastAsia="仿宋_GB2312" w:cs="仿宋_GB2312"/>
          <w:sz w:val="32"/>
          <w:szCs w:val="32"/>
          <w:lang w:val="en-US" w:eastAsia="zh-CN"/>
        </w:rPr>
        <w:t>本办法由</w:t>
      </w:r>
      <w:r>
        <w:rPr>
          <w:rFonts w:hint="eastAsia" w:ascii="仿宋_GB2312" w:hAnsi="仿宋_GB2312" w:eastAsia="仿宋_GB2312" w:cs="仿宋_GB2312"/>
          <w:sz w:val="32"/>
          <w:szCs w:val="32"/>
        </w:rPr>
        <w:t>发展和改革局</w:t>
      </w:r>
      <w:r>
        <w:rPr>
          <w:rFonts w:hint="eastAsia" w:ascii="仿宋_GB2312" w:hAnsi="仿宋_GB2312" w:eastAsia="仿宋_GB2312" w:cs="仿宋_GB2312"/>
          <w:sz w:val="32"/>
          <w:szCs w:val="32"/>
          <w:lang w:val="en-US" w:eastAsia="zh-CN"/>
        </w:rPr>
        <w:t>负责解释</w:t>
      </w:r>
      <w:r>
        <w:rPr>
          <w:rFonts w:hint="eastAsia" w:ascii="仿宋_GB2312" w:hAnsi="仿宋_GB2312" w:eastAsia="仿宋_GB2312" w:cs="仿宋_GB2312"/>
          <w:sz w:val="32"/>
          <w:szCs w:val="32"/>
          <w:lang w:eastAsia="zh-CN"/>
        </w:rPr>
        <w:t>。</w:t>
      </w:r>
    </w:p>
    <w:p>
      <w:pPr>
        <w:pStyle w:val="2"/>
        <w:keepNext/>
        <w:keepLines/>
        <w:pageBreakBefore w:val="0"/>
        <w:widowControl w:val="0"/>
        <w:kinsoku/>
        <w:wordWrap/>
        <w:overflowPunct/>
        <w:topLinePunct w:val="0"/>
        <w:autoSpaceDE/>
        <w:autoSpaceDN/>
        <w:bidi w:val="0"/>
        <w:adjustRightInd/>
        <w:snapToGrid/>
        <w:spacing w:before="0" w:beforeLines="0" w:after="0" w:afterLines="0" w:line="578" w:lineRule="exact"/>
        <w:textAlignment w:val="auto"/>
        <w:rPr>
          <w:rFonts w:hint="eastAsia" w:ascii="仿宋_GB2312" w:hAnsi="仿宋_GB2312" w:eastAsia="仿宋_GB2312" w:cs="仿宋_GB2312"/>
          <w:b w:val="0"/>
          <w:kern w:val="2"/>
          <w:sz w:val="32"/>
          <w:szCs w:val="32"/>
          <w:lang w:val="en-US" w:eastAsia="zh-CN" w:bidi="ar-SA"/>
        </w:rPr>
      </w:pPr>
    </w:p>
    <w:p>
      <w:pPr>
        <w:pStyle w:val="2"/>
        <w:keepNext/>
        <w:keepLines/>
        <w:pageBreakBefore w:val="0"/>
        <w:widowControl w:val="0"/>
        <w:kinsoku/>
        <w:wordWrap/>
        <w:overflowPunct/>
        <w:topLinePunct w:val="0"/>
        <w:autoSpaceDE/>
        <w:autoSpaceDN/>
        <w:bidi w:val="0"/>
        <w:adjustRightInd/>
        <w:snapToGrid/>
        <w:spacing w:before="0" w:after="0" w:line="578" w:lineRule="exact"/>
        <w:ind w:firstLine="632" w:firstLineChars="200"/>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附件：1.“标准地”项目验收通知书</w:t>
      </w:r>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2.宁波前湾新区项目复核验收审查意见</w:t>
      </w:r>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bookmarkStart w:id="23" w:name="OLE_LINK8"/>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宁波前湾新区项目复核验收</w:t>
      </w:r>
      <w:r>
        <w:rPr>
          <w:rFonts w:hint="eastAsia" w:ascii="仿宋_GB2312" w:hAnsi="仿宋_GB2312" w:eastAsia="仿宋_GB2312" w:cs="仿宋_GB2312"/>
          <w:sz w:val="32"/>
          <w:szCs w:val="32"/>
          <w:lang w:val="en-US" w:eastAsia="zh-CN"/>
        </w:rPr>
        <w:t>指标申报表</w:t>
      </w:r>
      <w:bookmarkEnd w:id="23"/>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宁波前湾新区项目专项复核</w:t>
      </w:r>
      <w:r>
        <w:rPr>
          <w:rFonts w:hint="eastAsia" w:ascii="仿宋_GB2312" w:hAnsi="仿宋_GB2312" w:eastAsia="仿宋_GB2312" w:cs="仿宋_GB2312"/>
          <w:sz w:val="32"/>
          <w:szCs w:val="32"/>
          <w:lang w:val="en-US" w:eastAsia="zh-CN"/>
        </w:rPr>
        <w:t>流转</w:t>
      </w:r>
      <w:r>
        <w:rPr>
          <w:rFonts w:hint="eastAsia" w:ascii="仿宋_GB2312" w:hAnsi="仿宋_GB2312" w:eastAsia="仿宋_GB2312" w:cs="仿宋_GB2312"/>
          <w:sz w:val="32"/>
          <w:szCs w:val="32"/>
        </w:rPr>
        <w:t>意见</w:t>
      </w:r>
    </w:p>
    <w:p>
      <w:pPr>
        <w:pageBreakBefore w:val="0"/>
        <w:widowControl w:val="0"/>
        <w:kinsoku/>
        <w:wordWrap/>
        <w:overflowPunct/>
        <w:topLinePunct w:val="0"/>
        <w:autoSpaceDE/>
        <w:autoSpaceDN/>
        <w:bidi w:val="0"/>
        <w:adjustRightInd/>
        <w:snapToGrid/>
        <w:spacing w:line="578" w:lineRule="exact"/>
        <w:ind w:firstLine="158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变更</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符合新区产业准入要求</w:t>
      </w:r>
      <w:r>
        <w:rPr>
          <w:rFonts w:hint="eastAsia" w:ascii="仿宋_GB2312" w:hAnsi="仿宋_GB2312" w:eastAsia="仿宋_GB2312" w:cs="仿宋_GB2312"/>
          <w:sz w:val="32"/>
          <w:szCs w:val="32"/>
        </w:rPr>
        <w:t>认定</w:t>
      </w:r>
    </w:p>
    <w:p>
      <w:pPr>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验收所需资料清单</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pPr>
        <w:spacing w:line="540" w:lineRule="exact"/>
        <w:rPr>
          <w:rFonts w:hint="eastAsia" w:ascii="黑体" w:hAnsi="黑体" w:eastAsia="黑体" w:cs="黑体"/>
          <w:sz w:val="32"/>
          <w:szCs w:val="32"/>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“标准地”项目验收通知书</w:t>
      </w:r>
    </w:p>
    <w:p>
      <w:pPr>
        <w:spacing w:line="540" w:lineRule="exact"/>
        <w:ind w:firstLine="632" w:firstLineChars="200"/>
        <w:rPr>
          <w:rFonts w:hint="eastAsia" w:ascii="仿宋_GB2312" w:hAnsi="仿宋_GB2312" w:eastAsia="仿宋_GB2312" w:cs="仿宋_GB2312"/>
          <w:sz w:val="32"/>
          <w:szCs w:val="32"/>
        </w:rPr>
      </w:pP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根据“标准地”投资建设协议，你项目复核</w:t>
      </w:r>
      <w:r>
        <w:rPr>
          <w:rFonts w:hint="eastAsia" w:ascii="仿宋_GB2312" w:hAnsi="仿宋_GB2312" w:eastAsia="仿宋_GB2312" w:cs="仿宋_GB2312"/>
          <w:sz w:val="32"/>
          <w:szCs w:val="32"/>
          <w:lang w:val="en-US" w:eastAsia="zh-CN"/>
        </w:rPr>
        <w:t>验收</w:t>
      </w:r>
      <w:r>
        <w:rPr>
          <w:rFonts w:hint="eastAsia" w:ascii="仿宋_GB2312" w:hAnsi="仿宋_GB2312" w:eastAsia="仿宋_GB2312" w:cs="仿宋_GB2312"/>
          <w:sz w:val="32"/>
          <w:szCs w:val="32"/>
        </w:rPr>
        <w:t>将于    年    月    日到期，请接本通知书后及时准备验收复核相关资料，并于期限届满前30日内向</w:t>
      </w:r>
      <w:r>
        <w:rPr>
          <w:rFonts w:hint="eastAsia" w:ascii="仿宋_GB2312" w:hAnsi="仿宋_GB2312" w:eastAsia="仿宋_GB2312" w:cs="仿宋_GB2312"/>
          <w:sz w:val="32"/>
          <w:szCs w:val="32"/>
          <w:lang w:val="en-US" w:eastAsia="zh-CN"/>
        </w:rPr>
        <w:t>复核</w:t>
      </w:r>
      <w:r>
        <w:rPr>
          <w:rFonts w:hint="eastAsia" w:ascii="仿宋_GB2312" w:hAnsi="仿宋_GB2312" w:eastAsia="仿宋_GB2312" w:cs="仿宋_GB2312"/>
          <w:sz w:val="32"/>
          <w:szCs w:val="32"/>
        </w:rPr>
        <w:t>验收领导小组提交验收申请。期限届满后若仍未提交验收申请的，视同验收未通过。</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特此函告！</w:t>
      </w:r>
    </w:p>
    <w:p>
      <w:pPr>
        <w:spacing w:line="540" w:lineRule="exact"/>
        <w:ind w:firstLine="632" w:firstLineChars="200"/>
        <w:rPr>
          <w:rFonts w:hint="eastAsia" w:ascii="仿宋_GB2312" w:hAnsi="仿宋_GB2312" w:eastAsia="仿宋_GB2312" w:cs="仿宋_GB2312"/>
          <w:sz w:val="32"/>
          <w:szCs w:val="32"/>
        </w:rPr>
      </w:pPr>
    </w:p>
    <w:p>
      <w:pPr>
        <w:spacing w:line="540" w:lineRule="exact"/>
        <w:ind w:firstLine="632" w:firstLineChars="200"/>
        <w:rPr>
          <w:rFonts w:hint="eastAsia" w:ascii="仿宋_GB2312" w:hAnsi="仿宋_GB2312" w:eastAsia="仿宋_GB2312" w:cs="仿宋_GB2312"/>
          <w:sz w:val="32"/>
          <w:szCs w:val="32"/>
        </w:rPr>
      </w:pPr>
    </w:p>
    <w:p>
      <w:pPr>
        <w:spacing w:line="540" w:lineRule="exact"/>
        <w:ind w:firstLine="5056"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宁波前湾新区投资合作局</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 xml:space="preserve"> 年  月  日</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4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40" w:lineRule="exact"/>
        <w:rPr>
          <w:rFonts w:hint="eastAsia" w:ascii="仿宋_GB2312" w:hAnsi="仿宋_GB2312" w:eastAsia="仿宋_GB2312" w:cs="仿宋_GB2312"/>
          <w:sz w:val="32"/>
          <w:szCs w:val="32"/>
        </w:rPr>
      </w:pPr>
    </w:p>
    <w:p>
      <w:pPr>
        <w:spacing w:line="540" w:lineRule="exact"/>
        <w:jc w:val="center"/>
        <w:rPr>
          <w:rFonts w:hint="eastAsia" w:ascii="方正小标宋简体" w:hAnsi="方正小标宋简体" w:eastAsia="方正小标宋简体" w:cs="方正小标宋简体"/>
          <w:sz w:val="44"/>
          <w:szCs w:val="44"/>
        </w:rPr>
      </w:pPr>
      <w:r>
        <w:rPr>
          <w:rFonts w:hint="default" w:ascii="方正小标宋简体" w:hAnsi="方正小标宋简体" w:eastAsia="方正小标宋简体" w:cs="方正小标宋简体"/>
          <w:sz w:val="44"/>
          <w:szCs w:val="44"/>
        </w:rPr>
        <w:t>宁波前湾新区项目</w:t>
      </w:r>
      <w:r>
        <w:rPr>
          <w:rFonts w:hint="default" w:ascii="方正小标宋简体" w:hAnsi="方正小标宋简体" w:eastAsia="方正小标宋简体" w:cs="方正小标宋简体"/>
          <w:sz w:val="44"/>
          <w:szCs w:val="44"/>
          <w:lang w:val="en-US" w:eastAsia="zh-CN"/>
        </w:rPr>
        <w:t>复核</w:t>
      </w:r>
      <w:r>
        <w:rPr>
          <w:rFonts w:hint="default" w:ascii="方正小标宋简体" w:hAnsi="方正小标宋简体" w:eastAsia="方正小标宋简体" w:cs="方正小标宋简体"/>
          <w:sz w:val="44"/>
          <w:szCs w:val="44"/>
        </w:rPr>
        <w:t>验收审查意见</w:t>
      </w:r>
    </w:p>
    <w:p>
      <w:pPr>
        <w:spacing w:line="540" w:lineRule="exact"/>
        <w:ind w:firstLine="632" w:firstLineChars="200"/>
        <w:rPr>
          <w:rFonts w:hint="eastAsia" w:ascii="仿宋_GB2312" w:hAnsi="仿宋_GB2312" w:eastAsia="仿宋_GB2312" w:cs="仿宋_GB2312"/>
          <w:sz w:val="32"/>
          <w:szCs w:val="32"/>
        </w:rPr>
      </w:pPr>
    </w:p>
    <w:tbl>
      <w:tblPr>
        <w:tblStyle w:val="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64"/>
        <w:gridCol w:w="3408"/>
        <w:gridCol w:w="1742"/>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8" w:hRule="atLeast"/>
          <w:jc w:val="center"/>
        </w:trPr>
        <w:tc>
          <w:tcPr>
            <w:tcW w:w="1464" w:type="dxa"/>
            <w:vAlign w:val="center"/>
          </w:tcPr>
          <w:p>
            <w:pPr>
              <w:spacing w:line="54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项目单位</w:t>
            </w:r>
          </w:p>
        </w:tc>
        <w:tc>
          <w:tcPr>
            <w:tcW w:w="3408" w:type="dxa"/>
            <w:vAlign w:val="center"/>
          </w:tcPr>
          <w:p>
            <w:pPr>
              <w:spacing w:line="540" w:lineRule="exact"/>
              <w:jc w:val="both"/>
              <w:rPr>
                <w:rFonts w:hint="eastAsia" w:ascii="黑体" w:hAnsi="黑体" w:eastAsia="黑体" w:cs="黑体"/>
                <w:b w:val="0"/>
                <w:bCs w:val="0"/>
                <w:sz w:val="32"/>
                <w:szCs w:val="32"/>
                <w:lang w:val="en-US" w:eastAsia="zh-CN"/>
              </w:rPr>
            </w:pPr>
          </w:p>
        </w:tc>
        <w:tc>
          <w:tcPr>
            <w:tcW w:w="1742" w:type="dxa"/>
            <w:vAlign w:val="center"/>
          </w:tcPr>
          <w:p>
            <w:pPr>
              <w:spacing w:line="54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项目法人</w:t>
            </w:r>
          </w:p>
        </w:tc>
        <w:tc>
          <w:tcPr>
            <w:tcW w:w="2230" w:type="dxa"/>
            <w:vAlign w:val="center"/>
          </w:tcPr>
          <w:p>
            <w:pPr>
              <w:spacing w:line="540" w:lineRule="exact"/>
              <w:ind w:firstLine="632" w:firstLineChars="20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8" w:hRule="atLeast"/>
          <w:jc w:val="center"/>
        </w:trPr>
        <w:tc>
          <w:tcPr>
            <w:tcW w:w="1464" w:type="dxa"/>
            <w:vAlign w:val="center"/>
          </w:tcPr>
          <w:p>
            <w:pPr>
              <w:spacing w:line="54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项目名称</w:t>
            </w:r>
          </w:p>
        </w:tc>
        <w:tc>
          <w:tcPr>
            <w:tcW w:w="3408" w:type="dxa"/>
            <w:vAlign w:val="center"/>
          </w:tcPr>
          <w:p>
            <w:pPr>
              <w:spacing w:line="540" w:lineRule="exact"/>
              <w:jc w:val="both"/>
              <w:rPr>
                <w:rFonts w:hint="eastAsia" w:ascii="黑体" w:hAnsi="黑体" w:eastAsia="黑体" w:cs="黑体"/>
                <w:b w:val="0"/>
                <w:bCs w:val="0"/>
                <w:sz w:val="32"/>
                <w:szCs w:val="32"/>
                <w:lang w:val="en-US" w:eastAsia="zh-CN"/>
              </w:rPr>
            </w:pPr>
          </w:p>
        </w:tc>
        <w:tc>
          <w:tcPr>
            <w:tcW w:w="1742" w:type="dxa"/>
            <w:vAlign w:val="center"/>
          </w:tcPr>
          <w:p>
            <w:pPr>
              <w:spacing w:line="540" w:lineRule="exact"/>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目用地亩数</w:t>
            </w:r>
          </w:p>
        </w:tc>
        <w:tc>
          <w:tcPr>
            <w:tcW w:w="2230" w:type="dxa"/>
            <w:vAlign w:val="center"/>
          </w:tcPr>
          <w:p>
            <w:pPr>
              <w:spacing w:line="540" w:lineRule="exact"/>
              <w:ind w:firstLine="632" w:firstLineChars="200"/>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8" w:hRule="atLeast"/>
          <w:jc w:val="center"/>
        </w:trPr>
        <w:tc>
          <w:tcPr>
            <w:tcW w:w="8844" w:type="dxa"/>
            <w:gridSpan w:val="4"/>
            <w:shd w:val="clear" w:color="auto" w:fill="E7E6E6" w:themeFill="background2"/>
            <w:vAlign w:val="center"/>
          </w:tcPr>
          <w:p>
            <w:pPr>
              <w:spacing w:line="540" w:lineRule="exact"/>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项目履约情况审核意见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569" w:hRule="atLeast"/>
          <w:jc w:val="center"/>
        </w:trPr>
        <w:tc>
          <w:tcPr>
            <w:tcW w:w="8844" w:type="dxa"/>
            <w:gridSpan w:val="4"/>
            <w:vAlign w:val="center"/>
          </w:tcPr>
          <w:p>
            <w:pPr>
              <w:spacing w:line="540" w:lineRule="exact"/>
              <w:rPr>
                <w:rFonts w:hint="eastAsia" w:ascii="仿宋_GB2312" w:hAnsi="仿宋_GB2312" w:eastAsia="仿宋_GB2312" w:cs="仿宋_GB2312"/>
                <w:sz w:val="32"/>
                <w:szCs w:val="32"/>
              </w:rPr>
            </w:pPr>
          </w:p>
          <w:p>
            <w:pPr>
              <w:spacing w:line="54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spacing w:line="540" w:lineRule="exact"/>
              <w:ind w:firstLine="6636" w:firstLineChars="2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经办人：         </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8" w:hRule="atLeast"/>
          <w:jc w:val="center"/>
        </w:trPr>
        <w:tc>
          <w:tcPr>
            <w:tcW w:w="8844" w:type="dxa"/>
            <w:gridSpan w:val="4"/>
            <w:shd w:val="clear" w:color="auto" w:fill="E7E6E6" w:themeFill="background2"/>
            <w:vAlign w:val="center"/>
          </w:tcPr>
          <w:p>
            <w:pPr>
              <w:spacing w:line="540" w:lineRule="exact"/>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发改局</w:t>
            </w:r>
            <w:r>
              <w:rPr>
                <w:rFonts w:hint="eastAsia" w:ascii="黑体" w:hAnsi="黑体" w:eastAsia="黑体" w:cs="黑体"/>
                <w:sz w:val="32"/>
                <w:szCs w:val="32"/>
              </w:rPr>
              <w:t>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608" w:hRule="atLeast"/>
          <w:jc w:val="center"/>
        </w:trPr>
        <w:tc>
          <w:tcPr>
            <w:tcW w:w="8844" w:type="dxa"/>
            <w:gridSpan w:val="4"/>
            <w:vAlign w:val="center"/>
          </w:tcPr>
          <w:p>
            <w:pPr>
              <w:spacing w:line="540" w:lineRule="exact"/>
              <w:rPr>
                <w:rFonts w:hint="eastAsia" w:ascii="仿宋_GB2312" w:hAnsi="仿宋_GB2312" w:eastAsia="仿宋_GB2312" w:cs="仿宋_GB2312"/>
                <w:sz w:val="32"/>
                <w:szCs w:val="32"/>
              </w:rPr>
            </w:pPr>
          </w:p>
          <w:p>
            <w:pPr>
              <w:spacing w:line="540" w:lineRule="exact"/>
              <w:ind w:firstLine="632" w:firstLineChars="200"/>
              <w:rPr>
                <w:rFonts w:hint="eastAsia" w:ascii="仿宋_GB2312" w:hAnsi="仿宋_GB2312" w:eastAsia="仿宋_GB2312" w:cs="仿宋_GB2312"/>
                <w:sz w:val="32"/>
                <w:szCs w:val="32"/>
              </w:rPr>
            </w:pPr>
          </w:p>
          <w:p>
            <w:pPr>
              <w:spacing w:line="540" w:lineRule="exact"/>
              <w:ind w:firstLine="6952" w:firstLineChars="2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28" w:hRule="atLeast"/>
          <w:jc w:val="center"/>
        </w:trPr>
        <w:tc>
          <w:tcPr>
            <w:tcW w:w="8844" w:type="dxa"/>
            <w:gridSpan w:val="4"/>
            <w:shd w:val="clear" w:color="auto" w:fill="E7E6E6" w:themeFill="background2"/>
            <w:vAlign w:val="center"/>
          </w:tcPr>
          <w:p>
            <w:pPr>
              <w:spacing w:line="540" w:lineRule="exact"/>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委分管领导审核意见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603" w:hRule="atLeast"/>
          <w:jc w:val="center"/>
        </w:trPr>
        <w:tc>
          <w:tcPr>
            <w:tcW w:w="8844" w:type="dxa"/>
            <w:gridSpan w:val="4"/>
            <w:vAlign w:val="center"/>
          </w:tcPr>
          <w:p>
            <w:pPr>
              <w:spacing w:line="540" w:lineRule="exact"/>
              <w:rPr>
                <w:rFonts w:hint="eastAsia" w:ascii="仿宋_GB2312" w:hAnsi="仿宋_GB2312" w:eastAsia="仿宋_GB2312" w:cs="仿宋_GB2312"/>
                <w:sz w:val="32"/>
                <w:szCs w:val="32"/>
              </w:rPr>
            </w:pPr>
          </w:p>
          <w:p>
            <w:pPr>
              <w:spacing w:line="540" w:lineRule="exact"/>
              <w:ind w:firstLine="5056" w:firstLineChars="1600"/>
              <w:rPr>
                <w:rFonts w:hint="eastAsia" w:ascii="仿宋_GB2312" w:hAnsi="仿宋_GB2312" w:eastAsia="仿宋_GB2312" w:cs="仿宋_GB2312"/>
                <w:sz w:val="32"/>
                <w:szCs w:val="32"/>
              </w:rPr>
            </w:pPr>
          </w:p>
          <w:p>
            <w:pPr>
              <w:spacing w:line="540" w:lineRule="exact"/>
              <w:ind w:firstLine="6320" w:firstLineChars="2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日 </w:t>
            </w:r>
          </w:p>
        </w:tc>
      </w:tr>
    </w:tbl>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40" w:lineRule="exact"/>
        <w:rPr>
          <w:rFonts w:hint="eastAsia" w:ascii="黑体" w:hAnsi="黑体" w:eastAsia="黑体" w:cs="黑体"/>
          <w:sz w:val="32"/>
          <w:szCs w:val="32"/>
          <w:lang w:val="en-US" w:eastAsia="zh-CN"/>
        </w:rPr>
      </w:pPr>
      <w:bookmarkStart w:id="24" w:name="OLE_LINK36"/>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4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25" w:name="OLE_LINK17"/>
      <w:r>
        <w:rPr>
          <w:rFonts w:hint="eastAsia" w:ascii="方正小标宋简体" w:hAnsi="方正小标宋简体" w:eastAsia="方正小标宋简体" w:cs="方正小标宋简体"/>
          <w:sz w:val="44"/>
          <w:szCs w:val="44"/>
        </w:rPr>
        <w:t>宁波前湾新区项目复核验收</w:t>
      </w:r>
      <w:r>
        <w:rPr>
          <w:rFonts w:hint="eastAsia" w:ascii="方正小标宋简体" w:hAnsi="方正小标宋简体" w:eastAsia="方正小标宋简体" w:cs="方正小标宋简体"/>
          <w:sz w:val="44"/>
          <w:szCs w:val="44"/>
          <w:lang w:val="en-US" w:eastAsia="zh-CN"/>
        </w:rPr>
        <w:t>指标申报表</w:t>
      </w:r>
    </w:p>
    <w:p>
      <w:pPr>
        <w:keepNext w:val="0"/>
        <w:keepLines w:val="0"/>
        <w:pageBreakBefore w:val="0"/>
        <w:widowControl w:val="0"/>
        <w:kinsoku/>
        <w:wordWrap/>
        <w:overflowPunct/>
        <w:topLinePunct w:val="0"/>
        <w:autoSpaceDE/>
        <w:autoSpaceDN/>
        <w:bidi w:val="0"/>
        <w:adjustRightInd/>
        <w:snapToGrid/>
        <w:spacing w:line="540" w:lineRule="exact"/>
        <w:ind w:left="-158" w:leftChars="-50" w:firstLine="436" w:firstLineChars="100"/>
        <w:textAlignment w:val="auto"/>
        <w:rPr>
          <w:rFonts w:hint="eastAsia" w:ascii="方正小标宋简体" w:hAnsi="方正小标宋简体" w:eastAsia="方正小标宋简体" w:cs="方正小标宋简体"/>
          <w:sz w:val="44"/>
          <w:szCs w:val="44"/>
          <w:lang w:val="en-US" w:eastAsia="zh-CN"/>
        </w:rPr>
      </w:pPr>
    </w:p>
    <w:bookmarkEnd w:id="25"/>
    <w:tbl>
      <w:tblPr>
        <w:tblStyle w:val="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75"/>
        <w:gridCol w:w="2474"/>
        <w:gridCol w:w="2205"/>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886" w:type="dxa"/>
            <w:gridSpan w:val="2"/>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项目单位</w:t>
            </w:r>
          </w:p>
        </w:tc>
        <w:tc>
          <w:tcPr>
            <w:tcW w:w="2474" w:type="dxa"/>
            <w:vAlign w:val="center"/>
          </w:tcPr>
          <w:p>
            <w:pPr>
              <w:spacing w:line="540" w:lineRule="exact"/>
              <w:jc w:val="center"/>
              <w:rPr>
                <w:rFonts w:hint="eastAsia" w:ascii="黑体" w:hAnsi="黑体" w:eastAsia="黑体" w:cs="黑体"/>
                <w:b w:val="0"/>
                <w:bCs w:val="0"/>
                <w:sz w:val="32"/>
                <w:szCs w:val="32"/>
                <w:lang w:val="en-US" w:eastAsia="zh-CN"/>
              </w:rPr>
            </w:pPr>
          </w:p>
        </w:tc>
        <w:tc>
          <w:tcPr>
            <w:tcW w:w="2205" w:type="dxa"/>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项目法人</w:t>
            </w:r>
          </w:p>
        </w:tc>
        <w:tc>
          <w:tcPr>
            <w:tcW w:w="2279" w:type="dxa"/>
            <w:vAlign w:val="center"/>
          </w:tcPr>
          <w:p>
            <w:pPr>
              <w:spacing w:line="540" w:lineRule="exact"/>
              <w:jc w:val="center"/>
              <w:rPr>
                <w:rFonts w:hint="eastAsia" w:ascii="黑体" w:hAnsi="黑体" w:eastAsia="黑体" w:cs="黑体"/>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886" w:type="dxa"/>
            <w:gridSpan w:val="2"/>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项目名称</w:t>
            </w:r>
          </w:p>
        </w:tc>
        <w:tc>
          <w:tcPr>
            <w:tcW w:w="2474" w:type="dxa"/>
            <w:vAlign w:val="center"/>
          </w:tcPr>
          <w:p>
            <w:pPr>
              <w:spacing w:line="540" w:lineRule="exact"/>
              <w:jc w:val="center"/>
              <w:rPr>
                <w:rFonts w:hint="eastAsia" w:ascii="黑体" w:hAnsi="黑体" w:eastAsia="黑体" w:cs="黑体"/>
                <w:b w:val="0"/>
                <w:bCs w:val="0"/>
                <w:sz w:val="32"/>
                <w:szCs w:val="32"/>
                <w:lang w:val="en-US" w:eastAsia="zh-CN"/>
              </w:rPr>
            </w:pPr>
          </w:p>
        </w:tc>
        <w:tc>
          <w:tcPr>
            <w:tcW w:w="2205" w:type="dxa"/>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项目用地亩数</w:t>
            </w:r>
          </w:p>
        </w:tc>
        <w:tc>
          <w:tcPr>
            <w:tcW w:w="2279" w:type="dxa"/>
            <w:vAlign w:val="center"/>
          </w:tcPr>
          <w:p>
            <w:pPr>
              <w:spacing w:line="540" w:lineRule="exact"/>
              <w:jc w:val="center"/>
              <w:rPr>
                <w:rFonts w:hint="eastAsia" w:ascii="黑体" w:hAnsi="黑体" w:eastAsia="黑体" w:cs="黑体"/>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4360" w:type="dxa"/>
            <w:gridSpan w:val="3"/>
            <w:shd w:val="clear" w:color="auto" w:fill="E7E6E6" w:themeFill="background2"/>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验收指标</w:t>
            </w:r>
          </w:p>
        </w:tc>
        <w:tc>
          <w:tcPr>
            <w:tcW w:w="2205" w:type="dxa"/>
            <w:shd w:val="clear" w:color="auto" w:fill="E7E6E6" w:themeFill="background2"/>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上报数（万元）</w:t>
            </w:r>
          </w:p>
        </w:tc>
        <w:tc>
          <w:tcPr>
            <w:tcW w:w="2279" w:type="dxa"/>
            <w:shd w:val="clear" w:color="auto" w:fill="E7E6E6" w:themeFill="background2"/>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11" w:type="dxa"/>
            <w:vAlign w:val="center"/>
          </w:tcPr>
          <w:p>
            <w:pPr>
              <w:spacing w:line="54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rPr>
              <w:t>税费“实际入库数”合计</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达产复核约定</w:t>
            </w:r>
            <w:r>
              <w:rPr>
                <w:rFonts w:hint="eastAsia" w:ascii="仿宋_GB2312" w:hAnsi="仿宋_GB2312" w:eastAsia="仿宋_GB2312" w:cs="仿宋_GB2312"/>
                <w:b w:val="0"/>
                <w:bCs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1" w:type="dxa"/>
            <w:vAlign w:val="center"/>
          </w:tcPr>
          <w:p>
            <w:pPr>
              <w:spacing w:line="54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2</w:t>
            </w:r>
          </w:p>
        </w:tc>
        <w:tc>
          <w:tcPr>
            <w:tcW w:w="364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rPr>
              <w:t>亩均税收</w:t>
            </w:r>
            <w:r>
              <w:rPr>
                <w:rFonts w:hint="eastAsia" w:ascii="仿宋_GB2312" w:hAnsi="仿宋_GB2312" w:eastAsia="仿宋_GB2312" w:cs="仿宋_GB2312"/>
                <w:b w:val="0"/>
                <w:bCs w:val="0"/>
                <w:sz w:val="28"/>
                <w:szCs w:val="28"/>
                <w:lang w:val="en-US" w:eastAsia="zh-CN"/>
              </w:rPr>
              <w:t>=1</w:t>
            </w:r>
            <w:r>
              <w:rPr>
                <w:rFonts w:hint="eastAsia" w:ascii="仿宋_GB2312" w:hAnsi="仿宋_GB2312" w:eastAsia="仿宋_GB2312" w:cs="仿宋_GB2312"/>
                <w:b w:val="0"/>
                <w:bCs w:val="0"/>
                <w:sz w:val="28"/>
                <w:szCs w:val="28"/>
              </w:rPr>
              <w:t>/用地亩数</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lang w:val="en-US" w:eastAsia="zh-CN"/>
              </w:rPr>
            </w:pPr>
            <w:bookmarkStart w:id="26" w:name="OLE_LINK9"/>
            <w:r>
              <w:rPr>
                <w:rFonts w:hint="eastAsia" w:ascii="仿宋_GB2312" w:hAnsi="仿宋_GB2312" w:eastAsia="仿宋_GB2312" w:cs="仿宋_GB2312"/>
                <w:b w:val="0"/>
                <w:bCs w:val="0"/>
                <w:sz w:val="28"/>
                <w:szCs w:val="28"/>
              </w:rPr>
              <w:t>达产复核约定</w:t>
            </w:r>
            <w:bookmarkEnd w:id="26"/>
            <w:r>
              <w:rPr>
                <w:rFonts w:hint="eastAsia" w:ascii="仿宋_GB2312" w:hAnsi="仿宋_GB2312" w:eastAsia="仿宋_GB2312" w:cs="仿宋_GB2312"/>
                <w:b w:val="0"/>
                <w:bCs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11" w:type="dxa"/>
            <w:vAlign w:val="center"/>
          </w:tcPr>
          <w:p>
            <w:pPr>
              <w:spacing w:line="540" w:lineRule="exact"/>
              <w:jc w:val="center"/>
              <w:rPr>
                <w:rFonts w:hint="default" w:ascii="黑体" w:hAnsi="黑体" w:eastAsia="黑体" w:cs="黑体"/>
                <w:b w:val="0"/>
                <w:bCs w:val="0"/>
                <w:sz w:val="28"/>
                <w:szCs w:val="28"/>
                <w:lang w:val="en-US" w:eastAsia="zh-CN"/>
              </w:rPr>
            </w:pPr>
            <w:bookmarkStart w:id="27" w:name="OLE_LINK14" w:colFirst="0" w:colLast="4"/>
            <w:r>
              <w:rPr>
                <w:rFonts w:hint="eastAsia" w:ascii="黑体" w:hAnsi="黑体" w:eastAsia="黑体" w:cs="黑体"/>
                <w:b w:val="0"/>
                <w:bCs w:val="0"/>
                <w:sz w:val="28"/>
                <w:szCs w:val="28"/>
                <w:lang w:val="en-US" w:eastAsia="zh-CN"/>
              </w:rPr>
              <w:t>3</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rPr>
              <w:t>固定资产投入合计</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lang w:val="en-US" w:eastAsia="zh-CN"/>
              </w:rPr>
            </w:pPr>
          </w:p>
        </w:tc>
      </w:tr>
      <w:bookmark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11" w:type="dxa"/>
            <w:vAlign w:val="center"/>
          </w:tcPr>
          <w:p>
            <w:pPr>
              <w:spacing w:line="54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4</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亩均固定资产投入：</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=3</w:t>
            </w:r>
            <w:r>
              <w:rPr>
                <w:rFonts w:hint="eastAsia" w:ascii="仿宋_GB2312" w:hAnsi="仿宋_GB2312" w:eastAsia="仿宋_GB2312" w:cs="仿宋_GB2312"/>
                <w:b w:val="0"/>
                <w:bCs w:val="0"/>
                <w:sz w:val="28"/>
                <w:szCs w:val="28"/>
              </w:rPr>
              <w:t>/用地亩数</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达产复核约定：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11" w:type="dxa"/>
            <w:vAlign w:val="center"/>
          </w:tcPr>
          <w:p>
            <w:pPr>
              <w:spacing w:line="54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5</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rPr>
              <w:t>主营业务收入</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B103报表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11" w:type="dxa"/>
            <w:vAlign w:val="center"/>
          </w:tcPr>
          <w:p>
            <w:pPr>
              <w:spacing w:line="54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6</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应付职工薪酬</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B203报表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711" w:type="dxa"/>
            <w:vAlign w:val="center"/>
          </w:tcPr>
          <w:p>
            <w:pPr>
              <w:spacing w:line="54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7</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本年折旧</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B203报表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11" w:type="dxa"/>
            <w:vAlign w:val="center"/>
          </w:tcPr>
          <w:p>
            <w:pPr>
              <w:spacing w:line="54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8</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应缴增值税</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rPr>
              <w:t>税金及附加</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B203报表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11" w:type="dxa"/>
            <w:vAlign w:val="center"/>
          </w:tcPr>
          <w:p>
            <w:pPr>
              <w:spacing w:line="54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9</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营业利润</w:t>
            </w:r>
            <w:r>
              <w:rPr>
                <w:rFonts w:hint="eastAsia" w:ascii="仿宋_GB2312" w:hAnsi="仿宋_GB2312" w:eastAsia="仿宋_GB2312" w:cs="仿宋_GB2312"/>
                <w:b w:val="0"/>
                <w:bCs w:val="0"/>
                <w:sz w:val="28"/>
                <w:szCs w:val="28"/>
                <w:lang w:val="en-US" w:eastAsia="zh-CN"/>
              </w:rPr>
              <w:t>-其他收益-投资收益</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B203报表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711" w:type="dxa"/>
            <w:vAlign w:val="center"/>
          </w:tcPr>
          <w:p>
            <w:pPr>
              <w:spacing w:line="54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10</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工业增加值=6+7+8+9</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11" w:type="dxa"/>
            <w:vAlign w:val="top"/>
          </w:tcPr>
          <w:p>
            <w:pPr>
              <w:spacing w:line="54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11</w:t>
            </w:r>
          </w:p>
        </w:tc>
        <w:tc>
          <w:tcPr>
            <w:tcW w:w="364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综合能耗（吨标准煤）</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205-1报表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11" w:type="dxa"/>
            <w:vAlign w:val="center"/>
          </w:tcPr>
          <w:p>
            <w:pPr>
              <w:spacing w:line="54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12</w:t>
            </w:r>
          </w:p>
        </w:tc>
        <w:tc>
          <w:tcPr>
            <w:tcW w:w="364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单位能耗增加值</w:t>
            </w:r>
            <w:r>
              <w:rPr>
                <w:rFonts w:hint="eastAsia" w:ascii="仿宋_GB2312" w:hAnsi="仿宋_GB2312" w:eastAsia="仿宋_GB2312" w:cs="仿宋_GB2312"/>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=10</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 xml:space="preserve">11  </w:t>
            </w:r>
            <w:r>
              <w:rPr>
                <w:rFonts w:hint="eastAsia" w:ascii="仿宋_GB2312" w:hAnsi="仿宋_GB2312" w:eastAsia="仿宋_GB2312" w:cs="仿宋_GB2312"/>
                <w:b w:val="0"/>
                <w:bCs w:val="0"/>
                <w:sz w:val="28"/>
                <w:szCs w:val="28"/>
              </w:rPr>
              <w:t>万元吨标准煤</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达产复核约定：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11" w:type="dxa"/>
            <w:vAlign w:val="center"/>
          </w:tcPr>
          <w:p>
            <w:pPr>
              <w:spacing w:line="54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13</w:t>
            </w:r>
          </w:p>
        </w:tc>
        <w:tc>
          <w:tcPr>
            <w:tcW w:w="364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排放量（t/a）</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11" w:type="dxa"/>
            <w:vAlign w:val="center"/>
          </w:tcPr>
          <w:p>
            <w:pPr>
              <w:spacing w:line="54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14</w:t>
            </w:r>
          </w:p>
        </w:tc>
        <w:tc>
          <w:tcPr>
            <w:tcW w:w="3649"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单位排放量增加值</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=10/13</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达产复核约定：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11" w:type="dxa"/>
            <w:vAlign w:val="center"/>
          </w:tcPr>
          <w:p>
            <w:pPr>
              <w:spacing w:line="54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15</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研发费用</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B203报表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711" w:type="dxa"/>
            <w:vAlign w:val="center"/>
          </w:tcPr>
          <w:p>
            <w:pPr>
              <w:spacing w:line="540" w:lineRule="exact"/>
              <w:jc w:val="center"/>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16</w:t>
            </w:r>
          </w:p>
        </w:tc>
        <w:tc>
          <w:tcPr>
            <w:tcW w:w="3649" w:type="dxa"/>
            <w:gridSpan w:val="2"/>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pacing w:val="-4"/>
                <w:sz w:val="28"/>
                <w:szCs w:val="28"/>
                <w:lang w:val="en-US" w:eastAsia="zh-CN"/>
              </w:rPr>
              <w:t>R&amp;D投入强度</w:t>
            </w:r>
            <w:r>
              <w:rPr>
                <w:rFonts w:hint="eastAsia" w:ascii="仿宋_GB2312" w:hAnsi="仿宋_GB2312" w:eastAsia="仿宋_GB2312" w:cs="仿宋_GB2312"/>
                <w:b w:val="0"/>
                <w:bCs w:val="0"/>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552" w:firstLineChars="200"/>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sz w:val="28"/>
                <w:szCs w:val="28"/>
                <w:lang w:val="en-US" w:eastAsia="zh-CN"/>
              </w:rPr>
              <w:t>=15</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lang w:val="en-US" w:eastAsia="zh-CN"/>
              </w:rPr>
              <w:t>5*100%</w:t>
            </w:r>
          </w:p>
        </w:tc>
        <w:tc>
          <w:tcPr>
            <w:tcW w:w="220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kern w:val="2"/>
                <w:sz w:val="28"/>
                <w:szCs w:val="28"/>
                <w:lang w:val="en-US" w:eastAsia="zh-CN" w:bidi="ar-SA"/>
              </w:rPr>
            </w:pPr>
          </w:p>
        </w:tc>
        <w:tc>
          <w:tcPr>
            <w:tcW w:w="2279"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rPr>
              <w:t>达产复核约定：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8844" w:type="dxa"/>
            <w:gridSpan w:val="5"/>
            <w:shd w:val="clear" w:color="auto" w:fill="E7E6E6" w:themeFill="background2"/>
            <w:vAlign w:val="center"/>
          </w:tcPr>
          <w:p>
            <w:pPr>
              <w:spacing w:line="540" w:lineRule="exact"/>
              <w:jc w:val="both"/>
              <w:rPr>
                <w:rFonts w:hint="default" w:ascii="仿宋_GB2312" w:hAnsi="仿宋_GB2312" w:eastAsia="仿宋_GB2312" w:cs="仿宋_GB2312"/>
                <w:b w:val="0"/>
                <w:bCs w:val="0"/>
                <w:sz w:val="28"/>
                <w:szCs w:val="28"/>
                <w:lang w:val="en-US" w:eastAsia="zh-CN"/>
              </w:rPr>
            </w:pPr>
            <w:r>
              <w:rPr>
                <w:rFonts w:hint="eastAsia" w:ascii="黑体" w:hAnsi="黑体" w:eastAsia="黑体" w:cs="黑体"/>
                <w:b w:val="0"/>
                <w:bCs w:val="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2" w:hRule="atLeast"/>
          <w:jc w:val="center"/>
        </w:trPr>
        <w:tc>
          <w:tcPr>
            <w:tcW w:w="8844"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pacing w:val="-3"/>
                <w:sz w:val="28"/>
                <w:szCs w:val="28"/>
                <w:lang w:val="en-US" w:eastAsia="zh-CN"/>
              </w:rPr>
            </w:pPr>
            <w:bookmarkStart w:id="28" w:name="OLE_LINK10"/>
            <w:r>
              <w:rPr>
                <w:rFonts w:hint="eastAsia" w:ascii="仿宋_GB2312" w:hAnsi="仿宋_GB2312" w:cs="仿宋_GB2312"/>
                <w:b w:val="0"/>
                <w:bCs w:val="0"/>
                <w:spacing w:val="-3"/>
                <w:sz w:val="28"/>
                <w:szCs w:val="28"/>
                <w:lang w:val="en-US" w:eastAsia="zh-CN"/>
              </w:rPr>
              <w:t>1.</w:t>
            </w:r>
            <w:r>
              <w:rPr>
                <w:rFonts w:hint="eastAsia" w:ascii="仿宋_GB2312" w:hAnsi="仿宋_GB2312" w:eastAsia="仿宋_GB2312" w:cs="仿宋_GB2312"/>
                <w:b w:val="0"/>
                <w:bCs w:val="0"/>
                <w:spacing w:val="-3"/>
                <w:sz w:val="28"/>
                <w:szCs w:val="28"/>
                <w:lang w:val="en-US" w:eastAsia="zh-CN"/>
              </w:rPr>
              <w:t>执行非“标准地”项目：填写1-5项</w:t>
            </w:r>
            <w:bookmarkEnd w:id="28"/>
            <w:r>
              <w:rPr>
                <w:rFonts w:hint="eastAsia" w:ascii="仿宋_GB2312" w:hAnsi="仿宋_GB2312" w:eastAsia="仿宋_GB2312" w:cs="仿宋_GB2312"/>
                <w:b w:val="0"/>
                <w:bCs w:val="0"/>
                <w:spacing w:val="-3"/>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b w:val="0"/>
                <w:bCs w:val="0"/>
                <w:spacing w:val="-3"/>
                <w:sz w:val="28"/>
                <w:szCs w:val="28"/>
                <w:lang w:val="en-US" w:eastAsia="zh-CN"/>
              </w:rPr>
            </w:pPr>
            <w:r>
              <w:rPr>
                <w:rFonts w:hint="eastAsia" w:ascii="仿宋_GB2312" w:hAnsi="仿宋_GB2312" w:cs="仿宋_GB2312"/>
                <w:b w:val="0"/>
                <w:bCs w:val="0"/>
                <w:spacing w:val="-3"/>
                <w:sz w:val="28"/>
                <w:szCs w:val="28"/>
                <w:lang w:val="en-US" w:eastAsia="zh-CN"/>
              </w:rPr>
              <w:t>2.</w:t>
            </w:r>
            <w:r>
              <w:rPr>
                <w:rFonts w:hint="eastAsia" w:ascii="仿宋_GB2312" w:hAnsi="仿宋_GB2312" w:eastAsia="仿宋_GB2312" w:cs="仿宋_GB2312"/>
                <w:b w:val="0"/>
                <w:bCs w:val="0"/>
                <w:spacing w:val="-3"/>
                <w:sz w:val="28"/>
                <w:szCs w:val="28"/>
                <w:lang w:val="en-US" w:eastAsia="zh-CN"/>
              </w:rPr>
              <w:t>执行“标准地”项目：填写1-16项；</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pacing w:val="7"/>
                <w:sz w:val="28"/>
                <w:szCs w:val="28"/>
                <w:lang w:val="en-US" w:eastAsia="zh-CN"/>
              </w:rPr>
            </w:pPr>
            <w:r>
              <w:rPr>
                <w:rFonts w:hint="eastAsia" w:ascii="仿宋_GB2312" w:hAnsi="仿宋_GB2312" w:cs="仿宋_GB2312"/>
                <w:b w:val="0"/>
                <w:bCs w:val="0"/>
                <w:spacing w:val="10"/>
                <w:sz w:val="28"/>
                <w:szCs w:val="28"/>
                <w:lang w:val="en-US" w:eastAsia="zh-CN"/>
              </w:rPr>
              <w:t>3.</w:t>
            </w:r>
            <w:r>
              <w:rPr>
                <w:rFonts w:hint="eastAsia" w:ascii="仿宋_GB2312" w:hAnsi="仿宋_GB2312" w:eastAsia="仿宋_GB2312" w:cs="仿宋_GB2312"/>
                <w:b w:val="0"/>
                <w:bCs w:val="0"/>
                <w:spacing w:val="10"/>
                <w:sz w:val="28"/>
                <w:szCs w:val="28"/>
                <w:lang w:val="en-US" w:eastAsia="zh-CN"/>
              </w:rPr>
              <w:t>“税费</w:t>
            </w:r>
            <w:r>
              <w:rPr>
                <w:rFonts w:hint="eastAsia" w:ascii="仿宋_GB2312" w:hAnsi="仿宋_GB2312" w:eastAsia="仿宋_GB2312" w:cs="仿宋_GB2312"/>
                <w:b w:val="0"/>
                <w:bCs w:val="0"/>
                <w:spacing w:val="10"/>
                <w:sz w:val="28"/>
                <w:szCs w:val="28"/>
              </w:rPr>
              <w:t>实际入库数”中包含12项税(费)种：增值税、消费</w:t>
            </w:r>
            <w:r>
              <w:rPr>
                <w:rFonts w:hint="eastAsia" w:ascii="仿宋_GB2312" w:hAnsi="仿宋_GB2312" w:eastAsia="仿宋_GB2312" w:cs="仿宋_GB2312"/>
                <w:b w:val="0"/>
                <w:bCs w:val="0"/>
                <w:spacing w:val="-3"/>
                <w:sz w:val="28"/>
                <w:szCs w:val="28"/>
              </w:rPr>
              <w:t>税、企业所得税、房产税、城镇土地使用</w:t>
            </w:r>
            <w:r>
              <w:rPr>
                <w:rFonts w:hint="eastAsia" w:ascii="仿宋_GB2312" w:hAnsi="仿宋_GB2312" w:eastAsia="仿宋_GB2312" w:cs="仿宋_GB2312"/>
                <w:b w:val="0"/>
                <w:bCs w:val="0"/>
                <w:spacing w:val="-4"/>
                <w:sz w:val="28"/>
                <w:szCs w:val="28"/>
              </w:rPr>
              <w:t>税、车船税、土地增值税、印花税、城市维护建设税、资源税</w:t>
            </w:r>
            <w:r>
              <w:rPr>
                <w:rFonts w:hint="eastAsia" w:ascii="仿宋_GB2312" w:hAnsi="仿宋_GB2312" w:eastAsia="仿宋_GB2312" w:cs="仿宋_GB2312"/>
                <w:b w:val="0"/>
                <w:bCs w:val="0"/>
                <w:spacing w:val="-5"/>
                <w:sz w:val="28"/>
                <w:szCs w:val="28"/>
              </w:rPr>
              <w:t>，教育费附</w:t>
            </w:r>
            <w:r>
              <w:rPr>
                <w:rFonts w:hint="eastAsia" w:ascii="仿宋_GB2312" w:hAnsi="仿宋_GB2312" w:eastAsia="仿宋_GB2312" w:cs="仿宋_GB2312"/>
                <w:b w:val="0"/>
                <w:bCs w:val="0"/>
                <w:spacing w:val="-4"/>
                <w:sz w:val="28"/>
                <w:szCs w:val="28"/>
              </w:rPr>
              <w:t>加、地方教育附加。不包括契税、耕地占用税、车辆购置税</w:t>
            </w:r>
            <w:r>
              <w:rPr>
                <w:rFonts w:hint="eastAsia" w:ascii="仿宋_GB2312" w:hAnsi="仿宋_GB2312" w:eastAsia="仿宋_GB2312" w:cs="仿宋_GB2312"/>
                <w:b w:val="0"/>
                <w:bCs w:val="0"/>
                <w:spacing w:val="-5"/>
                <w:sz w:val="28"/>
                <w:szCs w:val="28"/>
              </w:rPr>
              <w:t>、委</w:t>
            </w:r>
            <w:r>
              <w:rPr>
                <w:rFonts w:hint="eastAsia" w:ascii="仿宋_GB2312" w:hAnsi="仿宋_GB2312" w:eastAsia="仿宋_GB2312" w:cs="仿宋_GB2312"/>
                <w:b w:val="0"/>
                <w:bCs w:val="0"/>
                <w:spacing w:val="1"/>
                <w:sz w:val="28"/>
                <w:szCs w:val="28"/>
              </w:rPr>
              <w:t>托代征税款以及滞纳金和罚款等。其中：增值</w:t>
            </w:r>
            <w:r>
              <w:rPr>
                <w:rFonts w:hint="eastAsia" w:ascii="仿宋_GB2312" w:hAnsi="仿宋_GB2312" w:eastAsia="仿宋_GB2312" w:cs="仿宋_GB2312"/>
                <w:b w:val="0"/>
                <w:bCs w:val="0"/>
                <w:sz w:val="28"/>
                <w:szCs w:val="28"/>
              </w:rPr>
              <w:t>税实际入库数=增</w:t>
            </w:r>
            <w:r>
              <w:rPr>
                <w:rFonts w:hint="eastAsia" w:ascii="仿宋_GB2312" w:hAnsi="仿宋_GB2312" w:eastAsia="仿宋_GB2312" w:cs="仿宋_GB2312"/>
                <w:b w:val="0"/>
                <w:bCs w:val="0"/>
                <w:spacing w:val="6"/>
                <w:sz w:val="28"/>
                <w:szCs w:val="28"/>
              </w:rPr>
              <w:t>值税直接净入库税收+生产型出口企业发生的“免抵”税额(含</w:t>
            </w:r>
            <w:r>
              <w:rPr>
                <w:rFonts w:hint="eastAsia" w:ascii="仿宋_GB2312" w:hAnsi="仿宋_GB2312" w:eastAsia="仿宋_GB2312" w:cs="仿宋_GB2312"/>
                <w:b w:val="0"/>
                <w:bCs w:val="0"/>
                <w:spacing w:val="7"/>
                <w:sz w:val="28"/>
                <w:szCs w:val="28"/>
              </w:rPr>
              <w:t>应调未调部分)</w:t>
            </w:r>
            <w:r>
              <w:rPr>
                <w:rFonts w:hint="eastAsia" w:ascii="仿宋_GB2312" w:hAnsi="仿宋_GB2312" w:eastAsia="仿宋_GB2312" w:cs="仿宋_GB2312"/>
                <w:b w:val="0"/>
                <w:bCs w:val="0"/>
                <w:spacing w:val="7"/>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pacing w:val="-4"/>
                <w:sz w:val="28"/>
                <w:szCs w:val="28"/>
                <w:lang w:val="en-US" w:eastAsia="zh-CN"/>
              </w:rPr>
            </w:pPr>
            <w:r>
              <w:rPr>
                <w:rFonts w:hint="eastAsia" w:ascii="仿宋_GB2312" w:hAnsi="仿宋_GB2312" w:cs="仿宋_GB2312"/>
                <w:b w:val="0"/>
                <w:bCs w:val="0"/>
                <w:spacing w:val="-4"/>
                <w:sz w:val="28"/>
                <w:szCs w:val="28"/>
                <w:lang w:val="en-US" w:eastAsia="zh-CN"/>
              </w:rPr>
              <w:t>4.</w:t>
            </w:r>
            <w:r>
              <w:rPr>
                <w:rFonts w:hint="eastAsia" w:ascii="仿宋_GB2312" w:hAnsi="仿宋_GB2312" w:eastAsia="仿宋_GB2312" w:cs="仿宋_GB2312"/>
                <w:b w:val="0"/>
                <w:bCs w:val="0"/>
                <w:spacing w:val="-4"/>
                <w:sz w:val="28"/>
                <w:szCs w:val="28"/>
                <w:lang w:val="en-US" w:eastAsia="zh-CN"/>
              </w:rPr>
              <w:t>固定资产投资</w:t>
            </w:r>
            <w:r>
              <w:rPr>
                <w:rFonts w:hint="default" w:ascii="仿宋_GB2312" w:hAnsi="仿宋_GB2312" w:eastAsia="仿宋_GB2312" w:cs="仿宋_GB2312"/>
                <w:b w:val="0"/>
                <w:bCs w:val="0"/>
                <w:spacing w:val="-4"/>
                <w:sz w:val="28"/>
                <w:szCs w:val="28"/>
                <w:lang w:eastAsia="zh-CN"/>
              </w:rPr>
              <w:t>强度：项目用地范围内单位土地面积上的固定资产投资额</w:t>
            </w:r>
            <w:r>
              <w:rPr>
                <w:rFonts w:hint="eastAsia" w:ascii="仿宋_GB2312" w:hAnsi="仿宋_GB2312" w:eastAsia="仿宋_GB2312" w:cs="仿宋_GB2312"/>
                <w:b w:val="0"/>
                <w:bCs w:val="0"/>
                <w:spacing w:val="-4"/>
                <w:sz w:val="28"/>
                <w:szCs w:val="28"/>
                <w:lang w:val="en-US" w:eastAsia="zh-CN"/>
              </w:rPr>
              <w:t>（不含税；</w:t>
            </w:r>
            <w:r>
              <w:rPr>
                <w:rFonts w:hint="default" w:ascii="仿宋_GB2312" w:hAnsi="仿宋_GB2312" w:eastAsia="仿宋_GB2312" w:cs="仿宋_GB2312"/>
                <w:b w:val="0"/>
                <w:bCs w:val="0"/>
                <w:spacing w:val="-4"/>
                <w:sz w:val="28"/>
                <w:szCs w:val="28"/>
                <w:lang w:eastAsia="zh-CN"/>
              </w:rPr>
              <w:t>发票</w:t>
            </w:r>
            <w:r>
              <w:rPr>
                <w:rFonts w:hint="eastAsia" w:ascii="仿宋_GB2312" w:hAnsi="仿宋_GB2312" w:eastAsia="仿宋_GB2312" w:cs="仿宋_GB2312"/>
                <w:b w:val="0"/>
                <w:bCs w:val="0"/>
                <w:spacing w:val="-4"/>
                <w:sz w:val="28"/>
                <w:szCs w:val="28"/>
                <w:lang w:val="en-US" w:eastAsia="zh-CN"/>
              </w:rPr>
              <w:t>付款率70%以上</w:t>
            </w:r>
            <w:r>
              <w:rPr>
                <w:rFonts w:hint="default" w:ascii="仿宋_GB2312" w:hAnsi="仿宋_GB2312" w:eastAsia="仿宋_GB2312" w:cs="仿宋_GB2312"/>
                <w:b w:val="0"/>
                <w:bCs w:val="0"/>
                <w:spacing w:val="-4"/>
                <w:sz w:val="28"/>
                <w:szCs w:val="28"/>
                <w:lang w:eastAsia="zh-CN"/>
              </w:rPr>
              <w:t>算全额，以下按实际付款额计算</w:t>
            </w:r>
            <w:r>
              <w:rPr>
                <w:rFonts w:hint="eastAsia" w:ascii="仿宋_GB2312" w:hAnsi="仿宋_GB2312" w:eastAsia="仿宋_GB2312" w:cs="仿宋_GB2312"/>
                <w:b w:val="0"/>
                <w:bCs w:val="0"/>
                <w:spacing w:val="-4"/>
                <w:sz w:val="28"/>
                <w:szCs w:val="28"/>
                <w:lang w:eastAsia="zh-CN"/>
              </w:rPr>
              <w:t>；</w:t>
            </w:r>
            <w:r>
              <w:rPr>
                <w:rFonts w:hint="default" w:ascii="仿宋_GB2312" w:hAnsi="仿宋_GB2312" w:eastAsia="仿宋_GB2312" w:cs="仿宋_GB2312"/>
                <w:b w:val="0"/>
                <w:bCs w:val="0"/>
                <w:spacing w:val="-4"/>
                <w:sz w:val="28"/>
                <w:szCs w:val="28"/>
                <w:lang w:eastAsia="zh-CN"/>
              </w:rPr>
              <w:t>交通设备按</w:t>
            </w:r>
            <w:r>
              <w:rPr>
                <w:rFonts w:hint="eastAsia" w:ascii="仿宋_GB2312" w:hAnsi="仿宋_GB2312" w:eastAsia="仿宋_GB2312" w:cs="仿宋_GB2312"/>
                <w:b w:val="0"/>
                <w:bCs w:val="0"/>
                <w:spacing w:val="-4"/>
                <w:sz w:val="28"/>
                <w:szCs w:val="28"/>
                <w:lang w:val="en-US" w:eastAsia="zh-CN"/>
              </w:rPr>
              <w:t>不超过固定资产投资总额的7%</w:t>
            </w:r>
            <w:r>
              <w:rPr>
                <w:rFonts w:hint="default" w:ascii="仿宋_GB2312" w:hAnsi="仿宋_GB2312" w:eastAsia="仿宋_GB2312" w:cs="仿宋_GB2312"/>
                <w:b w:val="0"/>
                <w:bCs w:val="0"/>
                <w:spacing w:val="-4"/>
                <w:sz w:val="28"/>
                <w:szCs w:val="28"/>
                <w:lang w:eastAsia="zh-CN"/>
              </w:rPr>
              <w:t>计算</w:t>
            </w:r>
            <w:r>
              <w:rPr>
                <w:rFonts w:hint="eastAsia" w:ascii="仿宋_GB2312" w:hAnsi="仿宋_GB2312" w:eastAsia="仿宋_GB2312" w:cs="仿宋_GB2312"/>
                <w:b w:val="0"/>
                <w:bCs w:val="0"/>
                <w:spacing w:val="-4"/>
                <w:sz w:val="28"/>
                <w:szCs w:val="28"/>
                <w:lang w:val="en-US" w:eastAsia="zh-CN"/>
              </w:rPr>
              <w:t>）。</w:t>
            </w:r>
            <w:r>
              <w:rPr>
                <w:rFonts w:hint="eastAsia" w:ascii="仿宋_GB2312" w:hAnsi="仿宋_GB2312" w:eastAsia="仿宋_GB2312" w:cs="仿宋_GB2312"/>
                <w:b w:val="0"/>
                <w:bCs w:val="0"/>
                <w:spacing w:val="-4"/>
                <w:sz w:val="28"/>
                <w:szCs w:val="28"/>
              </w:rPr>
              <w:t>提供固定资产投资</w:t>
            </w:r>
            <w:bookmarkStart w:id="29" w:name="OLE_LINK16"/>
            <w:r>
              <w:rPr>
                <w:rFonts w:hint="eastAsia" w:ascii="仿宋_GB2312" w:hAnsi="仿宋_GB2312" w:eastAsia="仿宋_GB2312" w:cs="仿宋_GB2312"/>
                <w:b w:val="0"/>
                <w:bCs w:val="0"/>
                <w:spacing w:val="-4"/>
                <w:sz w:val="28"/>
                <w:szCs w:val="28"/>
              </w:rPr>
              <w:t>专项审计报告</w:t>
            </w:r>
            <w:bookmarkEnd w:id="29"/>
            <w:r>
              <w:rPr>
                <w:rFonts w:hint="eastAsia" w:ascii="仿宋_GB2312" w:hAnsi="仿宋_GB2312" w:eastAsia="仿宋_GB2312" w:cs="仿宋_GB2312"/>
                <w:b w:val="0"/>
                <w:bCs w:val="0"/>
                <w:spacing w:val="-4"/>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pacing w:val="-4"/>
                <w:sz w:val="28"/>
                <w:szCs w:val="28"/>
                <w:lang w:val="en-US" w:eastAsia="zh-CN"/>
              </w:rPr>
            </w:pPr>
            <w:r>
              <w:rPr>
                <w:rFonts w:hint="eastAsia" w:ascii="仿宋_GB2312" w:hAnsi="仿宋_GB2312" w:cs="仿宋_GB2312"/>
                <w:b w:val="0"/>
                <w:bCs w:val="0"/>
                <w:spacing w:val="-4"/>
                <w:sz w:val="28"/>
                <w:szCs w:val="28"/>
                <w:lang w:val="en-US" w:eastAsia="zh-CN"/>
              </w:rPr>
              <w:t>5.</w:t>
            </w:r>
            <w:r>
              <w:rPr>
                <w:rFonts w:hint="eastAsia" w:ascii="仿宋_GB2312" w:hAnsi="仿宋_GB2312" w:eastAsia="仿宋_GB2312" w:cs="仿宋_GB2312"/>
                <w:b w:val="0"/>
                <w:bCs w:val="0"/>
                <w:spacing w:val="-4"/>
                <w:sz w:val="28"/>
                <w:szCs w:val="28"/>
                <w:lang w:val="en-US" w:eastAsia="zh-CN"/>
              </w:rPr>
              <w:t>研发费用：提供按财务制度入统计库的“财务状况”统计报表（B203)或研发费用专项审计报告；</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pacing w:val="-4"/>
                <w:sz w:val="28"/>
                <w:szCs w:val="28"/>
                <w:lang w:val="en-US" w:eastAsia="zh-CN"/>
              </w:rPr>
            </w:pPr>
            <w:bookmarkStart w:id="30" w:name="OLE_LINK12"/>
            <w:r>
              <w:rPr>
                <w:rFonts w:hint="eastAsia" w:ascii="仿宋_GB2312" w:hAnsi="仿宋_GB2312" w:cs="仿宋_GB2312"/>
                <w:b w:val="0"/>
                <w:bCs w:val="0"/>
                <w:spacing w:val="-4"/>
                <w:sz w:val="28"/>
                <w:szCs w:val="28"/>
                <w:lang w:val="en-US" w:eastAsia="zh-CN"/>
              </w:rPr>
              <w:t>6.</w:t>
            </w:r>
            <w:r>
              <w:rPr>
                <w:rFonts w:hint="eastAsia" w:ascii="仿宋_GB2312" w:hAnsi="仿宋_GB2312" w:eastAsia="仿宋_GB2312" w:cs="仿宋_GB2312"/>
                <w:b w:val="0"/>
                <w:bCs w:val="0"/>
                <w:spacing w:val="-4"/>
                <w:sz w:val="28"/>
                <w:szCs w:val="28"/>
                <w:lang w:val="en-US" w:eastAsia="zh-CN"/>
              </w:rPr>
              <w:t>R&amp;D投入强度</w:t>
            </w:r>
            <w:bookmarkEnd w:id="30"/>
            <w:r>
              <w:rPr>
                <w:rFonts w:hint="eastAsia" w:ascii="仿宋_GB2312" w:hAnsi="仿宋_GB2312" w:eastAsia="仿宋_GB2312" w:cs="仿宋_GB2312"/>
                <w:b w:val="0"/>
                <w:bCs w:val="0"/>
                <w:spacing w:val="-4"/>
                <w:sz w:val="28"/>
                <w:szCs w:val="28"/>
                <w:lang w:val="en-US" w:eastAsia="zh-CN"/>
              </w:rPr>
              <w:t>=研发费用÷主营业务收入×100%；</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cs="仿宋_GB2312"/>
                <w:b w:val="0"/>
                <w:bCs w:val="0"/>
                <w:sz w:val="28"/>
                <w:szCs w:val="28"/>
                <w:lang w:val="en-US" w:eastAsia="zh-CN"/>
              </w:rPr>
              <w:t>7.</w:t>
            </w:r>
            <w:r>
              <w:rPr>
                <w:rFonts w:hint="eastAsia" w:ascii="仿宋_GB2312" w:hAnsi="仿宋_GB2312" w:eastAsia="仿宋_GB2312" w:cs="仿宋_GB2312"/>
                <w:b w:val="0"/>
                <w:bCs w:val="0"/>
                <w:sz w:val="28"/>
                <w:szCs w:val="28"/>
                <w:lang w:val="en-US" w:eastAsia="zh-CN"/>
              </w:rPr>
              <w:t>排放量：</w:t>
            </w:r>
            <w:r>
              <w:rPr>
                <w:rFonts w:hint="eastAsia" w:ascii="仿宋_GB2312" w:hAnsi="仿宋_GB2312" w:eastAsia="仿宋_GB2312" w:cs="仿宋_GB2312"/>
                <w:b w:val="0"/>
                <w:bCs w:val="0"/>
                <w:sz w:val="28"/>
                <w:szCs w:val="28"/>
              </w:rPr>
              <w:t>化学需氧量 (COD) 、 氨氮 NH3-N) 、 二氧化硫 (SO2) 和氮氧化物 (NOX)</w:t>
            </w:r>
            <w:r>
              <w:rPr>
                <w:rFonts w:hint="eastAsia" w:ascii="仿宋_GB2312" w:hAnsi="仿宋_GB2312" w:eastAsia="仿宋_GB2312" w:cs="仿宋_GB2312"/>
                <w:b w:val="0"/>
                <w:bCs w:val="0"/>
                <w:sz w:val="28"/>
                <w:szCs w:val="28"/>
                <w:lang w:val="en-US" w:eastAsia="zh-CN"/>
              </w:rPr>
              <w:t>四项合计</w:t>
            </w:r>
            <w:r>
              <w:rPr>
                <w:rFonts w:hint="eastAsia" w:ascii="仿宋_GB2312" w:hAnsi="仿宋_GB2312" w:eastAsia="仿宋_GB2312" w:cs="仿宋_GB2312"/>
                <w:b w:val="0"/>
                <w:bCs w:val="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textAlignment w:val="auto"/>
              <w:rPr>
                <w:rFonts w:hint="eastAsia" w:ascii="仿宋_GB2312" w:hAnsi="仿宋_GB2312" w:eastAsia="仿宋_GB2312" w:cs="仿宋_GB2312"/>
                <w:b w:val="0"/>
                <w:bCs w:val="0"/>
                <w:sz w:val="28"/>
                <w:szCs w:val="28"/>
                <w:lang w:val="en-US" w:eastAsia="zh-CN"/>
              </w:rPr>
            </w:pPr>
          </w:p>
          <w:p>
            <w:pPr>
              <w:spacing w:line="540" w:lineRule="exact"/>
              <w:ind w:firstLine="6952" w:firstLineChars="2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盖   章</w:t>
            </w:r>
            <w:r>
              <w:rPr>
                <w:rFonts w:hint="eastAsia" w:ascii="仿宋_GB2312" w:hAnsi="仿宋_GB2312" w:eastAsia="仿宋_GB2312" w:cs="仿宋_GB2312"/>
                <w:b w:val="0"/>
                <w:bCs w:val="0"/>
                <w:sz w:val="32"/>
                <w:szCs w:val="32"/>
              </w:rPr>
              <w:t xml:space="preserve">        </w:t>
            </w:r>
          </w:p>
          <w:p>
            <w:pPr>
              <w:spacing w:line="540" w:lineRule="exac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日</w:t>
            </w:r>
          </w:p>
        </w:tc>
      </w:tr>
    </w:tbl>
    <w:p>
      <w:r>
        <w:br w:type="page"/>
      </w:r>
    </w:p>
    <w:p>
      <w:pPr>
        <w:spacing w:line="540" w:lineRule="exact"/>
        <w:rPr>
          <w:rFonts w:hint="eastAsia" w:ascii="黑体" w:hAnsi="黑体" w:eastAsia="黑体" w:cs="黑体"/>
          <w:sz w:val="32"/>
          <w:szCs w:val="32"/>
        </w:rPr>
      </w:pPr>
      <w:r>
        <w:rPr>
          <w:rFonts w:hint="eastAsia" w:ascii="黑体" w:hAnsi="黑体" w:eastAsia="黑体" w:cs="黑体"/>
          <w:sz w:val="32"/>
          <w:szCs w:val="32"/>
        </w:rPr>
        <w:t>附件4</w:t>
      </w:r>
    </w:p>
    <w:p>
      <w:pPr>
        <w:spacing w:line="540" w:lineRule="exact"/>
        <w:rPr>
          <w:rFonts w:hint="eastAsia" w:ascii="仿宋_GB2312" w:hAnsi="仿宋_GB2312" w:eastAsia="仿宋_GB2312" w:cs="仿宋_GB2312"/>
          <w:sz w:val="32"/>
          <w:szCs w:val="32"/>
        </w:rPr>
      </w:pPr>
    </w:p>
    <w:p>
      <w:pPr>
        <w:spacing w:line="540" w:lineRule="exact"/>
        <w:jc w:val="center"/>
        <w:rPr>
          <w:rFonts w:hint="eastAsia" w:ascii="方正小标宋简体" w:hAnsi="方正小标宋简体" w:eastAsia="方正小标宋简体" w:cs="方正小标宋简体"/>
          <w:sz w:val="44"/>
          <w:szCs w:val="44"/>
        </w:rPr>
      </w:pPr>
      <w:bookmarkStart w:id="31" w:name="OLE_LINK18"/>
      <w:r>
        <w:rPr>
          <w:rFonts w:hint="eastAsia" w:ascii="方正小标宋简体" w:hAnsi="方正小标宋简体" w:eastAsia="方正小标宋简体" w:cs="方正小标宋简体"/>
          <w:sz w:val="44"/>
          <w:szCs w:val="44"/>
        </w:rPr>
        <w:t>宁波前湾新区项目专项复核</w:t>
      </w:r>
      <w:r>
        <w:rPr>
          <w:rFonts w:hint="eastAsia" w:ascii="方正小标宋简体" w:hAnsi="方正小标宋简体" w:eastAsia="方正小标宋简体" w:cs="方正小标宋简体"/>
          <w:sz w:val="44"/>
          <w:szCs w:val="44"/>
          <w:lang w:val="en-US" w:eastAsia="zh-CN"/>
        </w:rPr>
        <w:t>流转</w:t>
      </w:r>
      <w:r>
        <w:rPr>
          <w:rFonts w:hint="eastAsia" w:ascii="方正小标宋简体" w:hAnsi="方正小标宋简体" w:eastAsia="方正小标宋简体" w:cs="方正小标宋简体"/>
          <w:sz w:val="44"/>
          <w:szCs w:val="44"/>
        </w:rPr>
        <w:t>意见</w:t>
      </w:r>
      <w:bookmarkEnd w:id="31"/>
    </w:p>
    <w:p>
      <w:pPr>
        <w:spacing w:line="540" w:lineRule="exact"/>
        <w:jc w:val="center"/>
        <w:rPr>
          <w:rFonts w:hint="eastAsia" w:ascii="方正小标宋简体" w:hAnsi="方正小标宋简体" w:eastAsia="方正小标宋简体" w:cs="方正小标宋简体"/>
          <w:sz w:val="44"/>
          <w:szCs w:val="44"/>
        </w:rPr>
      </w:pPr>
    </w:p>
    <w:bookmarkEnd w:id="24"/>
    <w:tbl>
      <w:tblPr>
        <w:tblStyle w:val="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3"/>
        <w:gridCol w:w="940"/>
        <w:gridCol w:w="2429"/>
        <w:gridCol w:w="117"/>
        <w:gridCol w:w="2099"/>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00" w:hRule="atLeast"/>
          <w:jc w:val="center"/>
        </w:trPr>
        <w:tc>
          <w:tcPr>
            <w:tcW w:w="1853" w:type="dxa"/>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项目单位</w:t>
            </w:r>
          </w:p>
        </w:tc>
        <w:tc>
          <w:tcPr>
            <w:tcW w:w="3486" w:type="dxa"/>
            <w:gridSpan w:val="3"/>
            <w:vAlign w:val="center"/>
          </w:tcPr>
          <w:p>
            <w:pPr>
              <w:spacing w:line="540" w:lineRule="exact"/>
              <w:jc w:val="center"/>
              <w:rPr>
                <w:rFonts w:hint="eastAsia" w:ascii="黑体" w:hAnsi="黑体" w:eastAsia="黑体" w:cs="黑体"/>
                <w:b w:val="0"/>
                <w:bCs w:val="0"/>
                <w:sz w:val="32"/>
                <w:szCs w:val="32"/>
                <w:lang w:val="en-US" w:eastAsia="zh-CN"/>
              </w:rPr>
            </w:pPr>
          </w:p>
        </w:tc>
        <w:tc>
          <w:tcPr>
            <w:tcW w:w="2099" w:type="dxa"/>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项目法人</w:t>
            </w:r>
          </w:p>
        </w:tc>
        <w:tc>
          <w:tcPr>
            <w:tcW w:w="1406" w:type="dxa"/>
            <w:vAlign w:val="center"/>
          </w:tcPr>
          <w:p>
            <w:pPr>
              <w:spacing w:line="540" w:lineRule="exact"/>
              <w:jc w:val="center"/>
              <w:rPr>
                <w:rFonts w:hint="eastAsia" w:ascii="黑体" w:hAnsi="黑体" w:eastAsia="黑体" w:cs="黑体"/>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1853" w:type="dxa"/>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项目名称</w:t>
            </w:r>
          </w:p>
        </w:tc>
        <w:tc>
          <w:tcPr>
            <w:tcW w:w="3486" w:type="dxa"/>
            <w:gridSpan w:val="3"/>
            <w:vAlign w:val="center"/>
          </w:tcPr>
          <w:p>
            <w:pPr>
              <w:spacing w:line="540" w:lineRule="exact"/>
              <w:jc w:val="center"/>
              <w:rPr>
                <w:rFonts w:hint="eastAsia" w:ascii="黑体" w:hAnsi="黑体" w:eastAsia="黑体" w:cs="黑体"/>
                <w:b w:val="0"/>
                <w:bCs w:val="0"/>
                <w:sz w:val="32"/>
                <w:szCs w:val="32"/>
                <w:lang w:val="en-US" w:eastAsia="zh-CN"/>
              </w:rPr>
            </w:pPr>
          </w:p>
        </w:tc>
        <w:tc>
          <w:tcPr>
            <w:tcW w:w="2099" w:type="dxa"/>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项目用地亩数</w:t>
            </w:r>
          </w:p>
        </w:tc>
        <w:tc>
          <w:tcPr>
            <w:tcW w:w="1406" w:type="dxa"/>
            <w:vAlign w:val="center"/>
          </w:tcPr>
          <w:p>
            <w:pPr>
              <w:spacing w:line="540" w:lineRule="exact"/>
              <w:jc w:val="center"/>
              <w:rPr>
                <w:rFonts w:hint="eastAsia" w:ascii="黑体" w:hAnsi="黑体" w:eastAsia="黑体" w:cs="黑体"/>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0" w:hRule="atLeast"/>
          <w:jc w:val="center"/>
        </w:trPr>
        <w:tc>
          <w:tcPr>
            <w:tcW w:w="1853" w:type="dxa"/>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流转部门</w:t>
            </w:r>
          </w:p>
        </w:tc>
        <w:tc>
          <w:tcPr>
            <w:tcW w:w="6991" w:type="dxa"/>
            <w:gridSpan w:val="5"/>
            <w:vAlign w:val="center"/>
          </w:tcPr>
          <w:p>
            <w:pPr>
              <w:spacing w:line="540" w:lineRule="exact"/>
              <w:jc w:val="center"/>
              <w:rPr>
                <w:rFonts w:hint="eastAsia" w:ascii="黑体" w:hAnsi="黑体" w:eastAsia="黑体" w:cs="黑体"/>
                <w:b w:val="0"/>
                <w:bCs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8844" w:type="dxa"/>
            <w:gridSpan w:val="6"/>
            <w:shd w:val="clear" w:color="auto" w:fill="E7E6E6" w:themeFill="background2"/>
            <w:vAlign w:val="center"/>
          </w:tcPr>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主要指标</w:t>
            </w:r>
            <w:r>
              <w:rPr>
                <w:rFonts w:hint="eastAsia" w:ascii="黑体" w:hAnsi="黑体" w:eastAsia="黑体" w:cs="黑体"/>
                <w:b w:val="0"/>
                <w:bCs w:val="0"/>
                <w:sz w:val="32"/>
                <w:szCs w:val="32"/>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40" w:hRule="atLeast"/>
          <w:jc w:val="center"/>
        </w:trPr>
        <w:tc>
          <w:tcPr>
            <w:tcW w:w="2793" w:type="dxa"/>
            <w:gridSpan w:val="2"/>
            <w:shd w:val="clear" w:color="auto" w:fill="E7E6E6" w:themeFill="background2"/>
            <w:vAlign w:val="center"/>
          </w:tcPr>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验收指标</w:t>
            </w:r>
          </w:p>
        </w:tc>
        <w:tc>
          <w:tcPr>
            <w:tcW w:w="2429" w:type="dxa"/>
            <w:shd w:val="clear" w:color="auto" w:fill="E7E6E6" w:themeFill="background2"/>
            <w:vAlign w:val="center"/>
          </w:tcPr>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上报数（万元）</w:t>
            </w:r>
          </w:p>
        </w:tc>
        <w:tc>
          <w:tcPr>
            <w:tcW w:w="2216" w:type="dxa"/>
            <w:gridSpan w:val="2"/>
            <w:shd w:val="clear" w:color="auto" w:fill="E7E6E6" w:themeFill="background2"/>
            <w:vAlign w:val="center"/>
          </w:tcPr>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核实数（万元）</w:t>
            </w:r>
          </w:p>
        </w:tc>
        <w:tc>
          <w:tcPr>
            <w:tcW w:w="1406" w:type="dxa"/>
            <w:shd w:val="clear" w:color="auto" w:fill="E7E6E6" w:themeFill="background2"/>
            <w:vAlign w:val="center"/>
          </w:tcPr>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793"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429"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216"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1406"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793"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429"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216"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1406"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793"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429"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216"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1406"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793"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429"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216"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1406"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793"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429"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216"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1406"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793"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429"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216"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1406"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793"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429"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216"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1406"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793"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429"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216"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1406"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10" w:hRule="exact"/>
          <w:jc w:val="center"/>
        </w:trPr>
        <w:tc>
          <w:tcPr>
            <w:tcW w:w="2793"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429"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2216" w:type="dxa"/>
            <w:gridSpan w:val="2"/>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c>
          <w:tcPr>
            <w:tcW w:w="1406" w:type="dxa"/>
            <w:shd w:val="clear" w:color="auto" w:fill="auto"/>
            <w:vAlign w:val="center"/>
          </w:tcPr>
          <w:p>
            <w:pPr>
              <w:spacing w:line="540" w:lineRule="exact"/>
              <w:jc w:val="center"/>
              <w:rPr>
                <w:rFonts w:hint="eastAsia" w:ascii="仿宋_GB2312" w:hAnsi="仿宋_GB2312" w:eastAsia="仿宋_GB2312" w:cs="仿宋_GB2312"/>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57" w:hRule="atLeast"/>
          <w:jc w:val="center"/>
        </w:trPr>
        <w:tc>
          <w:tcPr>
            <w:tcW w:w="8844" w:type="dxa"/>
            <w:gridSpan w:val="6"/>
            <w:shd w:val="clear" w:color="auto" w:fill="E7E6E6" w:themeFill="background2"/>
            <w:vAlign w:val="center"/>
          </w:tcPr>
          <w:p>
            <w:pPr>
              <w:spacing w:line="540" w:lineRule="exact"/>
              <w:jc w:val="center"/>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履约情况审核意见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451" w:hRule="atLeast"/>
          <w:jc w:val="center"/>
        </w:trPr>
        <w:tc>
          <w:tcPr>
            <w:tcW w:w="8844" w:type="dxa"/>
            <w:gridSpan w:val="6"/>
            <w:vAlign w:val="center"/>
          </w:tcPr>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wordWrap w:val="0"/>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ordWrap/>
              <w:spacing w:line="540" w:lineRule="exact"/>
              <w:ind w:firstLine="6636" w:firstLineChars="2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日</w:t>
            </w:r>
          </w:p>
        </w:tc>
      </w:tr>
    </w:tbl>
    <w:p>
      <w:pPr>
        <w:spacing w:line="54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spacing w:line="540" w:lineRule="exact"/>
        <w:rPr>
          <w:rFonts w:hint="eastAsia" w:ascii="黑体" w:hAnsi="黑体" w:eastAsia="黑体" w:cs="黑体"/>
          <w:sz w:val="32"/>
          <w:szCs w:val="32"/>
          <w:lang w:val="en-US" w:eastAsia="zh-CN"/>
        </w:rPr>
      </w:pPr>
    </w:p>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宁波前湾新区</w:t>
      </w:r>
      <w:r>
        <w:rPr>
          <w:rFonts w:hint="eastAsia" w:ascii="方正小标宋简体" w:hAnsi="方正小标宋简体" w:eastAsia="方正小标宋简体" w:cs="方正小标宋简体"/>
          <w:sz w:val="44"/>
          <w:szCs w:val="44"/>
          <w:lang w:val="en-US" w:eastAsia="zh-CN"/>
        </w:rPr>
        <w:t>变更</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符合新区产业</w:t>
      </w:r>
    </w:p>
    <w:p>
      <w:pPr>
        <w:spacing w:line="54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准入要求</w:t>
      </w:r>
      <w:r>
        <w:rPr>
          <w:rFonts w:hint="eastAsia" w:ascii="方正小标宋简体" w:hAnsi="方正小标宋简体" w:eastAsia="方正小标宋简体" w:cs="方正小标宋简体"/>
          <w:sz w:val="44"/>
          <w:szCs w:val="44"/>
        </w:rPr>
        <w:t>认定</w:t>
      </w:r>
      <w:r>
        <w:rPr>
          <w:rFonts w:hint="eastAsia" w:ascii="方正小标宋简体" w:hAnsi="方正小标宋简体" w:eastAsia="方正小标宋简体" w:cs="方正小标宋简体"/>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szCs w:val="44"/>
          <w:lang w:val="en-US" w:eastAsia="zh-CN"/>
        </w:rPr>
      </w:pPr>
    </w:p>
    <w:tbl>
      <w:tblPr>
        <w:tblStyle w:val="6"/>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9"/>
        <w:gridCol w:w="2877"/>
        <w:gridCol w:w="2138"/>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729" w:type="dxa"/>
            <w:vAlign w:val="center"/>
          </w:tcPr>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项目单位</w:t>
            </w:r>
          </w:p>
        </w:tc>
        <w:tc>
          <w:tcPr>
            <w:tcW w:w="2877" w:type="dxa"/>
            <w:vAlign w:val="center"/>
          </w:tcPr>
          <w:p>
            <w:pPr>
              <w:spacing w:line="540" w:lineRule="exact"/>
              <w:jc w:val="center"/>
              <w:rPr>
                <w:rFonts w:hint="eastAsia" w:ascii="黑体" w:hAnsi="黑体" w:eastAsia="黑体" w:cs="黑体"/>
                <w:b w:val="0"/>
                <w:bCs w:val="0"/>
                <w:sz w:val="32"/>
                <w:szCs w:val="32"/>
              </w:rPr>
            </w:pPr>
          </w:p>
        </w:tc>
        <w:tc>
          <w:tcPr>
            <w:tcW w:w="2138" w:type="dxa"/>
            <w:vAlign w:val="center"/>
          </w:tcPr>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项目法人</w:t>
            </w:r>
          </w:p>
        </w:tc>
        <w:tc>
          <w:tcPr>
            <w:tcW w:w="2100" w:type="dxa"/>
            <w:vAlign w:val="center"/>
          </w:tcPr>
          <w:p>
            <w:pPr>
              <w:spacing w:line="540" w:lineRule="exact"/>
              <w:jc w:val="center"/>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jc w:val="center"/>
        </w:trPr>
        <w:tc>
          <w:tcPr>
            <w:tcW w:w="1729" w:type="dxa"/>
            <w:vAlign w:val="center"/>
          </w:tcPr>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项目名称</w:t>
            </w:r>
          </w:p>
        </w:tc>
        <w:tc>
          <w:tcPr>
            <w:tcW w:w="2877" w:type="dxa"/>
            <w:vAlign w:val="center"/>
          </w:tcPr>
          <w:p>
            <w:pPr>
              <w:spacing w:line="540" w:lineRule="exact"/>
              <w:jc w:val="center"/>
              <w:rPr>
                <w:rFonts w:hint="eastAsia" w:ascii="黑体" w:hAnsi="黑体" w:eastAsia="黑体" w:cs="黑体"/>
                <w:b w:val="0"/>
                <w:bCs w:val="0"/>
                <w:sz w:val="32"/>
                <w:szCs w:val="32"/>
              </w:rPr>
            </w:pPr>
          </w:p>
        </w:tc>
        <w:tc>
          <w:tcPr>
            <w:tcW w:w="2138" w:type="dxa"/>
            <w:vAlign w:val="center"/>
          </w:tcPr>
          <w:p>
            <w:pPr>
              <w:spacing w:line="540" w:lineRule="exact"/>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项目用地亩数</w:t>
            </w:r>
          </w:p>
        </w:tc>
        <w:tc>
          <w:tcPr>
            <w:tcW w:w="2100" w:type="dxa"/>
            <w:vAlign w:val="center"/>
          </w:tcPr>
          <w:p>
            <w:pPr>
              <w:spacing w:line="540" w:lineRule="exact"/>
              <w:jc w:val="center"/>
              <w:rPr>
                <w:rFonts w:hint="eastAsia" w:ascii="黑体" w:hAnsi="黑体" w:eastAsia="黑体" w:cs="黑体"/>
                <w:b w:val="0"/>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0" w:hRule="atLeast"/>
          <w:jc w:val="center"/>
        </w:trPr>
        <w:tc>
          <w:tcPr>
            <w:tcW w:w="8844" w:type="dxa"/>
            <w:gridSpan w:val="4"/>
            <w:shd w:val="clear" w:color="auto" w:fill="E7E6E6" w:themeFill="background2"/>
            <w:vAlign w:val="center"/>
          </w:tcPr>
          <w:p>
            <w:pPr>
              <w:spacing w:line="540" w:lineRule="exact"/>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实施项目基本情况（规模、主要工艺流程）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5" w:hRule="atLeast"/>
          <w:jc w:val="center"/>
        </w:trPr>
        <w:tc>
          <w:tcPr>
            <w:tcW w:w="8844" w:type="dxa"/>
            <w:gridSpan w:val="4"/>
            <w:shd w:val="clear" w:color="auto" w:fill="auto"/>
            <w:vAlign w:val="center"/>
          </w:tcPr>
          <w:p>
            <w:pPr>
              <w:spacing w:line="540" w:lineRule="exact"/>
              <w:rPr>
                <w:rFonts w:hint="eastAsia"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jc w:val="center"/>
        </w:trPr>
        <w:tc>
          <w:tcPr>
            <w:tcW w:w="8844" w:type="dxa"/>
            <w:gridSpan w:val="4"/>
            <w:shd w:val="clear" w:color="auto" w:fill="E7E6E6" w:themeFill="background2"/>
            <w:vAlign w:val="center"/>
          </w:tcPr>
          <w:p>
            <w:pPr>
              <w:spacing w:line="540" w:lineRule="exact"/>
              <w:jc w:val="center"/>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项目认定情况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0" w:hRule="atLeast"/>
          <w:jc w:val="center"/>
        </w:trPr>
        <w:tc>
          <w:tcPr>
            <w:tcW w:w="8844" w:type="dxa"/>
            <w:gridSpan w:val="4"/>
            <w:vAlign w:val="center"/>
          </w:tcPr>
          <w:p>
            <w:pPr>
              <w:spacing w:line="540" w:lineRule="exact"/>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sz w:val="32"/>
                <w:szCs w:val="32"/>
              </w:rPr>
            </w:pPr>
          </w:p>
          <w:p>
            <w:pPr>
              <w:wordWrap w:val="0"/>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wordWrap w:val="0"/>
              <w:spacing w:line="54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pPr>
        <w:spacing w:line="540" w:lineRule="exact"/>
        <w:rPr>
          <w:rFonts w:hint="eastAsia" w:ascii="仿宋_GB2312" w:hAnsi="仿宋_GB2312" w:eastAsia="仿宋_GB2312" w:cs="仿宋_GB2312"/>
          <w:sz w:val="32"/>
          <w:szCs w:val="32"/>
        </w:rPr>
      </w:pPr>
    </w:p>
    <w:p>
      <w:pPr>
        <w:spacing w:line="54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p>
      <w:pPr>
        <w:spacing w:line="540" w:lineRule="exact"/>
        <w:rPr>
          <w:rFonts w:hint="eastAsia" w:ascii="黑体" w:hAnsi="黑体" w:eastAsia="黑体" w:cs="黑体"/>
          <w:sz w:val="32"/>
          <w:szCs w:val="32"/>
          <w:lang w:val="en-US" w:eastAsia="zh-CN"/>
        </w:rPr>
      </w:pP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复核</w:t>
      </w:r>
      <w:r>
        <w:rPr>
          <w:rFonts w:hint="eastAsia" w:ascii="方正小标宋简体" w:hAnsi="方正小标宋简体" w:eastAsia="方正小标宋简体" w:cs="方正小标宋简体"/>
          <w:sz w:val="44"/>
          <w:szCs w:val="44"/>
        </w:rPr>
        <w:t>验收所需资料清单</w:t>
      </w:r>
    </w:p>
    <w:p>
      <w:pPr>
        <w:spacing w:line="540" w:lineRule="exact"/>
        <w:ind w:firstLine="632" w:firstLineChars="200"/>
        <w:rPr>
          <w:rFonts w:hint="eastAsia" w:ascii="仿宋_GB2312" w:hAnsi="仿宋_GB2312" w:eastAsia="仿宋_GB2312" w:cs="仿宋_GB2312"/>
          <w:sz w:val="32"/>
          <w:szCs w:val="32"/>
        </w:rPr>
      </w:pP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1.复核验收申请报告；</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2.经批准的项目总平面布置图；</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项目竣工验收意见书</w:t>
      </w:r>
      <w:r>
        <w:rPr>
          <w:rFonts w:hint="eastAsia" w:ascii="仿宋_GB2312" w:hAnsi="仿宋_GB2312" w:eastAsia="仿宋_GB2312" w:cs="仿宋_GB2312"/>
          <w:sz w:val="32"/>
          <w:szCs w:val="32"/>
        </w:rPr>
        <w:t>；</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投资协议书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及《“标准地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投资建设协议》；</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.《国有土地使用权出让合同》（含补充条款）；</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.项目立项或备案文件；</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.土地出让金缴款及收据复印件；</w:t>
      </w:r>
    </w:p>
    <w:p>
      <w:pPr>
        <w:spacing w:line="540" w:lineRule="exact"/>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宁波前湾新区项目达产复核验收</w:t>
      </w:r>
      <w:r>
        <w:rPr>
          <w:rFonts w:hint="eastAsia" w:ascii="仿宋_GB2312" w:hAnsi="仿宋_GB2312" w:eastAsia="仿宋_GB2312" w:cs="仿宋_GB2312"/>
          <w:sz w:val="32"/>
          <w:szCs w:val="32"/>
          <w:lang w:val="en-US" w:eastAsia="zh-CN"/>
        </w:rPr>
        <w:t>指标申报表；</w:t>
      </w:r>
    </w:p>
    <w:p>
      <w:pPr>
        <w:spacing w:line="54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企业年度审计报告（母子公司合并申报的需提供合并报告）、所得税纳税申报表、完税证明；</w:t>
      </w:r>
    </w:p>
    <w:p>
      <w:pPr>
        <w:spacing w:line="54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10.固定资产投资专项审计报告；</w:t>
      </w:r>
    </w:p>
    <w:p>
      <w:pPr>
        <w:spacing w:line="54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.企业完成建设项目竣工环境保护验收，并上传验收材料至全国建设项目竣工环境保护验收信息系统。</w:t>
      </w:r>
    </w:p>
    <w:p>
      <w:pPr>
        <w:spacing w:line="540" w:lineRule="exact"/>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12.企业营业执照复印件；</w:t>
      </w:r>
    </w:p>
    <w:p>
      <w:pPr>
        <w:spacing w:line="540" w:lineRule="exact"/>
        <w:ind w:firstLine="632" w:firstLineChars="200"/>
        <w:rPr>
          <w:rFonts w:hint="eastAsia" w:ascii="仿宋_GB2312" w:hAnsi="仿宋_GB2312" w:eastAsia="仿宋_GB2312" w:cs="仿宋_GB2312"/>
          <w:sz w:val="32"/>
          <w:szCs w:val="32"/>
          <w:lang w:val="en-US" w:eastAsia="zh-CN"/>
        </w:rPr>
      </w:pPr>
      <w:bookmarkStart w:id="32" w:name="OLE_LINK7"/>
      <w:r>
        <w:rPr>
          <w:rFonts w:hint="eastAsia" w:ascii="仿宋_GB2312" w:hAnsi="仿宋_GB2312" w:eastAsia="仿宋_GB2312" w:cs="仿宋_GB2312"/>
          <w:sz w:val="32"/>
          <w:szCs w:val="32"/>
          <w:lang w:val="en-US" w:eastAsia="zh-CN"/>
        </w:rPr>
        <w:t>13.法人身份证</w:t>
      </w:r>
      <w:bookmarkStart w:id="33" w:name="OLE_LINK11"/>
      <w:r>
        <w:rPr>
          <w:rFonts w:hint="eastAsia" w:ascii="仿宋_GB2312" w:hAnsi="仿宋_GB2312" w:eastAsia="仿宋_GB2312" w:cs="仿宋_GB2312"/>
          <w:sz w:val="32"/>
          <w:szCs w:val="32"/>
          <w:lang w:val="en-US" w:eastAsia="zh-CN"/>
        </w:rPr>
        <w:t>复印件</w:t>
      </w:r>
      <w:bookmarkEnd w:id="33"/>
      <w:r>
        <w:rPr>
          <w:rFonts w:hint="eastAsia" w:ascii="仿宋_GB2312" w:hAnsi="仿宋_GB2312" w:eastAsia="仿宋_GB2312" w:cs="仿宋_GB2312"/>
          <w:sz w:val="32"/>
          <w:szCs w:val="32"/>
          <w:lang w:val="en-US" w:eastAsia="zh-CN"/>
        </w:rPr>
        <w:t>；</w:t>
      </w:r>
    </w:p>
    <w:p>
      <w:pPr>
        <w:spacing w:line="540" w:lineRule="exact"/>
        <w:ind w:firstLine="63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14.不动产证复印件。</w:t>
      </w:r>
    </w:p>
    <w:p>
      <w:pPr>
        <w:spacing w:line="540" w:lineRule="exact"/>
        <w:ind w:firstLine="632" w:firstLineChars="200"/>
        <w:rPr>
          <w:rFonts w:hint="eastAsia" w:ascii="仿宋_GB2312" w:hAnsi="仿宋_GB2312" w:eastAsia="仿宋_GB2312" w:cs="仿宋_GB2312"/>
          <w:sz w:val="32"/>
          <w:szCs w:val="32"/>
          <w:lang w:val="en-US" w:eastAsia="zh-CN"/>
        </w:rPr>
      </w:pPr>
    </w:p>
    <w:bookmarkEnd w:id="32"/>
    <w:p/>
    <w:sectPr>
      <w:footerReference r:id="rId3" w:type="default"/>
      <w:footerReference r:id="rId4" w:type="even"/>
      <w:pgSz w:w="11906" w:h="16838"/>
      <w:pgMar w:top="2098" w:right="1474" w:bottom="1984" w:left="1587" w:header="851" w:footer="1417" w:gutter="0"/>
      <w:pgBorders>
        <w:top w:val="none" w:sz="0" w:space="0"/>
        <w:left w:val="none" w:sz="0" w:space="0"/>
        <w:bottom w:val="none" w:sz="0" w:space="0"/>
        <w:right w:val="none" w:sz="0" w:space="0"/>
      </w:pgBorders>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3"/>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9E58"/>
    <w:multiLevelType w:val="singleLevel"/>
    <w:tmpl w:val="0ED59E5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B77E9"/>
    <w:rsid w:val="037E4FBC"/>
    <w:rsid w:val="060C010B"/>
    <w:rsid w:val="0C220536"/>
    <w:rsid w:val="0C5864FB"/>
    <w:rsid w:val="0CF93F2E"/>
    <w:rsid w:val="0E32577E"/>
    <w:rsid w:val="11DD1A47"/>
    <w:rsid w:val="121C7372"/>
    <w:rsid w:val="149503D7"/>
    <w:rsid w:val="1510670D"/>
    <w:rsid w:val="18A60DE5"/>
    <w:rsid w:val="1A4049F6"/>
    <w:rsid w:val="1A7D6C21"/>
    <w:rsid w:val="1B154000"/>
    <w:rsid w:val="1B9211AC"/>
    <w:rsid w:val="1CB27546"/>
    <w:rsid w:val="1CFE0B9B"/>
    <w:rsid w:val="1F176598"/>
    <w:rsid w:val="1F3E1D77"/>
    <w:rsid w:val="20073D92"/>
    <w:rsid w:val="218D7ECB"/>
    <w:rsid w:val="21CB37F3"/>
    <w:rsid w:val="281F449F"/>
    <w:rsid w:val="285F4B0C"/>
    <w:rsid w:val="29121B7F"/>
    <w:rsid w:val="2E2959A0"/>
    <w:rsid w:val="30685947"/>
    <w:rsid w:val="30D46F66"/>
    <w:rsid w:val="31091AB9"/>
    <w:rsid w:val="330345D8"/>
    <w:rsid w:val="340A1DD0"/>
    <w:rsid w:val="355359F9"/>
    <w:rsid w:val="396A2CD7"/>
    <w:rsid w:val="3B2E0A9A"/>
    <w:rsid w:val="3C502C92"/>
    <w:rsid w:val="3CB11501"/>
    <w:rsid w:val="3CF65B9A"/>
    <w:rsid w:val="3D923A7F"/>
    <w:rsid w:val="3D9A2132"/>
    <w:rsid w:val="3DEE59AB"/>
    <w:rsid w:val="3EEA2C23"/>
    <w:rsid w:val="3EEC4EF4"/>
    <w:rsid w:val="407A645D"/>
    <w:rsid w:val="43E40A5D"/>
    <w:rsid w:val="45932BE4"/>
    <w:rsid w:val="47F311B5"/>
    <w:rsid w:val="48FE4513"/>
    <w:rsid w:val="49DC5B65"/>
    <w:rsid w:val="4B822AEF"/>
    <w:rsid w:val="4C6C3331"/>
    <w:rsid w:val="4DC14CC1"/>
    <w:rsid w:val="4F2B77E9"/>
    <w:rsid w:val="51FC6DA4"/>
    <w:rsid w:val="527B0E40"/>
    <w:rsid w:val="52BB0A0D"/>
    <w:rsid w:val="5362532D"/>
    <w:rsid w:val="54084503"/>
    <w:rsid w:val="551E34D6"/>
    <w:rsid w:val="56254B21"/>
    <w:rsid w:val="56DD28E7"/>
    <w:rsid w:val="5795270C"/>
    <w:rsid w:val="5E8D1A37"/>
    <w:rsid w:val="5F4F08D6"/>
    <w:rsid w:val="5FCE6B43"/>
    <w:rsid w:val="63F07632"/>
    <w:rsid w:val="656F0BAF"/>
    <w:rsid w:val="66051477"/>
    <w:rsid w:val="66B04371"/>
    <w:rsid w:val="68944F42"/>
    <w:rsid w:val="6AA63C79"/>
    <w:rsid w:val="6B964EC8"/>
    <w:rsid w:val="6BA363DC"/>
    <w:rsid w:val="6E1D2124"/>
    <w:rsid w:val="6E546DE9"/>
    <w:rsid w:val="6F152DFC"/>
    <w:rsid w:val="70AB2633"/>
    <w:rsid w:val="716D5171"/>
    <w:rsid w:val="72FD7389"/>
    <w:rsid w:val="78E25BBD"/>
    <w:rsid w:val="79FFE866"/>
    <w:rsid w:val="7ABC4E41"/>
    <w:rsid w:val="7BE97AEA"/>
    <w:rsid w:val="7D1D1997"/>
    <w:rsid w:val="7DC07F95"/>
    <w:rsid w:val="7F4341D2"/>
    <w:rsid w:val="BB68718C"/>
    <w:rsid w:val="FEE35E5C"/>
    <w:rsid w:val="FFBF05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4034</Words>
  <Characters>4204</Characters>
  <Lines>0</Lines>
  <Paragraphs>0</Paragraphs>
  <TotalTime>39</TotalTime>
  <ScaleCrop>false</ScaleCrop>
  <LinksUpToDate>false</LinksUpToDate>
  <CharactersWithSpaces>4499</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2025-03-07T22:07:00Z</dcterms:created>
  <dc:creator>Administrator</dc:creator>
  <cp:lastModifiedBy>kylin</cp:lastModifiedBy>
  <cp:lastPrinted>2025-05-28T10:13:00Z</cp:lastPrinted>
  <dcterms:modified xsi:type="dcterms:W3CDTF">2025-05-28T16:04:28Z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eyJoZGlkIjoiODNkOWYwMDlkMjcxYmM2MjVmOGVjMDk4Mjg1ZTAyMmMiLCJ1c2VySWQiOiIxMTIwNTI0NzcxIn0=</vt:lpwstr>
  </property>
  <property fmtid="{D5CDD505-2E9C-101B-9397-08002B2CF9AE}" pid="4" name="ICV">
    <vt:lpwstr>A825458A1D84478CA570F7604845F9D1_12</vt:lpwstr>
  </property>
</Properties>
</file>