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《推动商贸业高质量发展若干意见》</w:t>
      </w: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仿宋_GB2312" w:cs="仿宋_GB2312"/>
          <w:sz w:val="32"/>
          <w:szCs w:val="32"/>
        </w:rPr>
      </w:pPr>
      <w:r>
        <w:rPr>
          <w:rFonts w:hint="eastAsia" w:ascii="方正小标宋简体" w:hAnsi="方正小标宋简体" w:eastAsia="方正小标宋简体" w:cs="方正小标宋简体"/>
          <w:b w:val="0"/>
          <w:bCs w:val="0"/>
          <w:sz w:val="44"/>
          <w:szCs w:val="44"/>
          <w:lang w:val="en-US" w:eastAsia="zh-CN"/>
        </w:rPr>
        <w:t>起草说明</w:t>
      </w:r>
    </w:p>
    <w:p>
      <w:pPr>
        <w:keepNext w:val="0"/>
        <w:keepLines w:val="0"/>
        <w:pageBreakBefore w:val="0"/>
        <w:kinsoku/>
        <w:wordWrap/>
        <w:overflowPunct/>
        <w:topLinePunct w:val="0"/>
        <w:autoSpaceDE/>
        <w:autoSpaceDN/>
        <w:bidi w:val="0"/>
        <w:adjustRightInd/>
        <w:spacing w:line="560" w:lineRule="exact"/>
        <w:ind w:firstLine="672" w:firstLineChars="200"/>
        <w:textAlignment w:val="auto"/>
        <w:rPr>
          <w:rFonts w:hint="eastAsia" w:ascii="仿宋_GB2312" w:hAnsi="仿宋_GB2312" w:eastAsia="仿宋_GB2312" w:cs="仿宋_GB2312"/>
          <w:spacing w:val="8"/>
          <w:sz w:val="32"/>
          <w:szCs w:val="32"/>
          <w:highlight w:val="none"/>
        </w:rPr>
      </w:pPr>
    </w:p>
    <w:p>
      <w:pPr>
        <w:keepNext w:val="0"/>
        <w:keepLines w:val="0"/>
        <w:pageBreakBefore w:val="0"/>
        <w:kinsoku/>
        <w:wordWrap/>
        <w:overflowPunct/>
        <w:topLinePunct w:val="0"/>
        <w:autoSpaceDE/>
        <w:autoSpaceDN/>
        <w:bidi w:val="0"/>
        <w:adjustRightInd/>
        <w:spacing w:line="560" w:lineRule="exact"/>
        <w:ind w:firstLine="672"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pacing w:val="8"/>
          <w:sz w:val="32"/>
          <w:szCs w:val="32"/>
          <w:highlight w:val="none"/>
        </w:rPr>
        <w:t>为</w:t>
      </w:r>
      <w:r>
        <w:rPr>
          <w:rFonts w:hint="eastAsia" w:ascii="仿宋_GB2312" w:hAnsi="仿宋_GB2312" w:eastAsia="仿宋_GB2312" w:cs="仿宋_GB2312"/>
          <w:spacing w:val="8"/>
          <w:sz w:val="32"/>
          <w:szCs w:val="32"/>
          <w:highlight w:val="none"/>
          <w:lang w:eastAsia="zh-CN"/>
        </w:rPr>
        <w:t>进一步完善现代商贸流通体系和扩大消费长效机制</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spacing w:val="8"/>
          <w:sz w:val="32"/>
          <w:szCs w:val="32"/>
          <w:highlight w:val="none"/>
          <w:lang w:eastAsia="zh-CN"/>
        </w:rPr>
        <w:t>构建我县商贸业高质量发展新格局</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w:t>
      </w:r>
      <w:r>
        <w:rPr>
          <w:rFonts w:hint="eastAsia" w:ascii="仿宋_GB2312" w:hAnsi="仿宋_GB2312" w:eastAsia="仿宋_GB2312" w:cs="仿宋_GB2312"/>
          <w:sz w:val="32"/>
          <w:szCs w:val="32"/>
          <w:lang w:val="en-US" w:eastAsia="zh-CN"/>
        </w:rPr>
        <w:t>特制定</w:t>
      </w:r>
      <w:r>
        <w:rPr>
          <w:rFonts w:hint="eastAsia" w:ascii="仿宋_GB2312" w:hAnsi="仿宋_GB2312" w:eastAsia="仿宋_GB2312" w:cs="仿宋_GB2312"/>
          <w:sz w:val="32"/>
          <w:szCs w:val="32"/>
        </w:rPr>
        <w:t>《</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推动商贸业</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高质量发展</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若干</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意见（征求意见稿）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，现就本政策制定起草情况说明如下</w:t>
      </w:r>
      <w:r>
        <w:rPr>
          <w:rFonts w:ascii="Times New Roman" w:hAnsi="Times New Roman" w:eastAsia="仿宋_GB2312" w:cs="Times New Roman"/>
          <w:sz w:val="32"/>
          <w:szCs w:val="32"/>
        </w:rPr>
        <w:t>：</w:t>
      </w: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政策依据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rPr>
        <w:t>《金华市商务局 金华市财政局关于印发金华市推动商贸流通业提质扩容若干意见的通知》（</w:t>
      </w:r>
      <w:r>
        <w:rPr>
          <w:rFonts w:hint="eastAsia" w:ascii="仿宋_GB2312" w:hAnsi="仿宋_GB2312" w:eastAsia="仿宋_GB2312" w:cs="仿宋_GB2312"/>
          <w:sz w:val="32"/>
          <w:szCs w:val="32"/>
          <w:lang w:eastAsia="zh-CN"/>
        </w:rPr>
        <w:t>金商务</w:t>
      </w:r>
      <w:r>
        <w:rPr>
          <w:rFonts w:hint="default" w:ascii="Times New Roman" w:hAnsi="Times New Roman" w:eastAsia="仿宋_GB2312" w:cs="Times New Roman"/>
          <w:sz w:val="32"/>
          <w:szCs w:val="32"/>
        </w:rPr>
        <w:t>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武义县人民政府办公室关于印发武义县推进服务业高质量发展若干意见的通知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武政办</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号）</w:t>
      </w: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起草</w:t>
      </w:r>
      <w:r>
        <w:rPr>
          <w:rFonts w:hint="eastAsia" w:ascii="Times New Roman" w:hAnsi="黑体" w:eastAsia="黑体" w:cs="Times New Roman"/>
          <w:sz w:val="32"/>
          <w:szCs w:val="32"/>
          <w:lang w:eastAsia="zh-CN"/>
        </w:rPr>
        <w:t>背景与</w:t>
      </w:r>
      <w:r>
        <w:rPr>
          <w:rFonts w:ascii="Times New Roman" w:hAnsi="黑体" w:eastAsia="黑体" w:cs="Times New Roman"/>
          <w:sz w:val="32"/>
          <w:szCs w:val="32"/>
        </w:rPr>
        <w:t>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为进一步加大商贸企业奖励扶持力度，推进我县商贸业高质量发展，结合市级、兄弟县市相关政策及县服务业</w:t>
      </w:r>
      <w:bookmarkStart w:id="1" w:name="_GoBack"/>
      <w:bookmarkEnd w:id="1"/>
      <w:r>
        <w:rPr>
          <w:rFonts w:hint="eastAsia" w:ascii="仿宋_GB2312" w:hAnsi="仿宋_GB2312" w:eastAsia="仿宋_GB2312" w:cs="仿宋_GB2312"/>
          <w:sz w:val="32"/>
          <w:szCs w:val="32"/>
          <w:lang w:eastAsia="zh-CN"/>
        </w:rPr>
        <w:t>政策，起草形成《</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推动商贸业</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高质量发展</w:t>
      </w:r>
      <w:r>
        <w:rPr>
          <w:rFonts w:hint="eastAsia" w:ascii="Times New Roman" w:hAnsi="Times New Roman" w:eastAsia="仿宋_GB2312" w:cs="Times New Roman"/>
          <w:i w:val="0"/>
          <w:caps w:val="0"/>
          <w:color w:val="auto"/>
          <w:spacing w:val="0"/>
          <w:kern w:val="2"/>
          <w:sz w:val="32"/>
          <w:szCs w:val="32"/>
          <w:highlight w:val="none"/>
          <w:shd w:val="clear" w:color="auto" w:fill="auto"/>
          <w:lang w:val="en-US" w:eastAsia="zh-CN" w:bidi="ar-SA"/>
        </w:rPr>
        <w:t>若干</w:t>
      </w:r>
      <w:r>
        <w:rPr>
          <w:rFonts w:hint="default" w:ascii="Times New Roman" w:hAnsi="Times New Roman" w:eastAsia="仿宋_GB2312" w:cs="Times New Roman"/>
          <w:i w:val="0"/>
          <w:caps w:val="0"/>
          <w:color w:val="auto"/>
          <w:spacing w:val="0"/>
          <w:kern w:val="2"/>
          <w:sz w:val="32"/>
          <w:szCs w:val="32"/>
          <w:highlight w:val="none"/>
          <w:shd w:val="clear" w:color="auto" w:fill="auto"/>
          <w:lang w:val="en-US" w:eastAsia="zh-CN" w:bidi="ar-SA"/>
        </w:rPr>
        <w:t>意见</w:t>
      </w:r>
      <w:r>
        <w:rPr>
          <w:rFonts w:hint="eastAsia" w:ascii="仿宋_GB2312" w:hAnsi="仿宋_GB2312" w:eastAsia="仿宋_GB2312" w:cs="仿宋_GB2312"/>
          <w:sz w:val="32"/>
          <w:szCs w:val="32"/>
          <w:lang w:eastAsia="zh-CN"/>
        </w:rPr>
        <w:t>》初稿。《意见》</w:t>
      </w:r>
      <w:r>
        <w:rPr>
          <w:rFonts w:hint="eastAsia" w:ascii="仿宋_GB2312" w:hAnsi="仿宋_GB2312" w:eastAsia="仿宋_GB2312" w:cs="仿宋_GB2312"/>
          <w:sz w:val="32"/>
          <w:szCs w:val="32"/>
        </w:rPr>
        <w:t>多次征求</w:t>
      </w:r>
      <w:r>
        <w:rPr>
          <w:rFonts w:hint="eastAsia" w:ascii="仿宋_GB2312" w:hAnsi="仿宋_GB2312" w:eastAsia="仿宋_GB2312" w:cs="仿宋_GB2312"/>
          <w:sz w:val="32"/>
          <w:szCs w:val="32"/>
          <w:lang w:eastAsia="zh-CN"/>
        </w:rPr>
        <w:t>发改局、</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壶山街道</w:t>
      </w:r>
      <w:r>
        <w:rPr>
          <w:rFonts w:hint="eastAsia" w:ascii="仿宋_GB2312" w:hAnsi="仿宋_GB2312" w:eastAsia="仿宋_GB2312" w:cs="仿宋_GB2312"/>
          <w:sz w:val="32"/>
          <w:szCs w:val="32"/>
        </w:rPr>
        <w:t>等单位意见</w:t>
      </w:r>
      <w:r>
        <w:rPr>
          <w:rFonts w:hint="eastAsia" w:ascii="仿宋_GB2312" w:hAnsi="仿宋_GB2312" w:eastAsia="仿宋_GB2312" w:cs="仿宋_GB2312"/>
          <w:sz w:val="32"/>
          <w:szCs w:val="32"/>
          <w:lang w:eastAsia="zh-CN"/>
        </w:rPr>
        <w:t>及相关企业代表意见</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向现主要领导、分管领导进行专题汇报</w:t>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Times New Roman"/>
          <w:sz w:val="32"/>
          <w:szCs w:val="32"/>
        </w:rPr>
      </w:pPr>
      <w:r>
        <w:rPr>
          <w:rFonts w:hint="eastAsia" w:ascii="黑体" w:hAnsi="黑体" w:eastAsia="黑体" w:cs="Times New Roman"/>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本意见主要包括</w:t>
      </w:r>
      <w:r>
        <w:rPr>
          <w:rFonts w:hint="eastAsia" w:ascii="Times New Roman" w:hAnsi="Times New Roman" w:eastAsia="仿宋_GB2312" w:cs="Times New Roman"/>
          <w:color w:val="auto"/>
          <w:sz w:val="32"/>
          <w:szCs w:val="32"/>
          <w:u w:val="none"/>
          <w:lang w:val="en-US" w:eastAsia="zh-CN"/>
        </w:rPr>
        <w:t>鼓励商贸企业升限纳统、</w:t>
      </w:r>
      <w:bookmarkStart w:id="0" w:name="OLE_LINK5"/>
      <w:r>
        <w:rPr>
          <w:rFonts w:hint="eastAsia" w:ascii="Times New Roman" w:hAnsi="Times New Roman" w:eastAsia="仿宋_GB2312" w:cs="Times New Roman"/>
          <w:color w:val="auto"/>
          <w:sz w:val="32"/>
          <w:szCs w:val="32"/>
          <w:u w:val="none"/>
          <w:lang w:val="en-US" w:eastAsia="zh-CN"/>
        </w:rPr>
        <w:t>鼓励</w:t>
      </w:r>
      <w:bookmarkEnd w:id="0"/>
      <w:r>
        <w:rPr>
          <w:rFonts w:hint="eastAsia" w:ascii="Times New Roman" w:hAnsi="Times New Roman" w:eastAsia="仿宋_GB2312" w:cs="Times New Roman"/>
          <w:color w:val="auto"/>
          <w:sz w:val="32"/>
          <w:szCs w:val="32"/>
          <w:u w:val="none"/>
          <w:lang w:val="en-US" w:eastAsia="zh-CN"/>
        </w:rPr>
        <w:t>主辅分离、培育重点企业发展、提升商业能级、发展首店经济、推进再生资源回收体系建设和商贸流通体系建设7方面内容</w:t>
      </w:r>
      <w:r>
        <w:rPr>
          <w:rFonts w:hint="eastAsia" w:ascii="Times New Roman" w:hAnsi="Times New Roman" w:eastAsia="仿宋_GB2312" w:cs="Times New Roman"/>
          <w:b w:val="0"/>
          <w:kern w:val="2"/>
          <w:sz w:val="32"/>
          <w:szCs w:val="32"/>
          <w:lang w:val="en-US" w:eastAsia="zh-CN" w:bidi="ar-SA"/>
        </w:rPr>
        <w:t>。</w:t>
      </w:r>
    </w:p>
    <w:p/>
    <w:sectPr>
      <w:footerReference r:id="rId3" w:type="default"/>
      <w:pgSz w:w="11906" w:h="16838"/>
      <w:pgMar w:top="1814"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粗黑宋简体">
    <w:panose1 w:val="02000000000000000000"/>
    <w:charset w:val="86"/>
    <w:family w:val="auto"/>
    <w:pitch w:val="default"/>
    <w:sig w:usb0="A00002BF" w:usb1="184F6CFA" w:usb2="00000012" w:usb3="00000000" w:csb0="00040001" w:csb1="0000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rowallia New">
    <w:panose1 w:val="020B0604020202020204"/>
    <w:charset w:val="00"/>
    <w:family w:val="auto"/>
    <w:pitch w:val="default"/>
    <w:sig w:usb0="81000003" w:usb1="00000000" w:usb2="00000000" w:usb3="00000000" w:csb0="00010001" w:csb1="00000000"/>
  </w:font>
  <w:font w:name="Cambria">
    <w:panose1 w:val="02040503050406030204"/>
    <w:charset w:val="00"/>
    <w:family w:val="auto"/>
    <w:pitch w:val="default"/>
    <w:sig w:usb0="E00002FF" w:usb1="400004FF" w:usb2="00000000" w:usb3="00000000" w:csb0="2000019F" w:csb1="00000000"/>
  </w:font>
  <w:font w:name="Cordia New">
    <w:panose1 w:val="020B0304020202020204"/>
    <w:charset w:val="00"/>
    <w:family w:val="auto"/>
    <w:pitch w:val="default"/>
    <w:sig w:usb0="81000003" w:usb1="00000000" w:usb2="00000000" w:usb3="00000000" w:csb0="00010001" w:csb1="00000000"/>
  </w:font>
  <w:font w:name="DejaVu Math TeX Gyre">
    <w:panose1 w:val="02000503000000000000"/>
    <w:charset w:val="00"/>
    <w:family w:val="auto"/>
    <w:pitch w:val="default"/>
    <w:sig w:usb0="A10000EF" w:usb1="4201F9EE" w:usb2="02000000" w:usb3="00000000" w:csb0="60000193" w:csb1="0DD40000"/>
  </w:font>
  <w:font w:name="DokChampa">
    <w:panose1 w:val="020B0604020202020204"/>
    <w:charset w:val="00"/>
    <w:family w:val="auto"/>
    <w:pitch w:val="default"/>
    <w:sig w:usb0="03000003" w:usb1="00000000" w:usb2="00000000" w:usb3="00000000" w:csb0="40010001" w:csb1="00000000"/>
  </w:font>
  <w:font w:name="Impact">
    <w:panose1 w:val="020B0806030902050204"/>
    <w:charset w:val="00"/>
    <w:family w:val="auto"/>
    <w:pitch w:val="default"/>
    <w:sig w:usb0="00000287"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Microsoft Himalaya">
    <w:panose1 w:val="01010100010101010101"/>
    <w:charset w:val="00"/>
    <w:family w:val="auto"/>
    <w:pitch w:val="default"/>
    <w:sig w:usb0="80000003" w:usb1="00010000" w:usb2="00000040" w:usb3="00000000" w:csb0="00000001" w:csb1="00000000"/>
  </w:font>
  <w:font w:name="Microsoft Tai Le">
    <w:panose1 w:val="020B0502040204020203"/>
    <w:charset w:val="00"/>
    <w:family w:val="auto"/>
    <w:pitch w:val="default"/>
    <w:sig w:usb0="00000003" w:usb1="00000000" w:usb2="4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Shruti">
    <w:panose1 w:val="020B0502040204020203"/>
    <w:charset w:val="00"/>
    <w:family w:val="auto"/>
    <w:pitch w:val="default"/>
    <w:sig w:usb0="0004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E7A23"/>
    <w:multiLevelType w:val="singleLevel"/>
    <w:tmpl w:val="CF1E7A23"/>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321D9"/>
    <w:rsid w:val="030B6598"/>
    <w:rsid w:val="40D27DE8"/>
    <w:rsid w:val="6D2321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2025-05-30T08:41:00Z</dcterms:created>
  <dc:creator>赖亚璐</dc:creator>
  <cp:lastModifiedBy>赖亚璐</cp:lastModifiedBy>
  <dcterms:modified xsi:type="dcterms:W3CDTF">2025-05-30T09:11:45Z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18B9EBDE444848D4A5A8119C1C8541D6</vt:lpwstr>
  </property>
</Properties>
</file>