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center"/>
        <w:outlineLvl w:val="9"/>
        <w:rPr>
          <w:rFonts w:hint="eastAsia" w:ascii="方正小标宋_GBK" w:hAnsi="方正小标宋_GBK" w:eastAsia="方正小标宋_GBK" w:cs="方正小标宋_GBK"/>
          <w:sz w:val="48"/>
          <w:szCs w:val="4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8"/>
          <w:szCs w:val="48"/>
          <w:lang w:val="en-US" w:eastAsia="zh-CN"/>
        </w:rPr>
        <w:t>“装修固废在线”操作手册</w:t>
      </w: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8"/>
          <w:szCs w:val="4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8"/>
          <w:szCs w:val="48"/>
          <w:lang w:val="en-US" w:eastAsia="zh-CN"/>
        </w:rPr>
        <w:t>（处置场所）</w:t>
      </w:r>
    </w:p>
    <w:p>
      <w:pPr>
        <w:bidi w:val="0"/>
        <w:jc w:val="both"/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3</w:t>
      </w:r>
      <w:r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7</w:t>
      </w:r>
      <w:r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  <w:t>月</w:t>
      </w:r>
    </w:p>
    <w:p>
      <w:pPr>
        <w:bidi w:val="0"/>
        <w:jc w:val="center"/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8"/>
          <w:szCs w:val="48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b/>
          <w:bCs/>
          <w:kern w:val="2"/>
          <w:sz w:val="21"/>
          <w:szCs w:val="24"/>
          <w:lang w:val="en-US" w:eastAsia="zh-CN" w:bidi="ar-SA"/>
        </w:rPr>
        <w:id w:val="147478960"/>
        <w15:color w:val="DBDBDB"/>
        <w:docPartObj>
          <w:docPartGallery w:val="Table of Contents"/>
          <w:docPartUnique/>
        </w:docPartObj>
      </w:sdtPr>
      <w:sdtEndPr>
        <w:rPr>
          <w:rFonts w:hint="default" w:ascii="方正小标宋简体" w:hAnsi="方正小标宋简体" w:eastAsia="方正小标宋简体" w:cs="方正小标宋简体"/>
          <w:b/>
          <w:bCs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6"/>
              <w:szCs w:val="44"/>
            </w:rPr>
          </w:pPr>
          <w:r>
            <w:rPr>
              <w:rFonts w:ascii="宋体" w:hAnsi="宋体" w:eastAsia="宋体"/>
              <w:b/>
              <w:bCs/>
              <w:sz w:val="36"/>
              <w:szCs w:val="44"/>
            </w:rPr>
            <w:t>目</w:t>
          </w:r>
          <w:r>
            <w:rPr>
              <w:rFonts w:hint="eastAsia" w:ascii="宋体" w:hAnsi="宋体" w:eastAsia="宋体"/>
              <w:b/>
              <w:bCs/>
              <w:sz w:val="36"/>
              <w:szCs w:val="44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36"/>
              <w:szCs w:val="44"/>
            </w:rPr>
            <w:t>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instrText xml:space="preserve">TOC \o "1-2" \h \u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_Toc31539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第一章 引言</w:t>
          </w:r>
          <w:r>
            <w:tab/>
          </w:r>
          <w:r>
            <w:fldChar w:fldCharType="begin"/>
          </w:r>
          <w:r>
            <w:instrText xml:space="preserve"> PAGEREF _Toc31539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_Toc15370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1</w:t>
          </w:r>
          <w:r>
            <w:rPr>
              <w:rFonts w:hint="eastAsia" w:ascii="黑体" w:hAnsi="黑体" w:eastAsia="黑体" w:cs="黑体"/>
              <w:bCs/>
              <w:szCs w:val="36"/>
              <w:lang w:val="en-US" w:eastAsia="zh-CN"/>
            </w:rPr>
            <w:t>.1</w:t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_Toc15370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_Toc10337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1</w:t>
          </w:r>
          <w:r>
            <w:rPr>
              <w:rFonts w:hint="eastAsia" w:ascii="黑体" w:hAnsi="黑体" w:eastAsia="黑体" w:cs="黑体"/>
              <w:bCs/>
              <w:szCs w:val="36"/>
              <w:lang w:val="en-US" w:eastAsia="zh-CN"/>
            </w:rPr>
            <w:t>.</w:t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2背景</w:t>
          </w:r>
          <w:r>
            <w:tab/>
          </w:r>
          <w:r>
            <w:fldChar w:fldCharType="begin"/>
          </w:r>
          <w:r>
            <w:instrText xml:space="preserve"> PAGEREF _Toc10337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_Toc10104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1</w:t>
          </w:r>
          <w:r>
            <w:rPr>
              <w:rFonts w:hint="eastAsia" w:ascii="黑体" w:hAnsi="黑体" w:eastAsia="黑体" w:cs="黑体"/>
              <w:bCs/>
              <w:szCs w:val="36"/>
              <w:lang w:val="en-US" w:eastAsia="zh-CN"/>
            </w:rPr>
            <w:t>.</w:t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3参考资料</w:t>
          </w:r>
          <w:r>
            <w:tab/>
          </w:r>
          <w:r>
            <w:fldChar w:fldCharType="begin"/>
          </w:r>
          <w:r>
            <w:instrText xml:space="preserve"> PAGEREF _Toc10104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_Toc11218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第二章 运行环境</w:t>
          </w:r>
          <w:r>
            <w:tab/>
          </w:r>
          <w:r>
            <w:fldChar w:fldCharType="begin"/>
          </w:r>
          <w:r>
            <w:instrText xml:space="preserve"> PAGEREF _Toc11218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_Toc28694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2</w:t>
          </w:r>
          <w:r>
            <w:rPr>
              <w:rFonts w:hint="eastAsia" w:ascii="黑体" w:hAnsi="黑体" w:eastAsia="黑体" w:cs="黑体"/>
              <w:bCs/>
              <w:szCs w:val="36"/>
              <w:lang w:val="en-US" w:eastAsia="zh-CN"/>
            </w:rPr>
            <w:t>.1</w:t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硬件设备</w:t>
          </w:r>
          <w:r>
            <w:tab/>
          </w:r>
          <w:r>
            <w:fldChar w:fldCharType="begin"/>
          </w:r>
          <w:r>
            <w:instrText xml:space="preserve"> PAGEREF _Toc28694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_Toc27848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2</w:t>
          </w:r>
          <w:r>
            <w:rPr>
              <w:rFonts w:hint="eastAsia" w:ascii="黑体" w:hAnsi="黑体" w:eastAsia="黑体" w:cs="黑体"/>
              <w:bCs/>
              <w:szCs w:val="36"/>
              <w:lang w:val="en-US" w:eastAsia="zh-CN"/>
            </w:rPr>
            <w:t>.</w:t>
          </w:r>
          <w:r>
            <w:rPr>
              <w:rFonts w:hint="eastAsia" w:ascii="黑体" w:hAnsi="黑体" w:cs="黑体"/>
              <w:bCs/>
              <w:szCs w:val="36"/>
              <w:lang w:val="en-US" w:eastAsia="zh-CN"/>
            </w:rPr>
            <w:t>2软件设备</w:t>
          </w:r>
          <w:r>
            <w:tab/>
          </w:r>
          <w:r>
            <w:fldChar w:fldCharType="begin"/>
          </w:r>
          <w:r>
            <w:instrText xml:space="preserve"> PAGEREF _Toc27848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_Toc8679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第三章 平台登录</w:t>
          </w:r>
          <w:r>
            <w:tab/>
          </w:r>
          <w:r>
            <w:fldChar w:fldCharType="begin"/>
          </w:r>
          <w:r>
            <w:instrText xml:space="preserve"> PAGEREF _Toc8679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_Toc10712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3.1 系统入口</w:t>
          </w:r>
          <w:r>
            <w:tab/>
          </w:r>
          <w:r>
            <w:fldChar w:fldCharType="begin"/>
          </w:r>
          <w:r>
            <w:instrText xml:space="preserve"> PAGEREF _Toc10712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_Toc24903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3.2 系统账号注册</w:t>
          </w:r>
          <w:r>
            <w:tab/>
          </w:r>
          <w:r>
            <w:fldChar w:fldCharType="begin"/>
          </w:r>
          <w:r>
            <w:instrText xml:space="preserve"> PAGEREF _Toc24903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_Toc15782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第四章 处置管理</w:t>
          </w:r>
          <w:r>
            <w:tab/>
          </w:r>
          <w:r>
            <w:fldChar w:fldCharType="begin"/>
          </w:r>
          <w:r>
            <w:instrText xml:space="preserve"> PAGEREF _Toc15782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_Toc3893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4.0处置管理功能一览</w:t>
          </w:r>
          <w:r>
            <w:tab/>
          </w:r>
          <w:r>
            <w:fldChar w:fldCharType="begin"/>
          </w:r>
          <w:r>
            <w:instrText xml:space="preserve"> PAGEREF _Toc3893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_Toc23154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4.1处置场所管理</w:t>
          </w:r>
          <w:r>
            <w:tab/>
          </w:r>
          <w:r>
            <w:fldChar w:fldCharType="begin"/>
          </w:r>
          <w:r>
            <w:instrText xml:space="preserve"> PAGEREF _Toc23154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_Toc7466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4.2地磅称重管理</w:t>
          </w:r>
          <w:r>
            <w:tab/>
          </w:r>
          <w:r>
            <w:fldChar w:fldCharType="begin"/>
          </w:r>
          <w:r>
            <w:instrText xml:space="preserve"> PAGEREF _Toc7466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_Toc31528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4.3 监控视频</w:t>
          </w:r>
          <w:r>
            <w:tab/>
          </w:r>
          <w:r>
            <w:fldChar w:fldCharType="begin"/>
          </w:r>
          <w:r>
            <w:instrText xml:space="preserve"> PAGEREF _Toc31528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_Toc29806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36"/>
              <w:lang w:val="en-US" w:eastAsia="zh-CN" w:bidi="ar-SA"/>
            </w:rPr>
            <w:t>第五章 电子联单</w:t>
          </w:r>
          <w:r>
            <w:tab/>
          </w:r>
          <w:r>
            <w:fldChar w:fldCharType="begin"/>
          </w:r>
          <w:r>
            <w:instrText xml:space="preserve"> PAGEREF _Toc29806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_Toc32205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5.0 电子联单功能一览</w:t>
          </w:r>
          <w:r>
            <w:tab/>
          </w:r>
          <w:r>
            <w:fldChar w:fldCharType="begin"/>
          </w:r>
          <w:r>
            <w:instrText xml:space="preserve"> PAGEREF _Toc32205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_Toc13639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5.1电子联单</w:t>
          </w:r>
          <w:r>
            <w:tab/>
          </w:r>
          <w:r>
            <w:fldChar w:fldCharType="begin"/>
          </w:r>
          <w:r>
            <w:instrText xml:space="preserve"> PAGEREF _Toc13639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_Toc14980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5.2 联单详情</w:t>
          </w:r>
          <w:r>
            <w:tab/>
          </w:r>
          <w:r>
            <w:fldChar w:fldCharType="begin"/>
          </w:r>
          <w:r>
            <w:instrText xml:space="preserve"> PAGEREF _Toc14980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_Toc29820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5.3 问题联单</w:t>
          </w:r>
          <w:r>
            <w:tab/>
          </w:r>
          <w:r>
            <w:fldChar w:fldCharType="begin"/>
          </w:r>
          <w:r>
            <w:instrText xml:space="preserve"> PAGEREF _Toc29820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_Toc17276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5.4 补录联单</w:t>
          </w:r>
          <w:r>
            <w:tab/>
          </w:r>
          <w:r>
            <w:fldChar w:fldCharType="begin"/>
          </w:r>
          <w:r>
            <w:instrText xml:space="preserve"> PAGEREF _Toc17276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_Toc4599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36"/>
              <w:lang w:val="en-US" w:eastAsia="zh-CN" w:bidi="ar-SA"/>
            </w:rPr>
            <w:t>第六章 执法监督</w:t>
          </w:r>
          <w:r>
            <w:tab/>
          </w:r>
          <w:r>
            <w:fldChar w:fldCharType="begin"/>
          </w:r>
          <w:r>
            <w:instrText xml:space="preserve"> PAGEREF _Toc4599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_Toc7554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6.0 执法监督功能一览</w:t>
          </w:r>
          <w:r>
            <w:tab/>
          </w:r>
          <w:r>
            <w:fldChar w:fldCharType="begin"/>
          </w:r>
          <w:r>
            <w:instrText xml:space="preserve"> PAGEREF _Toc7554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_Toc22938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6.1一般问题整改</w:t>
          </w:r>
          <w:r>
            <w:tab/>
          </w:r>
          <w:r>
            <w:fldChar w:fldCharType="begin"/>
          </w:r>
          <w:r>
            <w:instrText xml:space="preserve"> PAGEREF _Toc22938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_Toc32282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6.2 一般问题整改</w:t>
          </w:r>
          <w:r>
            <w:tab/>
          </w:r>
          <w:r>
            <w:fldChar w:fldCharType="begin"/>
          </w:r>
          <w:r>
            <w:instrText xml:space="preserve"> PAGEREF _Toc32282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_Toc26486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36"/>
              <w:lang w:val="en-US" w:eastAsia="zh-CN" w:bidi="ar-SA"/>
            </w:rPr>
            <w:t>第七章 浙里办（建筑垃圾—装修垃圾）</w:t>
          </w:r>
          <w:r>
            <w:tab/>
          </w:r>
          <w:r>
            <w:fldChar w:fldCharType="begin"/>
          </w:r>
          <w:r>
            <w:instrText xml:space="preserve"> PAGEREF _Toc26486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_Toc17212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7.1登录</w:t>
          </w:r>
          <w:r>
            <w:tab/>
          </w:r>
          <w:r>
            <w:fldChar w:fldCharType="begin"/>
          </w:r>
          <w:r>
            <w:instrText xml:space="preserve"> PAGEREF _Toc17212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_Toc21259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7.2 电子联单</w:t>
          </w:r>
          <w:r>
            <w:tab/>
          </w:r>
          <w:r>
            <w:fldChar w:fldCharType="begin"/>
          </w:r>
          <w:r>
            <w:instrText xml:space="preserve"> PAGEREF _Toc21259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_Toc14896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7.2 师傅帮</w:t>
          </w:r>
          <w:r>
            <w:tab/>
          </w:r>
          <w:r>
            <w:fldChar w:fldCharType="begin"/>
          </w:r>
          <w:r>
            <w:instrText xml:space="preserve"> PAGEREF _Toc14896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_Toc313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7.3 信息公示</w:t>
          </w:r>
          <w:r>
            <w:tab/>
          </w:r>
          <w:r>
            <w:fldChar w:fldCharType="begin"/>
          </w:r>
          <w:r>
            <w:instrText xml:space="preserve"> PAGEREF _Toc313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instrText xml:space="preserve"> HYPERLINK \l _Toc13857 </w:instrTex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7.4 个人中心</w:t>
          </w:r>
          <w:r>
            <w:tab/>
          </w:r>
          <w:r>
            <w:fldChar w:fldCharType="begin"/>
          </w:r>
          <w:r>
            <w:instrText xml:space="preserve"> PAGEREF _Toc13857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  <w:p>
          <w:pPr>
            <w:bidi w:val="0"/>
            <w:jc w:val="both"/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</w:pP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</w:t>
      </w:r>
      <w:bookmarkStart w:id="0" w:name="_Toc315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引言</w:t>
      </w:r>
      <w:bookmarkEnd w:id="0"/>
    </w:p>
    <w:p>
      <w:pPr>
        <w:pStyle w:val="3"/>
        <w:numPr>
          <w:ilvl w:val="0"/>
          <w:numId w:val="0"/>
        </w:numPr>
        <w:bidi w:val="0"/>
        <w:rPr>
          <w:rFonts w:hint="default" w:ascii="黑体" w:hAnsi="黑体" w:eastAsia="黑体" w:cs="黑体"/>
          <w:b w:val="0"/>
          <w:bCs/>
          <w:sz w:val="36"/>
          <w:szCs w:val="36"/>
          <w:lang w:val="en-US" w:eastAsia="zh-CN"/>
        </w:rPr>
      </w:pPr>
      <w:bookmarkStart w:id="1" w:name="_Toc15370"/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.1</w:t>
      </w:r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编写目的</w:t>
      </w:r>
      <w:bookmarkEnd w:id="1"/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本文是浙江省建筑垃圾综合监管服务系统“装修固废在线”子场景的操作手册，主要描述本应用程序的用途、运行环境以及具体的操作过程。编写的目的主要是让用户更好、更快的掌握这个应用程序。</w:t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预期读者为建筑垃圾处置场所人员。 </w:t>
      </w:r>
    </w:p>
    <w:p>
      <w:pPr>
        <w:pStyle w:val="3"/>
        <w:numPr>
          <w:ilvl w:val="0"/>
          <w:numId w:val="0"/>
        </w:numPr>
        <w:bidi w:val="0"/>
        <w:rPr>
          <w:rFonts w:hint="default" w:ascii="黑体" w:hAnsi="黑体" w:eastAsia="黑体" w:cs="黑体"/>
          <w:b w:val="0"/>
          <w:bCs/>
          <w:sz w:val="36"/>
          <w:szCs w:val="36"/>
          <w:lang w:val="en-US" w:eastAsia="zh-CN"/>
        </w:rPr>
      </w:pPr>
      <w:bookmarkStart w:id="2" w:name="_Toc10337"/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.</w:t>
      </w:r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2背景</w:t>
      </w:r>
      <w:bookmarkEnd w:id="2"/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中文全称：浙江省建筑垃圾综合监管服务系统“装修固废在线”子场景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浙江省建筑垃圾综合监管服务系统“装修固废在线”子场景按照“省级统构、分级应用、一网统管”原则统一建设、统一上线使用，致力于构建建筑垃圾“共治、智治、共享”的数字化治理体系，推进装修垃圾产生、运输、中转、利用、消纳等过程的全流程、多维度、全天时、全天候智慧监管。</w:t>
      </w:r>
    </w:p>
    <w:p>
      <w:pPr>
        <w:pStyle w:val="3"/>
        <w:numPr>
          <w:ilvl w:val="0"/>
          <w:numId w:val="0"/>
        </w:numPr>
        <w:bidi w:val="0"/>
        <w:rPr>
          <w:rFonts w:hint="default" w:ascii="黑体" w:hAnsi="黑体" w:eastAsia="黑体" w:cs="黑体"/>
          <w:b w:val="0"/>
          <w:bCs/>
          <w:sz w:val="36"/>
          <w:szCs w:val="36"/>
          <w:lang w:val="en-US" w:eastAsia="zh-CN"/>
        </w:rPr>
      </w:pPr>
      <w:bookmarkStart w:id="3" w:name="_Toc10104"/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.</w:t>
      </w:r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3参考资料</w:t>
      </w:r>
      <w:bookmarkEnd w:id="3"/>
    </w:p>
    <w:p>
      <w:pPr>
        <w:numPr>
          <w:ilvl w:val="0"/>
          <w:numId w:val="0"/>
        </w:numPr>
        <w:ind w:firstLine="440" w:firstLineChars="20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GB8566－1995软件生存期过程                中国标准出版社   1996年</w:t>
      </w:r>
    </w:p>
    <w:p>
      <w:pPr>
        <w:numPr>
          <w:ilvl w:val="0"/>
          <w:numId w:val="0"/>
        </w:numPr>
        <w:ind w:firstLine="440" w:firstLineChars="20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GB8567－88计算机软件产品开发文件编制指南  中国标准出版社   1996年</w:t>
      </w:r>
    </w:p>
    <w:p>
      <w:pPr>
        <w:numPr>
          <w:ilvl w:val="0"/>
          <w:numId w:val="0"/>
        </w:numPr>
        <w:ind w:firstLine="440" w:firstLineChars="20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GB9385－88计算机软件需求说明编制指南      中国标准出版社   1996年</w:t>
      </w:r>
    </w:p>
    <w:p>
      <w:pPr>
        <w:numPr>
          <w:ilvl w:val="0"/>
          <w:numId w:val="0"/>
        </w:numPr>
        <w:ind w:firstLine="440" w:firstLineChars="20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GB／Tll457－1995软件工程术语              中国标准出版社   1996年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</w:t>
      </w:r>
      <w:bookmarkStart w:id="4" w:name="_Toc1121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运行环境</w:t>
      </w:r>
      <w:bookmarkEnd w:id="4"/>
    </w:p>
    <w:p>
      <w:pPr>
        <w:pStyle w:val="3"/>
        <w:numPr>
          <w:ilvl w:val="0"/>
          <w:numId w:val="0"/>
        </w:numPr>
        <w:bidi w:val="0"/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</w:pPr>
      <w:bookmarkStart w:id="5" w:name="_Toc28694"/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.1</w:t>
      </w:r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硬件设备</w:t>
      </w:r>
      <w:bookmarkEnd w:id="5"/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处理器频率：1GHz以上；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机身内存：4Gb以上；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default" w:ascii="黑体" w:hAnsi="黑体" w:eastAsia="黑体" w:cs="黑体"/>
          <w:b w:val="0"/>
          <w:bCs/>
          <w:sz w:val="36"/>
          <w:szCs w:val="36"/>
          <w:lang w:val="en-US" w:eastAsia="zh-CN"/>
        </w:rPr>
      </w:pPr>
      <w:bookmarkStart w:id="6" w:name="_Toc27848"/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.</w:t>
      </w:r>
      <w:r>
        <w:rPr>
          <w:rFonts w:hint="eastAsia" w:ascii="黑体" w:hAnsi="黑体" w:cs="黑体"/>
          <w:b w:val="0"/>
          <w:bCs/>
          <w:sz w:val="36"/>
          <w:szCs w:val="36"/>
          <w:lang w:val="en-US" w:eastAsia="zh-CN"/>
        </w:rPr>
        <w:t>2软件设备</w:t>
      </w:r>
      <w:bookmarkEnd w:id="6"/>
    </w:p>
    <w:tbl>
      <w:tblPr>
        <w:tblStyle w:val="1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软件名称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软件版本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windows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Windows 7 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谷歌浏览器（Chrome）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红莲花浏览器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Edge浏览器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火狐浏览器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360浏览器极速模式</w:t>
            </w:r>
          </w:p>
        </w:tc>
        <w:tc>
          <w:tcPr>
            <w:tcW w:w="4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560" w:firstLineChars="20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不支持ie浏览器，请勿使用ie浏览器</w:t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</w:t>
      </w:r>
      <w:bookmarkStart w:id="7" w:name="_Toc867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平台登录</w:t>
      </w:r>
      <w:bookmarkEnd w:id="7"/>
    </w:p>
    <w:p>
      <w:pPr>
        <w:pStyle w:val="3"/>
        <w:numPr>
          <w:ilvl w:val="0"/>
          <w:numId w:val="0"/>
        </w:numPr>
        <w:bidi w:val="0"/>
        <w:spacing w:line="240" w:lineRule="auto"/>
        <w:rPr>
          <w:rFonts w:hint="default" w:cstheme="minorBidi"/>
          <w:b/>
          <w:kern w:val="2"/>
          <w:sz w:val="32"/>
          <w:szCs w:val="24"/>
          <w:lang w:val="en-US" w:eastAsia="zh-CN" w:bidi="ar-SA"/>
        </w:rPr>
      </w:pPr>
      <w:bookmarkStart w:id="8" w:name="_Toc23845"/>
      <w:bookmarkStart w:id="9" w:name="_Toc11612"/>
      <w:bookmarkStart w:id="10" w:name="_Toc10712"/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3.1 系统</w:t>
      </w:r>
      <w:bookmarkEnd w:id="8"/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入口</w:t>
      </w:r>
      <w:bookmarkEnd w:id="9"/>
      <w:bookmarkEnd w:id="10"/>
    </w:p>
    <w:p>
      <w:pPr>
        <w:numPr>
          <w:ilvl w:val="0"/>
          <w:numId w:val="0"/>
        </w:numPr>
        <w:spacing w:line="240" w:lineRule="auto"/>
        <w:outlineLvl w:val="9"/>
        <w:rPr>
          <w:rFonts w:hint="default"/>
          <w:color w:val="0000FF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登陆地址：</w:t>
      </w:r>
      <w:r>
        <w:rPr>
          <w:rFonts w:hint="eastAsia"/>
          <w:color w:val="0000FF"/>
          <w:sz w:val="28"/>
          <w:szCs w:val="36"/>
          <w:lang w:val="en-US" w:eastAsia="zh-CN"/>
        </w:rPr>
        <w:t>http://jzlj.jst.zj.gov.cn/buildWaste/</w:t>
      </w:r>
    </w:p>
    <w:p>
      <w:pPr>
        <w:numPr>
          <w:ilvl w:val="0"/>
          <w:numId w:val="0"/>
        </w:numPr>
        <w:spacing w:line="240" w:lineRule="auto"/>
        <w:outlineLvl w:val="9"/>
        <w:rPr>
          <w:rFonts w:hint="default"/>
          <w:color w:val="0000FF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浏览器：</w:t>
      </w:r>
      <w:r>
        <w:rPr>
          <w:rFonts w:hint="eastAsia"/>
          <w:color w:val="0000FF"/>
          <w:sz w:val="28"/>
          <w:szCs w:val="36"/>
          <w:lang w:val="en-US" w:eastAsia="zh-CN"/>
        </w:rPr>
        <w:t>建议使用火狐浏览器、360浏览器极速模式、谷歌浏览器，不支持ie浏览器，请勿使用ie浏览器</w:t>
      </w:r>
    </w:p>
    <w:p>
      <w:pPr>
        <w:pStyle w:val="3"/>
        <w:numPr>
          <w:ilvl w:val="0"/>
          <w:numId w:val="0"/>
        </w:numPr>
        <w:bidi w:val="0"/>
        <w:spacing w:line="240" w:lineRule="auto"/>
        <w:rPr>
          <w:rFonts w:hint="default" w:cstheme="minorBidi"/>
          <w:b/>
          <w:kern w:val="2"/>
          <w:sz w:val="32"/>
          <w:szCs w:val="24"/>
          <w:lang w:val="en-US" w:eastAsia="zh-CN" w:bidi="ar-SA"/>
        </w:rPr>
      </w:pPr>
      <w:bookmarkStart w:id="11" w:name="_Toc19584"/>
      <w:bookmarkStart w:id="12" w:name="_Toc7772"/>
      <w:bookmarkStart w:id="13" w:name="_Toc24903"/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3.2 系统账号注册</w:t>
      </w:r>
      <w:bookmarkEnd w:id="11"/>
      <w:bookmarkEnd w:id="12"/>
      <w:bookmarkEnd w:id="13"/>
    </w:p>
    <w:p>
      <w:pPr>
        <w:numPr>
          <w:ilvl w:val="0"/>
          <w:numId w:val="0"/>
        </w:numPr>
        <w:spacing w:line="240" w:lineRule="auto"/>
        <w:outlineLvl w:val="9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1）登录页面点击注册账号，并选择账号类型为装修垃圾暂存点、装修垃圾运输企业、装修垃圾处置单位、装修垃圾分拣中心。（</w:t>
      </w:r>
      <w:r>
        <w:rPr>
          <w:rFonts w:hint="eastAsia"/>
          <w:color w:val="FF0000"/>
          <w:sz w:val="28"/>
          <w:szCs w:val="36"/>
          <w:lang w:val="en-US" w:eastAsia="zh-CN"/>
        </w:rPr>
        <w:t>注：如未找到场所名称，请与主管部门确认后进行新增，以免场所重复。</w:t>
      </w:r>
      <w:r>
        <w:rPr>
          <w:rFonts w:hint="eastAsia"/>
          <w:sz w:val="28"/>
          <w:szCs w:val="36"/>
          <w:lang w:val="en-US" w:eastAsia="zh-CN"/>
        </w:rPr>
        <w:t>）</w:t>
      </w:r>
    </w:p>
    <w:p>
      <w:pPr>
        <w:numPr>
          <w:ilvl w:val="0"/>
          <w:numId w:val="0"/>
        </w:numPr>
        <w:spacing w:line="240" w:lineRule="auto"/>
        <w:outlineLvl w:val="9"/>
        <w:rPr>
          <w:sz w:val="28"/>
          <w:szCs w:val="36"/>
        </w:rPr>
      </w:pPr>
      <w:r>
        <w:drawing>
          <wp:inline distT="0" distB="0" distL="114300" distR="114300">
            <wp:extent cx="5266690" cy="258699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00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outlineLvl w:val="9"/>
        <w:rPr>
          <w:sz w:val="28"/>
          <w:szCs w:val="36"/>
        </w:rPr>
      </w:pPr>
      <w:r>
        <w:drawing>
          <wp:inline distT="0" distB="0" distL="114300" distR="114300">
            <wp:extent cx="5266690" cy="259842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96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="210" w:leftChars="0"/>
        <w:outlineLvl w:val="9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填写单位相关信息后提交，</w:t>
      </w:r>
      <w:r>
        <w:rPr>
          <w:rFonts w:hint="eastAsia"/>
          <w:b/>
          <w:bCs/>
          <w:i w:val="0"/>
          <w:iCs w:val="0"/>
          <w:color w:val="FF0000"/>
          <w:sz w:val="32"/>
          <w:szCs w:val="32"/>
          <w:lang w:val="en-US" w:eastAsia="zh-CN"/>
        </w:rPr>
        <w:t>待主管部门完成账号审核后</w:t>
      </w:r>
      <w:r>
        <w:rPr>
          <w:rFonts w:hint="eastAsia"/>
          <w:sz w:val="28"/>
          <w:szCs w:val="36"/>
          <w:lang w:val="en-US" w:eastAsia="zh-CN"/>
        </w:rPr>
        <w:t xml:space="preserve">，即可使用账号登录系统。 </w:t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  <w:bookmarkStart w:id="14" w:name="_Toc14420"/>
      <w:bookmarkStart w:id="15" w:name="_Toc15782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处置管理</w:t>
      </w:r>
      <w:bookmarkEnd w:id="14"/>
      <w:bookmarkEnd w:id="15"/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7679"/>
      <w:bookmarkStart w:id="17" w:name="_Toc3893"/>
      <w:r>
        <w:rPr>
          <w:rFonts w:hint="eastAsia"/>
          <w:lang w:val="en-US" w:eastAsia="zh-CN"/>
        </w:rPr>
        <w:t>4.0处置管理功能一览</w:t>
      </w:r>
      <w:bookmarkEnd w:id="16"/>
      <w:bookmarkEnd w:id="17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2332"/>
        <w:gridCol w:w="4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33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菜单名称</w:t>
            </w:r>
          </w:p>
        </w:tc>
        <w:tc>
          <w:tcPr>
            <w:tcW w:w="49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功能简述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4.1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处置场所管理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处置场所的新增、批量导入、查找、修改、删除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4.2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地磅称重管理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4.2.1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出站称重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4.2.2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进站称重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4.3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监控视频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17787"/>
      <w:bookmarkStart w:id="19" w:name="_Toc23154"/>
      <w:r>
        <w:rPr>
          <w:rFonts w:hint="eastAsia"/>
          <w:lang w:val="en-US" w:eastAsia="zh-CN"/>
        </w:rPr>
        <w:t>4.1处置</w:t>
      </w:r>
      <w:bookmarkEnd w:id="18"/>
      <w:r>
        <w:rPr>
          <w:rFonts w:hint="eastAsia"/>
          <w:lang w:val="en-US" w:eastAsia="zh-CN"/>
        </w:rPr>
        <w:t>场所管理</w:t>
      </w:r>
      <w:bookmarkEnd w:id="19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58085"/>
            <wp:effectExtent l="0" t="0" r="10160" b="18415"/>
            <wp:docPr id="274" name="图片 274" descr="169044373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16904437327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1）点击上方菜单【处置管理】</w:t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点击左侧处置场所管理。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点击【处置单位】</w:t>
      </w:r>
      <w:r>
        <w:rPr>
          <w:rFonts w:hint="default"/>
          <w:sz w:val="28"/>
          <w:szCs w:val="36"/>
          <w:lang w:eastAsia="zh-CN"/>
        </w:rPr>
        <w:t>下方数字</w:t>
      </w:r>
      <w:r>
        <w:rPr>
          <w:rFonts w:hint="eastAsia"/>
          <w:sz w:val="28"/>
          <w:szCs w:val="36"/>
          <w:lang w:val="en-US" w:eastAsia="zh-CN"/>
        </w:rPr>
        <w:t>，进入对应列表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1770" cy="2748915"/>
            <wp:effectExtent l="0" t="0" r="5080" b="13335"/>
            <wp:docPr id="276" name="图片 276" descr="169044423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 descr="169044423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bookmarkStart w:id="20" w:name="_Toc26395"/>
      <w:r>
        <w:rPr>
          <w:rFonts w:hint="eastAsia"/>
          <w:sz w:val="28"/>
          <w:szCs w:val="36"/>
          <w:lang w:val="en-US" w:eastAsia="zh-CN"/>
        </w:rPr>
        <w:t>选择对应区域搜索区域内的处置场所信息。</w:t>
      </w:r>
    </w:p>
    <w:p>
      <w:pPr>
        <w:numPr>
          <w:ilvl w:val="0"/>
          <w:numId w:val="2"/>
        </w:numPr>
        <w:spacing w:line="240" w:lineRule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根据处置场所站点名称搜索处置场所。</w:t>
      </w:r>
    </w:p>
    <w:p>
      <w:pPr>
        <w:numPr>
          <w:ilvl w:val="0"/>
          <w:numId w:val="2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新增</w:t>
      </w:r>
      <w:bookmarkEnd w:id="20"/>
      <w:r>
        <w:rPr>
          <w:rFonts w:hint="eastAsia"/>
          <w:sz w:val="28"/>
          <w:szCs w:val="36"/>
          <w:lang w:val="en-US" w:eastAsia="zh-CN"/>
        </w:rPr>
        <w:t>：红色星号为必填信息。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8595" cy="3702685"/>
            <wp:effectExtent l="0" t="0" r="8255" b="12065"/>
            <wp:docPr id="2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区域坐标选择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1）点击区域坐标后面的地图按钮，在弹出的地图中使用鼠标左键选择对应坐标位置，。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4785" cy="3075305"/>
            <wp:effectExtent l="0" t="0" r="12065" b="10795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2）点击【完成】完成区域坐标选择。</w:t>
      </w:r>
    </w:p>
    <w:p>
      <w:pPr>
        <w:numPr>
          <w:ilvl w:val="0"/>
          <w:numId w:val="0"/>
        </w:numPr>
        <w:spacing w:line="240" w:lineRule="auto"/>
        <w:ind w:leftChars="0"/>
        <w:jc w:val="left"/>
      </w:pPr>
      <w:r>
        <w:drawing>
          <wp:inline distT="0" distB="0" distL="114300" distR="114300">
            <wp:extent cx="5266055" cy="3070860"/>
            <wp:effectExtent l="0" t="0" r="10795" b="1524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jc w:val="left"/>
      </w:pPr>
    </w:p>
    <w:p>
      <w:pPr>
        <w:numPr>
          <w:ilvl w:val="0"/>
          <w:numId w:val="2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批量删除：勾选处置场所信息后，点击确认按钮进行删除。</w:t>
      </w:r>
    </w:p>
    <w:p>
      <w:pPr>
        <w:numPr>
          <w:ilvl w:val="0"/>
          <w:numId w:val="2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批量导入：先“模板下载”，然后根据模板填写后，点击“批量导入”,将填写好的文件上传</w:t>
      </w:r>
    </w:p>
    <w:p>
      <w:pPr>
        <w:numPr>
          <w:ilvl w:val="0"/>
          <w:numId w:val="2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编辑：编辑处置场所信息。</w:t>
      </w:r>
    </w:p>
    <w:p>
      <w:pPr>
        <w:numPr>
          <w:ilvl w:val="0"/>
          <w:numId w:val="2"/>
        </w:numPr>
        <w:spacing w:line="240" w:lineRule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删除：删除这一条处置场所信息。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21958"/>
      <w:bookmarkStart w:id="22" w:name="_Toc7466"/>
      <w:r>
        <w:rPr>
          <w:rFonts w:hint="eastAsia"/>
          <w:lang w:val="en-US" w:eastAsia="zh-CN"/>
        </w:rPr>
        <w:t>4.</w:t>
      </w:r>
      <w:bookmarkEnd w:id="21"/>
      <w:r>
        <w:rPr>
          <w:rFonts w:hint="eastAsia"/>
          <w:lang w:val="en-US" w:eastAsia="zh-CN"/>
        </w:rPr>
        <w:t>2地磅称重管理</w:t>
      </w:r>
      <w:bookmarkEnd w:id="22"/>
    </w:p>
    <w:p>
      <w:pPr>
        <w:pStyle w:val="4"/>
        <w:numPr>
          <w:ilvl w:val="0"/>
          <w:numId w:val="0"/>
        </w:numPr>
        <w:bidi w:val="0"/>
        <w:spacing w:line="240" w:lineRule="auto"/>
        <w:rPr>
          <w:rFonts w:hint="eastAsia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cstheme="minorBidi"/>
          <w:b/>
          <w:kern w:val="2"/>
          <w:sz w:val="40"/>
          <w:szCs w:val="36"/>
          <w:lang w:val="en-US" w:eastAsia="zh-CN" w:bidi="ar-SA"/>
        </w:rPr>
        <w:t>4.2.1 出站称重</w:t>
      </w:r>
    </w:p>
    <w:p>
      <w:r>
        <w:drawing>
          <wp:inline distT="0" distB="0" distL="114300" distR="114300">
            <wp:extent cx="5266055" cy="2449830"/>
            <wp:effectExtent l="0" t="0" r="10795" b="7620"/>
            <wp:docPr id="2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根据区域、过磅时间、车牌号搜索过磅记录。</w:t>
      </w:r>
    </w:p>
    <w:p>
      <w:pPr>
        <w:numPr>
          <w:ilvl w:val="0"/>
          <w:numId w:val="3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点击详情查看详细信息。</w:t>
      </w:r>
    </w:p>
    <w:p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66055" cy="2645410"/>
            <wp:effectExtent l="0" t="0" r="10795" b="2540"/>
            <wp:docPr id="2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bidi w:val="0"/>
        <w:spacing w:line="240" w:lineRule="auto"/>
        <w:rPr>
          <w:rFonts w:hint="eastAsia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cstheme="minorBidi"/>
          <w:b/>
          <w:kern w:val="2"/>
          <w:sz w:val="40"/>
          <w:szCs w:val="36"/>
          <w:lang w:val="en-US" w:eastAsia="zh-CN" w:bidi="ar-SA"/>
        </w:rPr>
        <w:t>4.2.2 进站称重</w:t>
      </w:r>
    </w:p>
    <w:p>
      <w:r>
        <w:drawing>
          <wp:inline distT="0" distB="0" distL="114300" distR="114300">
            <wp:extent cx="5266055" cy="2416810"/>
            <wp:effectExtent l="0" t="0" r="10795" b="2540"/>
            <wp:docPr id="28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根据区域、过磅时间、车牌号搜索过磅记录。</w:t>
      </w:r>
    </w:p>
    <w:p>
      <w:pPr>
        <w:numPr>
          <w:ilvl w:val="0"/>
          <w:numId w:val="4"/>
        </w:numPr>
        <w:spacing w:line="24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点击详情查看详细信息。</w:t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39695"/>
            <wp:effectExtent l="0" t="0" r="3810" b="8255"/>
            <wp:docPr id="28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3" w:name="_Toc23821"/>
      <w:bookmarkStart w:id="24" w:name="_Toc31528"/>
      <w:r>
        <w:rPr>
          <w:rFonts w:hint="eastAsia"/>
          <w:lang w:val="en-US" w:eastAsia="zh-CN"/>
        </w:rPr>
        <w:t xml:space="preserve">4.3 </w:t>
      </w:r>
      <w:bookmarkEnd w:id="23"/>
      <w:r>
        <w:rPr>
          <w:rFonts w:hint="eastAsia"/>
          <w:lang w:val="en-US" w:eastAsia="zh-CN"/>
        </w:rPr>
        <w:t>监控视频</w:t>
      </w:r>
      <w:bookmarkEnd w:id="24"/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点击左侧菜单监控视频，查看处置场所监控视频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7325" cy="2433320"/>
            <wp:effectExtent l="0" t="0" r="9525" b="5080"/>
            <wp:docPr id="28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  <w:t xml:space="preserve"> </w:t>
      </w:r>
      <w:bookmarkStart w:id="25" w:name="_Toc26319"/>
      <w:bookmarkStart w:id="26" w:name="_Toc29806"/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  <w:t>电子联单</w:t>
      </w:r>
      <w:bookmarkEnd w:id="25"/>
      <w:bookmarkEnd w:id="26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7" w:name="_Toc32205"/>
      <w:bookmarkStart w:id="28" w:name="_Toc17320"/>
      <w:r>
        <w:rPr>
          <w:rFonts w:hint="eastAsia"/>
          <w:lang w:val="en-US" w:eastAsia="zh-CN"/>
        </w:rPr>
        <w:t>5.0 电子联单功能一览</w:t>
      </w:r>
      <w:bookmarkEnd w:id="27"/>
      <w:bookmarkEnd w:id="28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2332"/>
        <w:gridCol w:w="4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33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菜单名称</w:t>
            </w:r>
          </w:p>
        </w:tc>
        <w:tc>
          <w:tcPr>
            <w:tcW w:w="49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功能简述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5.1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电子联单</w:t>
            </w:r>
          </w:p>
        </w:tc>
        <w:tc>
          <w:tcPr>
            <w:tcW w:w="4964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电子联单统计分析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5.2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联单详情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电子联单详细列表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5.3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问题联单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问题电子联单详细列表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5.4</w:t>
            </w:r>
          </w:p>
        </w:tc>
        <w:tc>
          <w:tcPr>
            <w:tcW w:w="233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补录联单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补录电子联单详细列表</w:t>
            </w:r>
          </w:p>
        </w:tc>
      </w:tr>
    </w:tbl>
    <w:p>
      <w:pPr>
        <w:pStyle w:val="3"/>
        <w:bidi w:val="0"/>
        <w:rPr>
          <w:rFonts w:hint="default"/>
          <w:lang w:val="en-US" w:eastAsia="zh-CN"/>
        </w:rPr>
      </w:pPr>
      <w:bookmarkStart w:id="29" w:name="_Toc13639"/>
      <w:r>
        <w:rPr>
          <w:rFonts w:hint="eastAsia"/>
          <w:lang w:val="en-US" w:eastAsia="zh-CN"/>
        </w:rPr>
        <w:t>5.1电子联单</w:t>
      </w:r>
      <w:bookmarkEnd w:id="29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1）可根据时间段、区域、处置场所进行分析统计。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2）点击右上角详细列表，进入详细列表页。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3)点击选择区域和时间进行搜索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103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30" w:name="_Toc8203"/>
      <w:bookmarkStart w:id="31" w:name="_Toc14980"/>
      <w:r>
        <w:rPr>
          <w:rFonts w:hint="eastAsia"/>
          <w:lang w:val="en-US" w:eastAsia="zh-CN"/>
        </w:rPr>
        <w:t>5.2 联单详情</w:t>
      </w:r>
      <w:bookmarkEnd w:id="30"/>
      <w:bookmarkEnd w:id="31"/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该页面可点击左侧订单详情或电子联单主页的详细列表进入。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1）点击选择区域和时间进行搜索。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2）点击右上角预约订单电子联单补录可进入补录页面。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3）点击右上角分拣中心电子联单补录可进入补录页面。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4）列表中的PDF查看电子联单的pdf文件形式。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109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下图是预约订单电子联单补录页面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根据选择的运输企业承运的订单的填写相关信息，补录电子联单信息</w:t>
      </w:r>
    </w:p>
    <w:p>
      <w:pPr>
        <w:numPr>
          <w:ilvl w:val="0"/>
          <w:numId w:val="5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先选择承运的运输企业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再新增其企业底下的预约订单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最后补齐电子联单信息后提交保存补录信息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rcRect t="99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下图是分拣中心电子联单补录页面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根据选择的预约人的预约订单填写相关信息，补录电子联单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1.先选择预约人底下的订单，订单的信息则会显示出来。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2.最后补齐电子联单信息后提交保存补录信息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rcRect t="100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2" w:name="_Toc29820"/>
      <w:bookmarkStart w:id="33" w:name="_Toc18"/>
      <w:r>
        <w:rPr>
          <w:rFonts w:hint="eastAsia"/>
          <w:lang w:val="en-US" w:eastAsia="zh-CN"/>
        </w:rPr>
        <w:t>5.3 问题联单</w:t>
      </w:r>
      <w:bookmarkEnd w:id="32"/>
      <w:bookmarkEnd w:id="33"/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该页面可点击左侧问题联单进入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该页面与详细列表类似，但只显示问题联单。</w:t>
      </w:r>
    </w:p>
    <w:p>
      <w:r>
        <w:drawing>
          <wp:inline distT="0" distB="0" distL="114300" distR="114300">
            <wp:extent cx="5266690" cy="2584450"/>
            <wp:effectExtent l="0" t="0" r="1016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t="100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4" w:name="_Toc17276"/>
      <w:bookmarkStart w:id="35" w:name="_Toc8551"/>
      <w:r>
        <w:rPr>
          <w:rFonts w:hint="eastAsia"/>
          <w:lang w:val="en-US" w:eastAsia="zh-CN"/>
        </w:rPr>
        <w:t>5.4 补录联单</w:t>
      </w:r>
      <w:bookmarkEnd w:id="34"/>
      <w:bookmarkEnd w:id="35"/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该页面可点击左侧补录联单进入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该页面与详细列表类似，但只显示补录联单。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1）点击选择区域和时间进行搜索。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2）点击右上角预约订单电子联单补录可进入补录页面。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3）点击右上角分拣中心电子联单补录可进入补录页面。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4）列表中的PDF查看电子联单的pdf文件形式。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02810" cy="26333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l="10707" t="18410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  <w:t xml:space="preserve"> </w:t>
      </w:r>
      <w:bookmarkStart w:id="36" w:name="_Toc4599"/>
      <w:bookmarkStart w:id="37" w:name="_Toc5791"/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  <w:t>执法监督</w:t>
      </w:r>
      <w:bookmarkEnd w:id="36"/>
      <w:bookmarkEnd w:id="37"/>
    </w:p>
    <w:p>
      <w:pPr>
        <w:pStyle w:val="3"/>
        <w:bidi w:val="0"/>
        <w:rPr>
          <w:rFonts w:hint="eastAsia"/>
          <w:lang w:val="en-US" w:eastAsia="zh-CN"/>
        </w:rPr>
      </w:pPr>
      <w:bookmarkStart w:id="38" w:name="_Toc7554"/>
      <w:bookmarkStart w:id="39" w:name="_Toc4867"/>
      <w:r>
        <w:rPr>
          <w:rFonts w:hint="eastAsia"/>
          <w:lang w:val="en-US" w:eastAsia="zh-CN"/>
        </w:rPr>
        <w:t>6.0 执法监督功能一览</w:t>
      </w:r>
      <w:bookmarkEnd w:id="38"/>
      <w:bookmarkEnd w:id="39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2332"/>
        <w:gridCol w:w="4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33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菜单名称</w:t>
            </w:r>
          </w:p>
        </w:tc>
        <w:tc>
          <w:tcPr>
            <w:tcW w:w="496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功能简述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6.1</w:t>
            </w:r>
          </w:p>
        </w:tc>
        <w:tc>
          <w:tcPr>
            <w:tcW w:w="2332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一般问题整改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一般问题整改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6.2</w:t>
            </w:r>
          </w:p>
        </w:tc>
        <w:tc>
          <w:tcPr>
            <w:tcW w:w="2332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违法违规处罚</w:t>
            </w:r>
          </w:p>
        </w:tc>
        <w:tc>
          <w:tcPr>
            <w:tcW w:w="496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运输车辆的违法违规处罚管理</w:t>
            </w:r>
          </w:p>
        </w:tc>
      </w:tr>
    </w:tbl>
    <w:p>
      <w:pPr>
        <w:pStyle w:val="3"/>
        <w:bidi w:val="0"/>
        <w:rPr>
          <w:rFonts w:hint="eastAsia"/>
          <w:lang w:val="en-US" w:eastAsia="zh-CN"/>
        </w:rPr>
      </w:pPr>
      <w:bookmarkStart w:id="40" w:name="_Toc4765"/>
      <w:bookmarkStart w:id="41" w:name="_Toc22938"/>
      <w:r>
        <w:rPr>
          <w:rFonts w:hint="eastAsia"/>
          <w:lang w:val="en-US" w:eastAsia="zh-CN"/>
        </w:rPr>
        <w:t>6.1一般问题整改</w:t>
      </w:r>
      <w:bookmarkEnd w:id="40"/>
      <w:bookmarkEnd w:id="41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69790" cy="2490470"/>
            <wp:effectExtent l="0" t="0" r="1651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rcRect l="11333" t="5517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点击1号按钮，弹出区域选择浮窗，与之前的浮窗相同，选择所需的地区，底下的数据会改变。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将输入框中填入所需要的时间间隔后，点击2号按钮，底下的数据会根据筛选内容改变。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点击3号按钮进入详情界面。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2" w:name="_Toc32282"/>
      <w:bookmarkStart w:id="43" w:name="_Toc23209"/>
      <w:r>
        <w:rPr>
          <w:rFonts w:hint="eastAsia"/>
          <w:lang w:val="en-US" w:eastAsia="zh-CN"/>
        </w:rPr>
        <w:t>6.2 一般问题整改</w:t>
      </w:r>
      <w:bookmarkEnd w:id="42"/>
      <w:bookmarkEnd w:id="43"/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操作跟“一般问题整改”一样，此处就不再赘述。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  <w:t xml:space="preserve"> </w:t>
      </w:r>
      <w:bookmarkStart w:id="44" w:name="_Toc26486"/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  <w:t>浙里办（建筑垃圾—装修垃圾）</w:t>
      </w:r>
      <w:bookmarkEnd w:id="44"/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45" w:name="_Toc17212"/>
      <w:r>
        <w:rPr>
          <w:rFonts w:hint="eastAsia"/>
          <w:lang w:val="en-US" w:eastAsia="zh-CN"/>
        </w:rPr>
        <w:t>7.1登录</w:t>
      </w:r>
      <w:bookmarkEnd w:id="45"/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outlineLvl w:val="9"/>
        <w:rPr>
          <w:rFonts w:hint="default"/>
          <w:color w:val="0000FF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登陆地址：浙里办APP，支付宝浙里</w:t>
      </w:r>
      <w:bookmarkStart w:id="54" w:name="_GoBack"/>
      <w:bookmarkEnd w:id="54"/>
      <w:r>
        <w:rPr>
          <w:rFonts w:hint="eastAsia"/>
          <w:sz w:val="28"/>
          <w:szCs w:val="36"/>
          <w:lang w:val="en-US" w:eastAsia="zh-CN"/>
        </w:rPr>
        <w:t>办小程序，微信浙里办小程序。搜索“建筑垃圾”，选择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【装修类】</w:t>
      </w:r>
      <w:r>
        <w:rPr>
          <w:rFonts w:hint="eastAsia"/>
          <w:sz w:val="28"/>
          <w:szCs w:val="36"/>
          <w:lang w:val="en-US" w:eastAsia="zh-CN"/>
        </w:rPr>
        <w:t>，选择完区域后进入主页面。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973580" cy="416433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3135" cy="4188460"/>
            <wp:effectExtent l="0" t="0" r="571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l="6004" t="8168" r="67591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9650" cy="4173855"/>
            <wp:effectExtent l="0" t="0" r="635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l="6004" t="8458" r="66988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进入主页后，当前身份统一为普通用户，可以在个人中心的管理绑定中绑定PC端账号，以开启功能。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215515" cy="4136390"/>
            <wp:effectExtent l="0" t="0" r="13335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l="6004" t="8168" r="67350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2965" cy="4124960"/>
            <wp:effectExtent l="0" t="0" r="63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3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871345" cy="4055110"/>
            <wp:effectExtent l="0" t="0" r="14605" b="2540"/>
            <wp:docPr id="10" name="图片 10" descr="d1b9fe264f7925f1637834f525e62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1b9fe264f7925f1637834f525e623b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6" w:name="_Toc1379"/>
      <w:bookmarkStart w:id="47" w:name="_Toc21259"/>
      <w:r>
        <w:rPr>
          <w:rFonts w:hint="eastAsia"/>
          <w:lang w:val="en-US" w:eastAsia="zh-CN"/>
        </w:rPr>
        <w:t xml:space="preserve">7.2 </w:t>
      </w:r>
      <w:bookmarkEnd w:id="46"/>
      <w:r>
        <w:rPr>
          <w:rFonts w:hint="eastAsia"/>
          <w:lang w:val="en-US" w:eastAsia="zh-CN"/>
        </w:rPr>
        <w:t>电子联单</w:t>
      </w:r>
      <w:bookmarkEnd w:id="47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85340" cy="4083050"/>
            <wp:effectExtent l="0" t="0" r="10160" b="12700"/>
            <wp:docPr id="15" name="图片 15" descr="39526b6bff3de3be9923cb3c66e55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9526b6bff3de3be9923cb3c66e5567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9375" cy="5673090"/>
            <wp:effectExtent l="0" t="0" r="9525" b="3810"/>
            <wp:docPr id="20" name="图片 20" descr="lADPKHQpVoBqvfPNBQDNAk8_5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ADPKHQpVoBqvfPNBQDNAk8_591_128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联单接收扫描车辆二维码，选择处置场所，如有需要修改接受量和处置时间点击提交即可。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9850" cy="5638800"/>
            <wp:effectExtent l="0" t="0" r="0" b="0"/>
            <wp:docPr id="22" name="图片 22" descr="169053846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05384655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查看在本场所处置的电子联单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46300" cy="4648835"/>
            <wp:effectExtent l="0" t="0" r="6350" b="18415"/>
            <wp:docPr id="11" name="图片 11" descr="lADPKHe21SUmQDbNBQDNAk8_5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KHe21SUmQDbNBQDNAk8_591_128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89785" cy="4526280"/>
            <wp:effectExtent l="0" t="0" r="5715" b="7620"/>
            <wp:docPr id="12" name="图片 12" descr="lADPJxf-22xiwCzNBQDNAk8_5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Jxf-22xiwCzNBQDNAk8_591_12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查看场所下操作员信息，可新增、删除。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8" w:name="_Toc14896"/>
      <w:bookmarkStart w:id="49" w:name="_Toc1671"/>
      <w:r>
        <w:rPr>
          <w:rFonts w:hint="eastAsia"/>
          <w:lang w:val="en-US" w:eastAsia="zh-CN"/>
        </w:rPr>
        <w:t>7.2 师傅帮</w:t>
      </w:r>
      <w:bookmarkEnd w:id="48"/>
      <w:bookmarkEnd w:id="49"/>
    </w:p>
    <w:p>
      <w:pPr>
        <w:jc w:val="center"/>
      </w:pPr>
      <w:r>
        <w:drawing>
          <wp:inline distT="0" distB="0" distL="114300" distR="114300">
            <wp:extent cx="2310765" cy="4267200"/>
            <wp:effectExtent l="0" t="0" r="1333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rcRect l="6028" t="8346" r="67085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sz w:val="20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进入师傅帮页面，页面会展示所选择区域的所有技术工人，上方可以通过工人类型以及姓名筛选查找工人，点击联系电话，则可以直接拨打联系电话。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50" w:name="_Toc27218"/>
      <w:bookmarkStart w:id="51" w:name="_Toc313"/>
      <w:r>
        <w:rPr>
          <w:rFonts w:hint="eastAsia"/>
          <w:lang w:val="en-US" w:eastAsia="zh-CN"/>
        </w:rPr>
        <w:t>7.3 信息公示</w:t>
      </w:r>
      <w:bookmarkEnd w:id="50"/>
      <w:bookmarkEnd w:id="51"/>
    </w:p>
    <w:p>
      <w:r>
        <w:drawing>
          <wp:inline distT="0" distB="0" distL="114300" distR="114300">
            <wp:extent cx="2170430" cy="3932555"/>
            <wp:effectExtent l="0" t="0" r="1270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rcRect l="5811" t="8858" r="66940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3265" cy="3879850"/>
            <wp:effectExtent l="0" t="0" r="6985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rcRect l="6414" t="7723" r="67905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进入信息公示页面，页面会展示所选择区域的所有公示的信息，任选一个，进入上方可以通过关键词查找信息，点击详情，则查看详细信息。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52" w:name="_Toc10177"/>
      <w:bookmarkStart w:id="53" w:name="_Toc13857"/>
      <w:r>
        <w:rPr>
          <w:rFonts w:hint="eastAsia"/>
          <w:lang w:val="en-US" w:eastAsia="zh-CN"/>
        </w:rPr>
        <w:t>7.4 个人中心</w:t>
      </w:r>
      <w:bookmarkEnd w:id="52"/>
      <w:bookmarkEnd w:id="5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可切换区域、切换普通用户，解除处置场所的绑定。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13915" cy="2764790"/>
            <wp:effectExtent l="0" t="0" r="635" b="16510"/>
            <wp:docPr id="18" name="图片 18" descr="lADPJxRxXMfPNfLNBQDNAk8_59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DPJxRxXMfPNfLNBQDNAk8_591_12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8D19AEE-9801-42B7-BAFE-65F9021AAFF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67A0B2A3-1719-4E60-9D35-DD763452E07E}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3" w:fontKey="{2029F93D-A033-4B20-82B7-6CDF80072A2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f5R8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q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Ef5R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5AB9C2"/>
    <w:multiLevelType w:val="singleLevel"/>
    <w:tmpl w:val="895AB9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1BCD20C"/>
    <w:multiLevelType w:val="singleLevel"/>
    <w:tmpl w:val="C1BCD20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C39124D1"/>
    <w:multiLevelType w:val="singleLevel"/>
    <w:tmpl w:val="C39124D1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D7EF251C"/>
    <w:multiLevelType w:val="singleLevel"/>
    <w:tmpl w:val="D7EF251C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D5D338F"/>
    <w:multiLevelType w:val="singleLevel"/>
    <w:tmpl w:val="0D5D338F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203ECD85"/>
    <w:multiLevelType w:val="singleLevel"/>
    <w:tmpl w:val="203ECD85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xMzc0MmQ0Zjk0Mzc2ZTc3ZWFmYjc5YWFkNTA5YWMifQ=="/>
    <w:docVar w:name="KSO_WPS_MARK_KEY" w:val="15dc2921-2301-47a5-bcad-e3808ea80d1c"/>
  </w:docVars>
  <w:rsids>
    <w:rsidRoot w:val="00000000"/>
    <w:rsid w:val="00897205"/>
    <w:rsid w:val="01040A4E"/>
    <w:rsid w:val="016C582E"/>
    <w:rsid w:val="01A25F08"/>
    <w:rsid w:val="02D670BD"/>
    <w:rsid w:val="033A089E"/>
    <w:rsid w:val="038171F3"/>
    <w:rsid w:val="03EB589C"/>
    <w:rsid w:val="045829D8"/>
    <w:rsid w:val="04C6064C"/>
    <w:rsid w:val="053632C2"/>
    <w:rsid w:val="05581A28"/>
    <w:rsid w:val="055D53D5"/>
    <w:rsid w:val="05AB4404"/>
    <w:rsid w:val="07FE612A"/>
    <w:rsid w:val="08875D6C"/>
    <w:rsid w:val="0904660E"/>
    <w:rsid w:val="09103C45"/>
    <w:rsid w:val="096477DA"/>
    <w:rsid w:val="096D4D74"/>
    <w:rsid w:val="09E11D5D"/>
    <w:rsid w:val="0A111D4C"/>
    <w:rsid w:val="0A632667"/>
    <w:rsid w:val="0AF81CBF"/>
    <w:rsid w:val="0CEB2112"/>
    <w:rsid w:val="0D2744CD"/>
    <w:rsid w:val="0DA73866"/>
    <w:rsid w:val="0E3C4D7A"/>
    <w:rsid w:val="0EC60FEC"/>
    <w:rsid w:val="11692D4B"/>
    <w:rsid w:val="12710B43"/>
    <w:rsid w:val="129062ED"/>
    <w:rsid w:val="137D3102"/>
    <w:rsid w:val="1396399D"/>
    <w:rsid w:val="13D3520D"/>
    <w:rsid w:val="14165680"/>
    <w:rsid w:val="148824AD"/>
    <w:rsid w:val="149B15F3"/>
    <w:rsid w:val="15984213"/>
    <w:rsid w:val="15EB7E49"/>
    <w:rsid w:val="17EC4C5E"/>
    <w:rsid w:val="18C80D5B"/>
    <w:rsid w:val="18D83F1F"/>
    <w:rsid w:val="19532431"/>
    <w:rsid w:val="1965220A"/>
    <w:rsid w:val="19914873"/>
    <w:rsid w:val="19E51BCF"/>
    <w:rsid w:val="1A730B1B"/>
    <w:rsid w:val="1B165842"/>
    <w:rsid w:val="1BAC7B5B"/>
    <w:rsid w:val="1BFE44F0"/>
    <w:rsid w:val="1C200D2C"/>
    <w:rsid w:val="1C562EB2"/>
    <w:rsid w:val="1E1104B9"/>
    <w:rsid w:val="20662C01"/>
    <w:rsid w:val="20F14F0F"/>
    <w:rsid w:val="21AF5B3F"/>
    <w:rsid w:val="240C128F"/>
    <w:rsid w:val="255B1E76"/>
    <w:rsid w:val="283674CC"/>
    <w:rsid w:val="286F0192"/>
    <w:rsid w:val="2E577242"/>
    <w:rsid w:val="2FD95401"/>
    <w:rsid w:val="305A0CCD"/>
    <w:rsid w:val="307A1F33"/>
    <w:rsid w:val="30E67BB2"/>
    <w:rsid w:val="31AB20D1"/>
    <w:rsid w:val="32D2387F"/>
    <w:rsid w:val="332526C9"/>
    <w:rsid w:val="333126C0"/>
    <w:rsid w:val="33785DA8"/>
    <w:rsid w:val="354F5B79"/>
    <w:rsid w:val="355F7EFA"/>
    <w:rsid w:val="36000507"/>
    <w:rsid w:val="36CB3D9E"/>
    <w:rsid w:val="37A70CFC"/>
    <w:rsid w:val="37FDACEB"/>
    <w:rsid w:val="38053402"/>
    <w:rsid w:val="38A5699D"/>
    <w:rsid w:val="395478C0"/>
    <w:rsid w:val="3AC23F6D"/>
    <w:rsid w:val="3B341628"/>
    <w:rsid w:val="3B6D2CD8"/>
    <w:rsid w:val="3BC85B60"/>
    <w:rsid w:val="3C033BF2"/>
    <w:rsid w:val="3C271851"/>
    <w:rsid w:val="3CDF1048"/>
    <w:rsid w:val="3D873730"/>
    <w:rsid w:val="3DAC188B"/>
    <w:rsid w:val="3E1515BA"/>
    <w:rsid w:val="3E303658"/>
    <w:rsid w:val="3E62576C"/>
    <w:rsid w:val="3E6B4793"/>
    <w:rsid w:val="3EE35BF5"/>
    <w:rsid w:val="3F271BAA"/>
    <w:rsid w:val="42187DAE"/>
    <w:rsid w:val="42787105"/>
    <w:rsid w:val="432C7677"/>
    <w:rsid w:val="44A86797"/>
    <w:rsid w:val="45590A58"/>
    <w:rsid w:val="4608524B"/>
    <w:rsid w:val="4648560E"/>
    <w:rsid w:val="469E0957"/>
    <w:rsid w:val="47214D6C"/>
    <w:rsid w:val="47C90773"/>
    <w:rsid w:val="49483F5F"/>
    <w:rsid w:val="49565967"/>
    <w:rsid w:val="49FB71F1"/>
    <w:rsid w:val="4A400C40"/>
    <w:rsid w:val="4A64756C"/>
    <w:rsid w:val="4AAB0348"/>
    <w:rsid w:val="4B1F7FE7"/>
    <w:rsid w:val="4B742EC0"/>
    <w:rsid w:val="4D847701"/>
    <w:rsid w:val="4DEF2BA6"/>
    <w:rsid w:val="4E04004E"/>
    <w:rsid w:val="4E543433"/>
    <w:rsid w:val="4EA12592"/>
    <w:rsid w:val="51304532"/>
    <w:rsid w:val="516234CD"/>
    <w:rsid w:val="51FF1678"/>
    <w:rsid w:val="520F41E0"/>
    <w:rsid w:val="52110D8C"/>
    <w:rsid w:val="524160AE"/>
    <w:rsid w:val="525F4CE1"/>
    <w:rsid w:val="52610602"/>
    <w:rsid w:val="5376666F"/>
    <w:rsid w:val="53DD111E"/>
    <w:rsid w:val="53FA6824"/>
    <w:rsid w:val="55060AB5"/>
    <w:rsid w:val="558D2FEC"/>
    <w:rsid w:val="55E254C7"/>
    <w:rsid w:val="562C450E"/>
    <w:rsid w:val="56A66902"/>
    <w:rsid w:val="575061B0"/>
    <w:rsid w:val="57F22BE8"/>
    <w:rsid w:val="58616B53"/>
    <w:rsid w:val="5869775D"/>
    <w:rsid w:val="587763AB"/>
    <w:rsid w:val="594E37E5"/>
    <w:rsid w:val="5A715EDE"/>
    <w:rsid w:val="5A735DA6"/>
    <w:rsid w:val="5B8546DB"/>
    <w:rsid w:val="5C3F4FBA"/>
    <w:rsid w:val="5CB07061"/>
    <w:rsid w:val="5CBF28FB"/>
    <w:rsid w:val="5CE924B8"/>
    <w:rsid w:val="5DD1333E"/>
    <w:rsid w:val="5DD56B3F"/>
    <w:rsid w:val="5E1775F9"/>
    <w:rsid w:val="5F6C4EC7"/>
    <w:rsid w:val="5FDE1E15"/>
    <w:rsid w:val="603F3427"/>
    <w:rsid w:val="61746DB3"/>
    <w:rsid w:val="61EE67C4"/>
    <w:rsid w:val="62FE131B"/>
    <w:rsid w:val="64005ADA"/>
    <w:rsid w:val="649D7B99"/>
    <w:rsid w:val="64F53B73"/>
    <w:rsid w:val="65405E35"/>
    <w:rsid w:val="65561F09"/>
    <w:rsid w:val="65B26BBF"/>
    <w:rsid w:val="68A13184"/>
    <w:rsid w:val="6A2E1B91"/>
    <w:rsid w:val="6AB62E60"/>
    <w:rsid w:val="6B45252F"/>
    <w:rsid w:val="6B481AA9"/>
    <w:rsid w:val="6CB23F37"/>
    <w:rsid w:val="6CDF0670"/>
    <w:rsid w:val="6D3F315C"/>
    <w:rsid w:val="6D8F0B3C"/>
    <w:rsid w:val="6E345382"/>
    <w:rsid w:val="6E533D98"/>
    <w:rsid w:val="6ECD6B84"/>
    <w:rsid w:val="714D142B"/>
    <w:rsid w:val="719F158F"/>
    <w:rsid w:val="71B1158C"/>
    <w:rsid w:val="750A69AD"/>
    <w:rsid w:val="772E27AF"/>
    <w:rsid w:val="77D53C63"/>
    <w:rsid w:val="77D8509B"/>
    <w:rsid w:val="782A7B4B"/>
    <w:rsid w:val="78FD0B64"/>
    <w:rsid w:val="7B754221"/>
    <w:rsid w:val="7BE5276D"/>
    <w:rsid w:val="7C387220"/>
    <w:rsid w:val="7C6D5272"/>
    <w:rsid w:val="7CB64A08"/>
    <w:rsid w:val="7D0F55BF"/>
    <w:rsid w:val="7D827B4F"/>
    <w:rsid w:val="7DD52AD6"/>
    <w:rsid w:val="7EDB0A69"/>
    <w:rsid w:val="7F38775F"/>
    <w:rsid w:val="7FB938FD"/>
    <w:rsid w:val="7FCA5CAC"/>
    <w:rsid w:val="7FE54B8F"/>
    <w:rsid w:val="8B7B747C"/>
    <w:rsid w:val="FFAD8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List 2"/>
    <w:basedOn w:val="1"/>
    <w:qFormat/>
    <w:uiPriority w:val="0"/>
    <w:pPr>
      <w:ind w:left="100" w:leftChars="200" w:hanging="200" w:hangingChars="2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标题 4 Char"/>
    <w:link w:val="5"/>
    <w:qFormat/>
    <w:uiPriority w:val="0"/>
    <w:rPr>
      <w:rFonts w:ascii="Arial" w:hAnsi="Arial" w:eastAsia="黑体"/>
      <w:b/>
      <w:sz w:val="28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0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1">
    <w:name w:val="标题 3 Char"/>
    <w:link w:val="4"/>
    <w:qFormat/>
    <w:uiPriority w:val="0"/>
    <w:rPr>
      <w:b/>
      <w:sz w:val="32"/>
    </w:rPr>
  </w:style>
  <w:style w:type="character" w:customStyle="1" w:styleId="22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25</Pages>
  <Words>2442</Words>
  <Characters>2728</Characters>
  <Lines>0</Lines>
  <Paragraphs>0</Paragraphs>
  <TotalTime>34</TotalTime>
  <ScaleCrop>false</ScaleCrop>
  <LinksUpToDate>false</LinksUpToDate>
  <CharactersWithSpaces>2929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2020-08-27T10:07:00Z</dcterms:created>
  <dc:creator>work</dc:creator>
  <cp:lastModifiedBy>吴恬恬</cp:lastModifiedBy>
  <dcterms:modified xsi:type="dcterms:W3CDTF">2023-09-15T02:01:28Z</dcterms:modified>
  <dc:title>附件3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B07F283F32684414A2AF4BD9504B92D6_13</vt:lpwstr>
  </property>
</Properties>
</file>