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ascii="Helvetica" w:hAnsi="Helvetica" w:eastAsia="Helvetica" w:cs="Helvetica"/>
          <w:i w:val="0"/>
          <w:iCs w:val="0"/>
          <w:caps w:val="0"/>
          <w:color w:val="474747"/>
          <w:spacing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关于公布诸暨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市市场监督管理局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行政规范性文件清理结果的通知（征求意见稿）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Helvetica" w:hAnsi="Helvetica" w:eastAsia="Helvetica" w:cs="Helvetica"/>
          <w:i w:val="0"/>
          <w:iCs w:val="0"/>
          <w:caps w:val="0"/>
          <w:color w:val="474747"/>
          <w:spacing w:val="0"/>
          <w:sz w:val="30"/>
          <w:szCs w:val="30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Helvetica" w:hAnsi="Helvetica" w:eastAsia="Helvetica" w:cs="Helvetica"/>
          <w:i w:val="0"/>
          <w:iCs w:val="0"/>
          <w:caps w:val="0"/>
          <w:color w:val="474747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根据《浙江省行政规范性文件管理办法》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的要求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诸暨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市市场监督管理局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本单位现行有效的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行政规范性文件进行了清理。现将清理结果公示如下：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Helvetica" w:hAnsi="Helvetica" w:eastAsia="Helvetica" w:cs="Helvetica"/>
          <w:i w:val="0"/>
          <w:iCs w:val="0"/>
          <w:caps w:val="0"/>
          <w:color w:val="474747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Helvetica" w:hAnsi="Helvetica" w:eastAsia="Helvetica" w:cs="Helvetica"/>
          <w:i w:val="0"/>
          <w:iCs w:val="0"/>
          <w:caps w:val="0"/>
          <w:color w:val="474747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附件：1.诸暨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市市场监督管理局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行政规范性文件清理结果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Helvetica" w:hAnsi="Helvetica" w:eastAsia="Helvetica" w:cs="Helvetica"/>
          <w:i w:val="0"/>
          <w:iCs w:val="0"/>
          <w:caps w:val="0"/>
          <w:color w:val="474747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 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Helvetica" w:hAnsi="Helvetica" w:eastAsia="Helvetica" w:cs="Helvetica"/>
          <w:i w:val="0"/>
          <w:iCs w:val="0"/>
          <w:caps w:val="0"/>
          <w:color w:val="474747"/>
          <w:spacing w:val="0"/>
          <w:sz w:val="30"/>
          <w:szCs w:val="3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Helvetica" w:hAnsi="Helvetica" w:eastAsia="Helvetica" w:cs="Helvetica"/>
          <w:i w:val="0"/>
          <w:iCs w:val="0"/>
          <w:caps w:val="0"/>
          <w:color w:val="474747"/>
          <w:spacing w:val="0"/>
          <w:sz w:val="30"/>
          <w:szCs w:val="3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115"/>
        <w:jc w:val="center"/>
        <w:rPr>
          <w:rFonts w:hint="eastAsia" w:ascii="Helvetica" w:hAnsi="Helvetica" w:eastAsia="仿宋" w:cs="Helvetica"/>
          <w:i w:val="0"/>
          <w:iCs w:val="0"/>
          <w:caps w:val="0"/>
          <w:color w:val="474747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诸暨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市市场监督管理局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474747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                                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>
      <w:pPr>
        <w:rPr>
          <w:rFonts w:hint="eastAsia" w:ascii="黑体" w:eastAsia="黑体"/>
          <w:bCs/>
          <w:sz w:val="32"/>
          <w:szCs w:val="32"/>
        </w:rPr>
      </w:pPr>
      <w:bookmarkStart w:id="0" w:name="_GoBack"/>
      <w:bookmarkEnd w:id="0"/>
    </w:p>
    <w:p>
      <w:pPr>
        <w:rPr>
          <w:rFonts w:hint="eastAsia" w:ascii="黑体" w:eastAsia="黑体"/>
          <w:bCs/>
          <w:sz w:val="32"/>
          <w:szCs w:val="32"/>
        </w:rPr>
      </w:pPr>
    </w:p>
    <w:p>
      <w:pPr>
        <w:rPr>
          <w:rFonts w:hint="eastAsia" w:ascii="黑体" w:eastAsia="黑体"/>
          <w:bCs/>
          <w:sz w:val="32"/>
          <w:szCs w:val="32"/>
        </w:rPr>
      </w:pPr>
    </w:p>
    <w:p>
      <w:pPr>
        <w:rPr>
          <w:rFonts w:hint="eastAsia" w:ascii="黑体" w:eastAsia="黑体"/>
          <w:bCs/>
          <w:sz w:val="32"/>
          <w:szCs w:val="32"/>
        </w:rPr>
      </w:pPr>
    </w:p>
    <w:p>
      <w:pPr>
        <w:rPr>
          <w:rFonts w:hint="eastAsia" w:ascii="黑体" w:eastAsia="黑体"/>
          <w:bCs/>
          <w:sz w:val="32"/>
          <w:szCs w:val="32"/>
        </w:rPr>
      </w:pPr>
    </w:p>
    <w:p>
      <w:pPr>
        <w:rPr>
          <w:rFonts w:hint="eastAsia" w:ascii="黑体" w:eastAsia="黑体"/>
          <w:bCs/>
          <w:sz w:val="32"/>
          <w:szCs w:val="32"/>
        </w:rPr>
      </w:pPr>
    </w:p>
    <w:p>
      <w:pPr>
        <w:rPr>
          <w:rFonts w:hint="eastAsia" w:ascii="黑体" w:eastAsia="黑体"/>
          <w:bCs/>
          <w:sz w:val="32"/>
          <w:szCs w:val="32"/>
        </w:rPr>
      </w:pPr>
    </w:p>
    <w:p>
      <w:pPr>
        <w:rPr>
          <w:rFonts w:hint="eastAsia" w:ascii="黑体" w:eastAsia="黑体"/>
          <w:bCs/>
          <w:sz w:val="32"/>
          <w:szCs w:val="32"/>
        </w:rPr>
      </w:pPr>
    </w:p>
    <w:p>
      <w:pPr>
        <w:rPr>
          <w:rFonts w:hint="eastAsia" w:ascii="黑体" w:eastAsia="黑体"/>
          <w:bCs/>
          <w:sz w:val="32"/>
          <w:szCs w:val="32"/>
        </w:rPr>
      </w:pPr>
    </w:p>
    <w:p>
      <w:pPr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附件1</w:t>
      </w:r>
    </w:p>
    <w:p>
      <w:pPr>
        <w:spacing w:beforeLines="50" w:afterLines="100"/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诸暨</w:t>
      </w:r>
      <w:r>
        <w:rPr>
          <w:rFonts w:hint="eastAsia" w:ascii="方正小标宋简体" w:eastAsia="方正小标宋简体"/>
          <w:sz w:val="40"/>
          <w:szCs w:val="32"/>
          <w:lang w:eastAsia="zh-CN"/>
        </w:rPr>
        <w:t>市市场监督管理局</w:t>
      </w:r>
      <w:r>
        <w:rPr>
          <w:rFonts w:hint="eastAsia" w:ascii="方正小标宋简体" w:eastAsia="方正小标宋简体"/>
          <w:sz w:val="40"/>
          <w:szCs w:val="32"/>
        </w:rPr>
        <w:t>行政规范性文件清理结果</w:t>
      </w:r>
    </w:p>
    <w:p>
      <w:pPr>
        <w:numPr>
          <w:ilvl w:val="0"/>
          <w:numId w:val="1"/>
        </w:numPr>
        <w:rPr>
          <w:rFonts w:hint="eastAsia" w:ascii="黑体" w:eastAsia="黑体"/>
          <w:sz w:val="22"/>
          <w:lang w:eastAsia="zh-CN"/>
        </w:rPr>
      </w:pPr>
      <w:r>
        <w:rPr>
          <w:rFonts w:hint="eastAsia" w:ascii="黑体" w:eastAsia="黑体"/>
          <w:sz w:val="22"/>
          <w:lang w:eastAsia="zh-CN"/>
        </w:rPr>
        <w:t>继续有效的规范性文件目录</w:t>
      </w:r>
    </w:p>
    <w:tbl>
      <w:tblPr>
        <w:tblStyle w:val="4"/>
        <w:tblW w:w="8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5303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530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题　名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文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诸暨市食品生产加工小作坊监督管理工作实施意见（试行）</w:t>
            </w:r>
          </w:p>
        </w:tc>
        <w:tc>
          <w:tcPr>
            <w:tcW w:w="2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诸市监管〔2019〕92号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关于处理冒用他人身份证明骗取企业（个体工商户）登记的操作规程</w:t>
            </w:r>
          </w:p>
        </w:tc>
        <w:tc>
          <w:tcPr>
            <w:tcW w:w="2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诸市监管〔2019〕96号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诸暨市市场监督管理局“首违不罚”指导意见（2021年修订）</w:t>
            </w:r>
          </w:p>
        </w:tc>
        <w:tc>
          <w:tcPr>
            <w:tcW w:w="2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诸市监管〔2021〕46号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诸暨市市场监督管理局行政强制措施实施暂行规定</w:t>
            </w:r>
          </w:p>
        </w:tc>
        <w:tc>
          <w:tcPr>
            <w:tcW w:w="2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诸市监管〔2022〕85号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诸暨市食品经营违法案件免予行政处罚指导意见(试行)</w:t>
            </w:r>
          </w:p>
        </w:tc>
        <w:tc>
          <w:tcPr>
            <w:tcW w:w="2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诸市监管〔2023〕62号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关于印发《诸暨市餐饮服务食品安全重点单位“四色”动态管理实施方案》的通知</w:t>
            </w:r>
          </w:p>
        </w:tc>
        <w:tc>
          <w:tcPr>
            <w:tcW w:w="2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诸市监管〔2024〕44号</w:t>
            </w:r>
          </w:p>
        </w:tc>
      </w:tr>
    </w:tbl>
    <w:p/>
    <w:p>
      <w:pPr>
        <w:numPr>
          <w:ilvl w:val="0"/>
          <w:numId w:val="1"/>
        </w:numPr>
      </w:pPr>
      <w:r>
        <w:rPr>
          <w:rFonts w:hint="eastAsia" w:ascii="黑体" w:eastAsia="黑体"/>
          <w:sz w:val="22"/>
          <w:lang w:eastAsia="zh-CN"/>
        </w:rPr>
        <w:t>废止的规范性文件目录</w:t>
      </w:r>
    </w:p>
    <w:tbl>
      <w:tblPr>
        <w:tblStyle w:val="4"/>
        <w:tblW w:w="8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5303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530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题　名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文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诸暨市市场监督管理局行政处罚罚款幅度自由裁量规定</w:t>
            </w:r>
          </w:p>
        </w:tc>
        <w:tc>
          <w:tcPr>
            <w:tcW w:w="2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诸市监管〔2018〕4号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诸暨市电梯维保单位量化考评管理工作实施细则</w:t>
            </w:r>
          </w:p>
        </w:tc>
        <w:tc>
          <w:tcPr>
            <w:tcW w:w="2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诸市监管〔2021〕62号</w:t>
            </w:r>
          </w:p>
        </w:tc>
      </w:tr>
    </w:tbl>
    <w:p>
      <w:pPr>
        <w:pStyle w:val="2"/>
      </w:pP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4A3CE4"/>
    <w:multiLevelType w:val="singleLevel"/>
    <w:tmpl w:val="414A3C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91D93"/>
    <w:rsid w:val="17C118EE"/>
    <w:rsid w:val="26814D11"/>
    <w:rsid w:val="494030AC"/>
    <w:rsid w:val="5C881FAD"/>
    <w:rsid w:val="6579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2024-09-11T06:38:00Z</dcterms:created>
  <dc:creator>梧桐音倩</dc:creator>
  <cp:lastModifiedBy>Jea</cp:lastModifiedBy>
  <cp:lastPrinted>2024-10-28T03:03:00Z</cp:lastPrinted>
  <dcterms:modified xsi:type="dcterms:W3CDTF">2024-10-29T06:57:16Z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F45339FC3F1647C39F7D6D4D888CD684</vt:lpwstr>
  </property>
</Properties>
</file>