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77"/>
        <w:rPr>
          <w:rFonts w:eastAsia="黑体"/>
          <w:sz w:val="32"/>
          <w:szCs w:val="32"/>
        </w:rPr>
      </w:pPr>
      <w:r>
        <w:rPr>
          <w:rFonts w:eastAsia="黑体"/>
          <w:sz w:val="32"/>
          <w:szCs w:val="32"/>
        </w:rPr>
        <w:t>附件2</w:t>
      </w:r>
    </w:p>
    <w:p>
      <w:pPr>
        <w:pStyle w:val="77"/>
        <w:spacing w:line="540" w:lineRule="exact"/>
        <w:jc w:val="center"/>
        <w:rPr>
          <w:rFonts w:eastAsia="方正小标宋简体"/>
          <w:sz w:val="44"/>
          <w:szCs w:val="44"/>
        </w:rPr>
      </w:pPr>
      <w:r>
        <w:rPr>
          <w:rFonts w:eastAsia="方正小标宋简体"/>
          <w:sz w:val="44"/>
          <w:szCs w:val="44"/>
        </w:rPr>
        <w:t>金东区多湖街道、东孝街道综合行政</w:t>
      </w:r>
    </w:p>
    <w:p>
      <w:pPr>
        <w:pStyle w:val="77"/>
        <w:spacing w:line="540" w:lineRule="exact"/>
        <w:jc w:val="center"/>
        <w:rPr>
          <w:rFonts w:eastAsia="方正小标宋简体"/>
          <w:sz w:val="44"/>
          <w:szCs w:val="44"/>
        </w:rPr>
      </w:pPr>
      <w:r>
        <w:rPr>
          <w:rFonts w:eastAsia="方正小标宋简体"/>
          <w:sz w:val="44"/>
          <w:szCs w:val="44"/>
        </w:rPr>
        <w:t>执法事项目录（2025年）</w:t>
      </w:r>
    </w:p>
    <w:tbl>
      <w:tblPr>
        <w:jc w:val="cente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69"/>
        <w:gridCol w:w="1939"/>
        <w:gridCol w:w="4071"/>
        <w:gridCol w:w="2475"/>
      </w:tblGrid>
      <w:tr>
        <w:trPr>
          <w:trHeight w:val="630"/>
          <w:tblHeader/>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序号</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事项编码</w:t>
            </w:r>
          </w:p>
        </w:tc>
        <w:tc>
          <w:tcPr>
            <w:tcW w:w="4071"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事项名称</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赋权范围</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一、自然资源（共4项）</w:t>
            </w:r>
          </w:p>
        </w:tc>
      </w:tr>
      <w:tr>
        <w:trPr>
          <w:trHeight w:val="1398"/>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330215069000</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对在燃气设施保护范围内建设占压地下燃气管线的建筑物、构筑物或者其他设施的行政处罚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部分（没收较大数额违法所得除外）</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2</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330215073000</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对房屋使用人擅自改变建设工程规划许可证确定的房屋用途的行政处罚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部分（没收较大数额违法所得除外）</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330215067000</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对建设单位或者个人改变临时规划许可确定的建筑用途的行政处罚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4</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330215068000</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对建设工程设计、施工单位违规承揽明知是违法建筑的项目设计或者施工作业的行政处罚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部分（没收较大数额违法所得除外）</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二、农业农村（共</w:t>
            </w:r>
            <w:r>
              <w:rPr>
                <w:rFonts w:eastAsia="仿宋_GB2312"/>
                <w:b/>
                <w:spacing w:val="-11"/>
                <w:kern w:val="0"/>
                <w:sz w:val="28"/>
                <w:szCs w:val="28"/>
                <w:lang w:val="en-US" w:eastAsia="zh-CN" w:bidi="ar-SA"/>
              </w:rPr>
              <w:t>1</w:t>
            </w:r>
            <w:r>
              <w:rPr>
                <w:rFonts w:eastAsia="仿宋_GB2312"/>
                <w:b/>
                <w:spacing w:val="-11"/>
                <w:kern w:val="0"/>
                <w:sz w:val="28"/>
                <w:szCs w:val="28"/>
                <w:lang w:bidi="ar-SA"/>
              </w:rPr>
              <w:t>项）</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330220049000</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对在实行城市市容和环境卫生管理的区域外，随意倾倒或者堆放生活垃圾、餐厨垃圾、建筑垃圾等废弃物或者废旧物品的行政处罚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全部</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三、建设（共15项）</w:t>
            </w:r>
          </w:p>
        </w:tc>
      </w:tr>
      <w:tr>
        <w:trPr>
          <w:trHeight w:val="1067"/>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330217216000 </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对单位和个人未按规定分类投放生活垃圾的行政处罚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330217F62003</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(金华)对未自备垃圾分类收集容器，未能保持摊架、摊棚和地面清洁的行政处罚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330217197006 </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对乱倒生活垃圾、污水、粪便的行政处罚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4</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330217197005 </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对乱扔果皮、纸屑、烟蒂、饮料罐、口香糖、塑料袋等废弃物的行政处罚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5</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330217168000 </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对生活垃圾分类投放管理责任人未履行生活垃圾分类投放管理责任的行政处罚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6</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330217267000 </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对生活垃圾收集、运输单位对分类投放的生活垃圾混合收集、运输的行政处罚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7</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330217F49000</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（金华）对在学校周边、城市道路、广场等公共场所散发商业性传单、卡片等广告宣传品的行政处罚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8</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330217F50002</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(金华)对绿地内行驶停放车辆、野炊烧烤、饲养家禽、放牧的行政处罚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9</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330217F50003</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(金华)对公园绿地水域内洗衣物和在禁钓区垂钓的行政处罚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10</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330217138002</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对在绿地内放牧、堆物、倾倒废弃物的行政处罚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11</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330217222005</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对在不具备安全条件的场所使用、储存燃气的行政处罚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12</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330217222008</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对燃气燃烧器具的安装、维修不符合国家有关标准的行政处罚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793"/>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13</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330217142004</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对加热、摔砸、倒卧、曝晒燃气气瓶或者改换气瓶检验标志、漆色的行为的行政处罚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486"/>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14</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330217156000</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对在露天场所和垃圾收集容器内焚烧树叶、垃圾或者其他废弃物的行政处罚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15</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330217454000</w:t>
            </w:r>
          </w:p>
        </w:tc>
        <w:tc>
          <w:tcPr>
            <w:tcW w:w="4071" w:type="dxa"/>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对擅自在街道两侧和公共场地堆放物料，搭建建筑物、构筑物或其他设施的行政处罚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四、生态环境（共3项）</w:t>
            </w:r>
          </w:p>
        </w:tc>
      </w:tr>
      <w:tr>
        <w:trPr>
          <w:trHeight w:val="1049"/>
        </w:trPr>
        <w:tc>
          <w:tcPr>
            <w:tcW w:w="86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330216277002</w:t>
            </w:r>
          </w:p>
        </w:tc>
        <w:tc>
          <w:tcPr>
            <w:tcW w:w="4071" w:type="dxa"/>
            <w:tcBorders>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对露天焚烧秸秆、落叶等产生烟尘污染物质的行政处罚</w:t>
            </w:r>
          </w:p>
        </w:tc>
        <w:tc>
          <w:tcPr>
            <w:tcW w:w="2475"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3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330216282000</w:t>
            </w:r>
          </w:p>
        </w:tc>
        <w:tc>
          <w:tcPr>
            <w:tcW w:w="4071" w:type="dxa"/>
            <w:tcBorders>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对违法在人口集中和其他需特殊保护区域焚烧产生有毒有害烟尘和恶臭气体的行政处罚</w:t>
            </w:r>
          </w:p>
        </w:tc>
        <w:tc>
          <w:tcPr>
            <w:tcW w:w="2475"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sz w:val="28"/>
                <w:szCs w:val="28"/>
              </w:rPr>
            </w:pPr>
            <w:r>
              <w:rPr>
                <w:rFonts w:eastAsia="仿宋_GB2312"/>
                <w:spacing w:val="-11"/>
                <w:kern w:val="0"/>
                <w:sz w:val="28"/>
                <w:szCs w:val="28"/>
                <w:lang w:bidi="ar-SA"/>
              </w:rPr>
              <w:t>3</w:t>
            </w:r>
          </w:p>
        </w:tc>
        <w:tc>
          <w:tcPr>
            <w:tcW w:w="1939"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sz w:val="28"/>
                <w:szCs w:val="28"/>
              </w:rPr>
            </w:pPr>
            <w:r>
              <w:rPr>
                <w:rFonts w:eastAsia="仿宋_GB2312"/>
                <w:spacing w:val="-11"/>
                <w:kern w:val="0"/>
                <w:sz w:val="28"/>
                <w:szCs w:val="28"/>
                <w:lang w:bidi="ar-SA"/>
              </w:rPr>
              <w:t>330216132002</w:t>
            </w:r>
          </w:p>
        </w:tc>
        <w:tc>
          <w:tcPr>
            <w:tcW w:w="4071" w:type="dxa"/>
            <w:tcBorders>
              <w:tl2br w:val="nil"/>
              <w:tr2bl w:val="nil"/>
            </w:tcBorders>
            <w:tcMar>
              <w:top w:w="15" w:type="dxa"/>
              <w:left w:w="15" w:type="dxa"/>
              <w:right w:w="15" w:type="dxa"/>
            </w:tcMar>
            <w:vAlign w:val="center"/>
          </w:tcPr>
          <w:p>
            <w:pPr>
              <w:widowControl/>
              <w:spacing w:line="440" w:lineRule="exact"/>
              <w:textAlignment w:val="center"/>
              <w:rPr>
                <w:rFonts w:eastAsia="仿宋_GB2312"/>
                <w:spacing w:val="-11"/>
                <w:sz w:val="28"/>
                <w:szCs w:val="28"/>
              </w:rPr>
            </w:pPr>
            <w:r>
              <w:rPr>
                <w:rFonts w:eastAsia="仿宋_GB2312"/>
                <w:spacing w:val="-11"/>
                <w:kern w:val="0"/>
                <w:sz w:val="28"/>
                <w:szCs w:val="28"/>
                <w:lang w:bidi="ar-SA"/>
              </w:rPr>
              <w:t>对向水体排放、倾倒工业废渣、城镇垃圾或者其他废弃物等违法行为的行政处罚</w:t>
            </w:r>
          </w:p>
        </w:tc>
        <w:tc>
          <w:tcPr>
            <w:tcW w:w="2475"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380" w:lineRule="exact"/>
              <w:jc w:val="left"/>
              <w:textAlignment w:val="center"/>
              <w:rPr>
                <w:rFonts w:eastAsia="仿宋_GB2312"/>
                <w:b/>
                <w:spacing w:val="-11"/>
                <w:sz w:val="28"/>
                <w:szCs w:val="28"/>
              </w:rPr>
            </w:pPr>
            <w:r>
              <w:rPr>
                <w:rFonts w:eastAsia="仿宋_GB2312"/>
                <w:b/>
                <w:spacing w:val="-11"/>
                <w:kern w:val="0"/>
                <w:sz w:val="28"/>
                <w:szCs w:val="28"/>
                <w:lang w:bidi="ar-SA"/>
              </w:rPr>
              <w:t>五、消防救援（共6项）</w:t>
            </w:r>
          </w:p>
        </w:tc>
      </w:tr>
      <w:tr>
        <w:trPr>
          <w:trHeight w:val="90"/>
        </w:trPr>
        <w:tc>
          <w:tcPr>
            <w:tcW w:w="86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330295022001 </w:t>
            </w:r>
          </w:p>
        </w:tc>
        <w:tc>
          <w:tcPr>
            <w:tcW w:w="4071" w:type="dxa"/>
            <w:tcBorders>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对占用、堵塞、封闭城市道路上的消防车通道的行政处罚</w:t>
            </w:r>
          </w:p>
        </w:tc>
        <w:tc>
          <w:tcPr>
            <w:tcW w:w="2475"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部分（划转对占用、堵塞、封闭城市道路上的消防车通道的行政处罚事项）</w:t>
            </w:r>
          </w:p>
        </w:tc>
      </w:tr>
      <w:tr>
        <w:trPr>
          <w:trHeight w:val="90"/>
        </w:trPr>
        <w:tc>
          <w:tcPr>
            <w:tcW w:w="86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3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330295024001 </w:t>
            </w:r>
          </w:p>
        </w:tc>
        <w:tc>
          <w:tcPr>
            <w:tcW w:w="4071" w:type="dxa"/>
            <w:tcBorders>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对沿城市道路的人员密集场所门窗设置影响逃生、灭火救援的障碍物的行政处罚</w:t>
            </w:r>
          </w:p>
        </w:tc>
        <w:tc>
          <w:tcPr>
            <w:tcW w:w="2475"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部分（划转对沿城市道路的人员密集场所沿城市道路的人员密集场所门窗设置影响逃生、灭火救援的障碍物的行政处罚事项）</w:t>
            </w:r>
          </w:p>
        </w:tc>
      </w:tr>
      <w:tr>
        <w:trPr>
          <w:trHeight w:val="90"/>
        </w:trPr>
        <w:tc>
          <w:tcPr>
            <w:tcW w:w="86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w:t>
            </w:r>
          </w:p>
        </w:tc>
        <w:tc>
          <w:tcPr>
            <w:tcW w:w="193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330295018000 </w:t>
            </w:r>
          </w:p>
        </w:tc>
        <w:tc>
          <w:tcPr>
            <w:tcW w:w="4071" w:type="dxa"/>
            <w:tcBorders>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对建筑物外墙装修装饰、建筑屋面使用及广告牌的设置影响防火、逃生的行政处罚</w:t>
            </w:r>
          </w:p>
        </w:tc>
        <w:tc>
          <w:tcPr>
            <w:tcW w:w="2475"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86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4</w:t>
            </w:r>
          </w:p>
        </w:tc>
        <w:tc>
          <w:tcPr>
            <w:tcW w:w="193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330295060001 </w:t>
            </w:r>
          </w:p>
        </w:tc>
        <w:tc>
          <w:tcPr>
            <w:tcW w:w="4071" w:type="dxa"/>
            <w:tcBorders>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对私拉电线和插座给电动车充电的行政处罚</w:t>
            </w:r>
          </w:p>
        </w:tc>
        <w:tc>
          <w:tcPr>
            <w:tcW w:w="2475"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部分（划转对在城市道路上在城市道路上私拉电线和插座给电动车充电的行政处罚事项）</w:t>
            </w:r>
          </w:p>
        </w:tc>
      </w:tr>
      <w:tr>
        <w:trPr>
          <w:trHeight w:val="90"/>
        </w:trPr>
        <w:tc>
          <w:tcPr>
            <w:tcW w:w="869" w:type="dxa"/>
            <w:tcBorders>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5</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330295016001 </w:t>
            </w:r>
          </w:p>
        </w:tc>
        <w:tc>
          <w:tcPr>
            <w:tcW w:w="4071"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对占用、堵塞、封闭城市道路上的消防登高场地的行政处罚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部分（划转对占用、堵塞、封闭城市道路上的消防登高场地的行政处罚事项）</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6</w:t>
            </w:r>
          </w:p>
        </w:tc>
        <w:tc>
          <w:tcPr>
            <w:tcW w:w="1939" w:type="dxa"/>
            <w:tcBorders>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330295062000</w:t>
            </w:r>
          </w:p>
        </w:tc>
        <w:tc>
          <w:tcPr>
            <w:tcW w:w="4071" w:type="dxa"/>
            <w:tcBorders>
              <w:tl2br w:val="nil"/>
              <w:tr2bl w:val="nil"/>
            </w:tcBorders>
            <w:tcMar>
              <w:top w:w="15" w:type="dxa"/>
              <w:left w:w="15" w:type="dxa"/>
              <w:right w:w="15" w:type="dxa"/>
            </w:tcMar>
            <w:vAlign w:val="center"/>
          </w:tcPr>
          <w:p>
            <w:pPr>
              <w:widowControl/>
              <w:spacing w:line="440" w:lineRule="exact"/>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对在疏散通道、安全出口、楼梯间停放电动车的行政处罚</w:t>
            </w:r>
          </w:p>
        </w:tc>
        <w:tc>
          <w:tcPr>
            <w:tcW w:w="2475" w:type="dxa"/>
            <w:tcBorders>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全部</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六、市场监管(共1项）</w:t>
            </w:r>
          </w:p>
        </w:tc>
      </w:tr>
      <w:tr>
        <w:trPr>
          <w:trHeight w:val="90"/>
        </w:trPr>
        <w:tc>
          <w:tcPr>
            <w:tcW w:w="86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1 </w:t>
            </w:r>
          </w:p>
        </w:tc>
        <w:tc>
          <w:tcPr>
            <w:tcW w:w="1939"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330231076001</w:t>
            </w:r>
          </w:p>
        </w:tc>
        <w:tc>
          <w:tcPr>
            <w:tcW w:w="4071" w:type="dxa"/>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对在室外公共场所无照经营的行政处罚</w:t>
            </w:r>
          </w:p>
        </w:tc>
        <w:tc>
          <w:tcPr>
            <w:tcW w:w="2475"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bl>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0000000000000000000"/>
    <w:charset w:val="00"/>
    <w:family w:val="script"/>
    <w:pitch w:val="variable"/>
    <w:sig w:usb0="00000000" w:usb1="00000000" w:usb2="00000000" w:usb3="00000000" w:csb0="00000000"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兰亭黑_GBK"/>
    <w:panose1 w:val="02010600030101010101"/>
    <w:charset w:val="86"/>
    <w:family w:val="script"/>
    <w:pitch w:val="variable"/>
    <w:sig w:usb0="00000003" w:usb1="080E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77">
    <w:name w:val="Body Text First Indent"/>
    <w:basedOn w:val="0"/>
    <w:next w:val="0"/>
    <w:pPr>
      <w:widowControl w:val="0"/>
      <w:ind w:firstLineChars="100" w:firstLine="100"/>
      <w:jc w:val="both"/>
    </w:pPr>
    <w:rPr>
      <w:rFonts w:ascii="Times New Roman" w:eastAsia="宋体" w:cs="Times New Roman" w:hAnsi="Times New Roman"/>
      <w:kern w:val="2"/>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1371</Words>
  <Characters>1711</Characters>
  <Lines>199</Lines>
  <Paragraphs>133</Paragraphs>
  <CharactersWithSpaces>1722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2025-05-07T02:16:36Z</dcterms:created>
  <dcterms:modified xsi:type="dcterms:W3CDTF">2025-05-07T02:17:24Z</dcterms:modified>
</cp:coreProperties>
</file>