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theme="minorBidi"/>
          <w:spacing w:val="0"/>
          <w:kern w:val="44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theme="minorBidi"/>
          <w:spacing w:val="0"/>
          <w:kern w:val="44"/>
          <w:sz w:val="44"/>
          <w:szCs w:val="44"/>
          <w:lang w:val="en-US" w:eastAsia="zh-CN" w:bidi="ar-SA"/>
        </w:rPr>
        <w:t>《关于规范东阳市强村公司运行的指导意见（试行）（征求意见稿）》的起草说明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根据《浙江省农业农村厅等10部门关于促进强村公司健康发展的指导意见（试行）》（浙农政发〔2023〕1号）文件精神，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扎实推进乡村振兴和共同富裕，进一步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规范强村公司运营管理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，有效控制强村公司发展中的风险问题，推动其健康发展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持续提升强村公司联村带农致富能力，结合我市实际，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我局牵头起草了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《关于规范东阳市强村公司运行管理的指导意见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征求意见稿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》（以下简称《指导意见》）。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根据省市关于促进强村公司健康发展等文件精神，我局于2024年3月着手起草《指导意见》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2024年3月至6月期间，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两次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有关部门和各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镇乡街道征求意见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修改完善后形成《指导意见》征求意见稿。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三、起草依据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中华人民共和国公司法》、《浙江省农村集体资产管理条例》、《浙江省村经济合作社组织条例》、《浙江省农业农村厅等10部门关于促进强村公司健康发展的指导意见（试行）》等相关法律法规及文件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四、主要内容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《指导意见》包含总体要求、强村公司定义和发展模式、具体要求、保障措施、责任追究五个方面内容。主要包括：一是明确强村公司范围和发展重点、对强村公司定义作出明确；二是突出内部规范运行，从公司设立、组织架构、运营管理、账务管理、监督管理、公司处置6个方面细化与要求；三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加大金融机构、财政专项资金、用地指标等要素支持。</w:t>
      </w:r>
    </w:p>
    <w:p/>
    <w:sectPr>
      <w:headerReference r:id="rId3" w:type="default"/>
      <w:footerReference r:id="rId4" w:type="default"/>
      <w:pgSz w:w="11906" w:h="16838"/>
      <w:pgMar w:top="1587" w:right="1474" w:bottom="158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77B78"/>
    <w:rsid w:val="5347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2024-06-27T03:10:00Z</dcterms:created>
  <dc:creator>666</dc:creator>
  <cp:lastModifiedBy>666</cp:lastModifiedBy>
  <dcterms:modified xsi:type="dcterms:W3CDTF">2024-06-27T03:12:21Z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