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05B07">
      <w:pPr>
        <w:pStyle w:val="8"/>
        <w:spacing w:line="600" w:lineRule="exact"/>
        <w:jc w:val="center"/>
        <w:rPr>
          <w:rFonts w:ascii="华文中宋" w:hAnsi="华文中宋" w:eastAsia="华文中宋" w:cs="黑体"/>
          <w:b/>
          <w:bCs/>
          <w:sz w:val="36"/>
          <w:szCs w:val="36"/>
        </w:rPr>
      </w:pPr>
      <w:r>
        <w:rPr>
          <w:rFonts w:hint="eastAsia" w:ascii="华文中宋" w:hAnsi="华文中宋" w:eastAsia="华文中宋" w:cs="黑体"/>
          <w:b/>
          <w:bCs/>
          <w:sz w:val="36"/>
          <w:szCs w:val="36"/>
          <w:lang w:val="zh-CN"/>
        </w:rPr>
        <w:t>关于</w:t>
      </w:r>
      <w:r>
        <w:rPr>
          <w:rFonts w:hint="eastAsia" w:ascii="华文中宋" w:hAnsi="华文中宋" w:eastAsia="华文中宋" w:cs="黑体"/>
          <w:b/>
          <w:bCs/>
          <w:sz w:val="36"/>
          <w:szCs w:val="36"/>
          <w:lang w:val="en-US" w:eastAsia="zh-CN"/>
        </w:rPr>
        <w:t>印发《国四非营运柴油货车、国一非道路移动机淘汰更新工作实施方案</w:t>
      </w:r>
      <w:r>
        <w:rPr>
          <w:rFonts w:hint="eastAsia" w:ascii="华文中宋" w:hAnsi="华文中宋" w:eastAsia="华文中宋" w:cs="黑体"/>
          <w:b/>
          <w:bCs/>
          <w:sz w:val="36"/>
          <w:szCs w:val="36"/>
          <w:lang w:val="zh-CN" w:eastAsia="zh-CN"/>
        </w:rPr>
        <w:t>》的</w:t>
      </w:r>
      <w:r>
        <w:rPr>
          <w:rFonts w:hint="eastAsia" w:ascii="华文中宋" w:hAnsi="华文中宋" w:eastAsia="华文中宋" w:cs="黑体"/>
          <w:b/>
          <w:bCs/>
          <w:sz w:val="36"/>
          <w:szCs w:val="36"/>
          <w:lang w:val="zh-CN"/>
        </w:rPr>
        <w:t>起草说明</w:t>
      </w:r>
    </w:p>
    <w:p w14:paraId="0A07C559">
      <w:pPr>
        <w:spacing w:line="540" w:lineRule="exact"/>
        <w:jc w:val="center"/>
        <w:rPr>
          <w:rFonts w:ascii="Times New Roman" w:hAnsi="Times New Roman" w:eastAsia="仿宋_GB2312"/>
          <w:kern w:val="144"/>
          <w:sz w:val="32"/>
          <w:szCs w:val="32"/>
          <w:lang w:val="zh-CN"/>
        </w:rPr>
      </w:pPr>
    </w:p>
    <w:p w14:paraId="621D0FFE">
      <w:pPr>
        <w:ind w:firstLine="640"/>
        <w:jc w:val="both"/>
        <w:rPr>
          <w:rFonts w:ascii="Times New Roman" w:hAnsi="Times New Roman" w:eastAsia="仿宋_GB2312"/>
          <w:color w:val="000000"/>
          <w:sz w:val="32"/>
          <w:szCs w:val="32"/>
        </w:rPr>
      </w:pPr>
      <w:r>
        <w:rPr>
          <w:rFonts w:hint="eastAsia" w:ascii="仿宋" w:hAnsi="仿宋" w:eastAsia="仿宋" w:cs="仿宋"/>
          <w:sz w:val="32"/>
          <w:szCs w:val="32"/>
          <w:lang w:val="en-US" w:eastAsia="zh-CN"/>
        </w:rPr>
        <w:t>为持续深入打好蓝天保卫战、打赢柴油货车污染治理攻坚战，改善大气环境质量，推进国四非营运柴油货车及国一非道路移动机械（以下简称“非道机械”）淘汰更新，从源头减少污染。根据浙江省发展和改革委员会和浙江省财政厅联合印发的《浙江省2025年推动大规模设备更新和消费品以旧换新实施方案的通知》（浙发改环资〔2025〕17号）相关要求，结合我市实际，我中心起草了《国四非营运柴油货车、国一非道路移动机淘汰更新工作实施方案》(以下简称“方案”)。</w:t>
      </w:r>
      <w:r>
        <w:rPr>
          <w:rFonts w:ascii="Times New Roman" w:hAnsi="Times New Roman" w:eastAsia="仿宋_GB2312"/>
          <w:color w:val="000000"/>
          <w:sz w:val="32"/>
          <w:szCs w:val="32"/>
        </w:rPr>
        <w:t>现将有关情况</w:t>
      </w:r>
      <w:r>
        <w:rPr>
          <w:rFonts w:hint="eastAsia" w:ascii="Times New Roman" w:hAnsi="Times New Roman" w:eastAsia="仿宋_GB2312"/>
          <w:color w:val="000000"/>
          <w:sz w:val="32"/>
          <w:szCs w:val="32"/>
        </w:rPr>
        <w:t>说明</w:t>
      </w:r>
      <w:r>
        <w:rPr>
          <w:rFonts w:ascii="Times New Roman" w:hAnsi="Times New Roman" w:eastAsia="仿宋_GB2312"/>
          <w:color w:val="000000"/>
          <w:sz w:val="32"/>
          <w:szCs w:val="32"/>
        </w:rPr>
        <w:t>如下：</w:t>
      </w:r>
    </w:p>
    <w:p w14:paraId="5FD893FA">
      <w:pPr>
        <w:spacing w:line="54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w:t>
      </w:r>
      <w:r>
        <w:rPr>
          <w:rFonts w:hint="eastAsia" w:ascii="黑体" w:hAnsi="黑体" w:eastAsia="黑体" w:cs="黑体"/>
          <w:color w:val="000000"/>
          <w:sz w:val="32"/>
          <w:szCs w:val="32"/>
          <w:lang w:val="en-US" w:eastAsia="zh-CN"/>
        </w:rPr>
        <w:t>实施</w:t>
      </w:r>
      <w:r>
        <w:rPr>
          <w:rFonts w:hint="eastAsia" w:ascii="黑体" w:hAnsi="黑体" w:eastAsia="黑体" w:cs="黑体"/>
          <w:color w:val="000000"/>
          <w:sz w:val="32"/>
          <w:szCs w:val="32"/>
        </w:rPr>
        <w:t>《</w:t>
      </w:r>
      <w:r>
        <w:rPr>
          <w:rFonts w:hint="eastAsia" w:ascii="黑体" w:hAnsi="黑体" w:eastAsia="黑体" w:cs="黑体"/>
          <w:color w:val="000000"/>
          <w:sz w:val="32"/>
          <w:szCs w:val="32"/>
          <w:lang w:val="en-US" w:eastAsia="zh-CN"/>
        </w:rPr>
        <w:t>方案</w:t>
      </w:r>
      <w:r>
        <w:rPr>
          <w:rFonts w:hint="eastAsia" w:ascii="黑体" w:hAnsi="黑体" w:eastAsia="黑体" w:cs="黑体"/>
          <w:color w:val="000000"/>
          <w:sz w:val="32"/>
          <w:szCs w:val="32"/>
        </w:rPr>
        <w:t>》的必要性、政策依据和前期意见征求情况</w:t>
      </w:r>
    </w:p>
    <w:p w14:paraId="628C2B1D">
      <w:pPr>
        <w:widowControl/>
        <w:shd w:val="clear" w:color="auto" w:fill="FFFFFF"/>
        <w:spacing w:line="560" w:lineRule="exact"/>
        <w:ind w:firstLine="630" w:firstLineChars="196"/>
        <w:jc w:val="left"/>
        <w:rPr>
          <w:rFonts w:ascii="楷体" w:hAnsi="楷体" w:eastAsia="楷体" w:cs="仿宋"/>
          <w:b/>
          <w:kern w:val="144"/>
          <w:sz w:val="32"/>
          <w:szCs w:val="32"/>
        </w:rPr>
      </w:pPr>
      <w:r>
        <w:rPr>
          <w:rFonts w:hint="eastAsia" w:ascii="楷体" w:hAnsi="楷体" w:eastAsia="楷体" w:cs="仿宋"/>
          <w:b/>
          <w:kern w:val="144"/>
          <w:sz w:val="32"/>
          <w:szCs w:val="32"/>
        </w:rPr>
        <w:t>（一）《</w:t>
      </w:r>
      <w:r>
        <w:rPr>
          <w:rFonts w:hint="eastAsia" w:ascii="楷体" w:hAnsi="楷体" w:eastAsia="楷体" w:cs="仿宋"/>
          <w:b/>
          <w:kern w:val="144"/>
          <w:sz w:val="32"/>
          <w:szCs w:val="32"/>
          <w:lang w:val="en-US" w:eastAsia="zh-CN"/>
        </w:rPr>
        <w:t>方案</w:t>
      </w:r>
      <w:r>
        <w:rPr>
          <w:rFonts w:hint="eastAsia" w:ascii="楷体" w:hAnsi="楷体" w:eastAsia="楷体" w:cs="仿宋"/>
          <w:b/>
          <w:kern w:val="144"/>
          <w:sz w:val="32"/>
          <w:szCs w:val="32"/>
        </w:rPr>
        <w:t>》出台的必要性</w:t>
      </w:r>
    </w:p>
    <w:p w14:paraId="3781AAF3">
      <w:pPr>
        <w:numPr>
          <w:ilvl w:val="0"/>
          <w:numId w:val="0"/>
        </w:numPr>
        <w:spacing w:line="220" w:lineRule="atLeas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自2014年大气污染防治行动计划实施以来，全市环境空气质量显著改善，空气质量优良率从2013年的73.2%提升到2024年的94%，但冬末春初PM</w:t>
      </w:r>
      <w:r>
        <w:rPr>
          <w:rFonts w:hint="eastAsia" w:ascii="仿宋" w:hAnsi="仿宋" w:eastAsia="仿宋" w:cs="仿宋"/>
          <w:sz w:val="32"/>
          <w:szCs w:val="32"/>
          <w:vertAlign w:val="subscript"/>
          <w:lang w:val="en-US" w:eastAsia="zh-CN"/>
        </w:rPr>
        <w:t>2.5</w:t>
      </w:r>
      <w:r>
        <w:rPr>
          <w:rFonts w:hint="eastAsia" w:ascii="仿宋" w:hAnsi="仿宋" w:eastAsia="仿宋" w:cs="仿宋"/>
          <w:sz w:val="32"/>
          <w:szCs w:val="32"/>
          <w:lang w:val="en-US" w:eastAsia="zh-CN"/>
        </w:rPr>
        <w:t>浓度超标现象多发，夏季O</w:t>
      </w:r>
      <w:r>
        <w:rPr>
          <w:rFonts w:hint="eastAsia" w:ascii="仿宋" w:hAnsi="仿宋" w:eastAsia="仿宋" w:cs="仿宋"/>
          <w:sz w:val="32"/>
          <w:szCs w:val="32"/>
          <w:vertAlign w:val="subscript"/>
          <w:lang w:val="en-US" w:eastAsia="zh-CN"/>
        </w:rPr>
        <w:t>3</w:t>
      </w:r>
      <w:r>
        <w:rPr>
          <w:rFonts w:hint="eastAsia" w:ascii="仿宋" w:hAnsi="仿宋" w:eastAsia="仿宋" w:cs="仿宋"/>
          <w:sz w:val="32"/>
          <w:szCs w:val="32"/>
          <w:lang w:val="en-US" w:eastAsia="zh-CN"/>
        </w:rPr>
        <w:t>浓度居高不下，轻、中度污染天气常有发生。截止到目前，我市国四非营运柴油货车保有量为457辆，国一非道路移动机械保有量为759台，老旧非营运柴油货车和国一非道机械因使用年限长、发动机技术落后</w:t>
      </w:r>
      <w:bookmarkStart w:id="0" w:name="_GoBack"/>
      <w:bookmarkEnd w:id="0"/>
      <w:r>
        <w:rPr>
          <w:rFonts w:hint="eastAsia" w:ascii="仿宋" w:hAnsi="仿宋" w:eastAsia="仿宋" w:cs="仿宋"/>
          <w:sz w:val="32"/>
          <w:szCs w:val="32"/>
          <w:lang w:val="en-US" w:eastAsia="zh-CN"/>
        </w:rPr>
        <w:t>，普遍存在氮氧化物（NOX）和颗粒物（PM）排放超标问题。</w:t>
      </w:r>
    </w:p>
    <w:p w14:paraId="00154504">
      <w:pPr>
        <w:numPr>
          <w:ilvl w:val="0"/>
          <w:numId w:val="0"/>
        </w:numPr>
        <w:spacing w:line="220" w:lineRule="atLeast"/>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淘汰老旧非营运货车和老旧非道机械是落实国家“双碳”战略和《减污降碳协同增效实施方案》的重要举措。通过引导更新为新能源，可显著降低碳排放，推动实现绿色低碳转型，助力“美丽中国”建设。</w:t>
      </w:r>
    </w:p>
    <w:p w14:paraId="1492B251">
      <w:pPr>
        <w:widowControl/>
        <w:shd w:val="clear" w:color="auto" w:fill="FFFFFF"/>
        <w:spacing w:line="560" w:lineRule="exact"/>
        <w:ind w:firstLine="630" w:firstLineChars="196"/>
        <w:jc w:val="left"/>
        <w:rPr>
          <w:rFonts w:ascii="楷体" w:hAnsi="楷体" w:eastAsia="楷体" w:cs="仿宋"/>
          <w:b/>
          <w:kern w:val="144"/>
          <w:sz w:val="32"/>
          <w:szCs w:val="32"/>
        </w:rPr>
      </w:pPr>
      <w:r>
        <w:rPr>
          <w:rFonts w:hint="eastAsia" w:ascii="楷体" w:hAnsi="楷体" w:eastAsia="楷体" w:cs="仿宋"/>
          <w:b/>
          <w:kern w:val="144"/>
          <w:sz w:val="32"/>
          <w:szCs w:val="32"/>
        </w:rPr>
        <w:t>（二）政策依据</w:t>
      </w:r>
    </w:p>
    <w:p w14:paraId="7445E154">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国家层面：生态环境部、国家发展改革委等15个部门《关于印发〈深入打好重污染天气消除、臭氧污染防治和柴油货车污染治理攻坚战行动方案〉的通知》（环大气〔2022〕68号）。</w:t>
      </w:r>
    </w:p>
    <w:p w14:paraId="7CA48A5E">
      <w:pPr>
        <w:spacing w:line="540" w:lineRule="exact"/>
        <w:rPr>
          <w:rFonts w:ascii="仿宋" w:hAnsi="仿宋" w:eastAsia="仿宋" w:cs="仿宋"/>
          <w:color w:val="000000"/>
          <w:sz w:val="32"/>
          <w:szCs w:val="32"/>
        </w:rPr>
      </w:pPr>
      <w:r>
        <w:rPr>
          <w:rFonts w:hint="eastAsia" w:ascii="仿宋" w:hAnsi="仿宋" w:eastAsia="仿宋" w:cs="仿宋"/>
          <w:color w:val="000000"/>
          <w:sz w:val="32"/>
          <w:szCs w:val="32"/>
        </w:rPr>
        <w:t xml:space="preserve">   省级层面：</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浙江省财政厅 浙江省生态环境厅关于下达2025年中央水、大气、土壤污染防治资金和农村环境整治资金（第二批）并调整部分历年中央水、大气、土壤污染防治资金的通知</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浙财资环〔2025〕36号）</w:t>
      </w:r>
      <w:r>
        <w:rPr>
          <w:rFonts w:hint="eastAsia" w:ascii="仿宋" w:hAnsi="仿宋" w:eastAsia="仿宋" w:cs="仿宋"/>
          <w:color w:val="000000"/>
          <w:sz w:val="32"/>
          <w:szCs w:val="32"/>
        </w:rPr>
        <w:t>。</w:t>
      </w:r>
    </w:p>
    <w:p w14:paraId="67BA63C6">
      <w:pPr>
        <w:widowControl/>
        <w:shd w:val="clear" w:color="auto" w:fill="FFFFFF"/>
        <w:spacing w:line="560" w:lineRule="exact"/>
        <w:ind w:firstLine="630" w:firstLineChars="196"/>
        <w:jc w:val="left"/>
        <w:rPr>
          <w:rFonts w:ascii="楷体" w:hAnsi="楷体" w:eastAsia="楷体" w:cs="仿宋"/>
          <w:b/>
          <w:kern w:val="144"/>
          <w:sz w:val="32"/>
          <w:szCs w:val="32"/>
        </w:rPr>
      </w:pPr>
      <w:r>
        <w:rPr>
          <w:rFonts w:hint="eastAsia" w:ascii="楷体" w:hAnsi="楷体" w:eastAsia="楷体" w:cs="仿宋"/>
          <w:b/>
          <w:kern w:val="144"/>
          <w:sz w:val="32"/>
          <w:szCs w:val="32"/>
        </w:rPr>
        <w:t>（三）意见征求情况</w:t>
      </w:r>
    </w:p>
    <w:p w14:paraId="75A014F0">
      <w:pPr>
        <w:spacing w:line="540" w:lineRule="exact"/>
        <w:ind w:firstLine="660"/>
        <w:jc w:val="left"/>
        <w:rPr>
          <w:rFonts w:ascii="仿宋" w:hAnsi="仿宋" w:eastAsia="仿宋" w:cs="仿宋"/>
          <w:color w:val="000000"/>
          <w:sz w:val="32"/>
          <w:szCs w:val="32"/>
        </w:rPr>
      </w:pPr>
      <w:r>
        <w:rPr>
          <w:rFonts w:hint="eastAsia" w:ascii="仿宋" w:hAnsi="仿宋" w:eastAsia="仿宋" w:cs="仿宋"/>
          <w:color w:val="000000"/>
          <w:sz w:val="32"/>
          <w:szCs w:val="32"/>
        </w:rPr>
        <w:t>在</w:t>
      </w:r>
      <w:r>
        <w:rPr>
          <w:rFonts w:hint="eastAsia" w:ascii="仿宋" w:hAnsi="仿宋" w:eastAsia="仿宋" w:cs="仿宋"/>
          <w:color w:val="000000"/>
          <w:sz w:val="32"/>
          <w:szCs w:val="32"/>
          <w:lang w:val="en-US" w:eastAsia="zh-CN"/>
        </w:rPr>
        <w:t>起草</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方案</w:t>
      </w:r>
      <w:r>
        <w:rPr>
          <w:rFonts w:hint="eastAsia" w:ascii="仿宋" w:hAnsi="仿宋" w:eastAsia="仿宋" w:cs="仿宋"/>
          <w:color w:val="000000"/>
          <w:sz w:val="32"/>
          <w:szCs w:val="32"/>
        </w:rPr>
        <w:t>》的过程中，我</w:t>
      </w:r>
      <w:r>
        <w:rPr>
          <w:rFonts w:hint="eastAsia" w:ascii="仿宋" w:hAnsi="仿宋" w:eastAsia="仿宋" w:cs="仿宋"/>
          <w:color w:val="000000"/>
          <w:sz w:val="32"/>
          <w:szCs w:val="32"/>
          <w:lang w:val="en-US" w:eastAsia="zh-CN"/>
        </w:rPr>
        <w:t>中心</w:t>
      </w:r>
      <w:r>
        <w:rPr>
          <w:rFonts w:hint="eastAsia" w:ascii="仿宋" w:hAnsi="仿宋" w:eastAsia="仿宋" w:cs="仿宋"/>
          <w:color w:val="000000"/>
          <w:sz w:val="32"/>
          <w:szCs w:val="32"/>
        </w:rPr>
        <w:t>严格按照国家、省相关</w:t>
      </w:r>
      <w:r>
        <w:rPr>
          <w:rFonts w:hint="eastAsia" w:ascii="仿宋" w:hAnsi="仿宋" w:eastAsia="仿宋" w:cs="仿宋"/>
          <w:color w:val="000000"/>
          <w:sz w:val="32"/>
          <w:szCs w:val="32"/>
          <w:lang w:val="en-US" w:eastAsia="zh-CN"/>
        </w:rPr>
        <w:t>文件</w:t>
      </w:r>
      <w:r>
        <w:rPr>
          <w:rFonts w:hint="eastAsia" w:ascii="仿宋" w:hAnsi="仿宋" w:eastAsia="仿宋" w:cs="仿宋"/>
          <w:color w:val="000000"/>
          <w:sz w:val="32"/>
          <w:szCs w:val="32"/>
        </w:rPr>
        <w:t>要求，结合实际，形成征求意见稿，在此基础上以</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台美丽办</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征求了各县（市、区）、</w:t>
      </w:r>
      <w:r>
        <w:rPr>
          <w:rFonts w:hint="eastAsia" w:ascii="仿宋" w:hAnsi="仿宋" w:eastAsia="仿宋" w:cs="仿宋"/>
          <w:color w:val="000000"/>
          <w:sz w:val="32"/>
          <w:szCs w:val="32"/>
          <w:lang w:val="en-US" w:eastAsia="zh-CN"/>
        </w:rPr>
        <w:t>高新区生态环境分局和</w:t>
      </w:r>
      <w:r>
        <w:rPr>
          <w:rFonts w:hint="eastAsia" w:ascii="仿宋" w:hAnsi="仿宋" w:eastAsia="仿宋" w:cs="仿宋"/>
          <w:color w:val="000000"/>
          <w:sz w:val="32"/>
          <w:szCs w:val="32"/>
        </w:rPr>
        <w:t>市级相关部门的建议意见，</w:t>
      </w:r>
      <w:r>
        <w:rPr>
          <w:rFonts w:hint="eastAsia" w:ascii="仿宋" w:hAnsi="仿宋" w:eastAsia="仿宋" w:cs="仿宋"/>
          <w:color w:val="000000"/>
          <w:sz w:val="32"/>
          <w:szCs w:val="32"/>
          <w:lang w:val="en-US" w:eastAsia="zh-CN"/>
        </w:rPr>
        <w:t>并</w:t>
      </w:r>
      <w:r>
        <w:rPr>
          <w:rFonts w:hint="eastAsia" w:ascii="仿宋" w:hAnsi="仿宋" w:eastAsia="仿宋" w:cs="仿宋"/>
          <w:color w:val="000000"/>
          <w:sz w:val="32"/>
          <w:szCs w:val="32"/>
        </w:rPr>
        <w:t>多层级、大范围的征求收集各方意见。</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方案》起草</w:t>
      </w:r>
      <w:r>
        <w:rPr>
          <w:rFonts w:hint="eastAsia" w:ascii="仿宋" w:hAnsi="仿宋" w:eastAsia="仿宋" w:cs="仿宋"/>
          <w:color w:val="000000"/>
          <w:sz w:val="32"/>
          <w:szCs w:val="32"/>
        </w:rPr>
        <w:t>及意见征求情况如下：</w:t>
      </w:r>
    </w:p>
    <w:p w14:paraId="1F44C300">
      <w:pPr>
        <w:spacing w:line="540" w:lineRule="exact"/>
        <w:ind w:firstLine="660"/>
        <w:jc w:val="left"/>
        <w:rPr>
          <w:rFonts w:ascii="仿宋" w:hAnsi="仿宋" w:eastAsia="仿宋" w:cs="仿宋"/>
          <w:color w:val="000000"/>
          <w:sz w:val="32"/>
          <w:szCs w:val="32"/>
        </w:rPr>
      </w:pP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25</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日，开始</w:t>
      </w:r>
      <w:r>
        <w:rPr>
          <w:rFonts w:hint="eastAsia" w:ascii="仿宋" w:hAnsi="仿宋" w:eastAsia="仿宋" w:cs="仿宋"/>
          <w:color w:val="000000"/>
          <w:sz w:val="32"/>
          <w:szCs w:val="32"/>
          <w:lang w:val="en-US" w:eastAsia="zh-CN"/>
        </w:rPr>
        <w:t>起草</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方案</w:t>
      </w:r>
      <w:r>
        <w:rPr>
          <w:rFonts w:hint="eastAsia" w:ascii="仿宋" w:hAnsi="仿宋" w:eastAsia="仿宋" w:cs="仿宋"/>
          <w:color w:val="000000"/>
          <w:sz w:val="32"/>
          <w:szCs w:val="32"/>
        </w:rPr>
        <w:t>》；</w:t>
      </w:r>
    </w:p>
    <w:p w14:paraId="201053BF">
      <w:pPr>
        <w:spacing w:line="540" w:lineRule="exact"/>
        <w:ind w:firstLine="66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25</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日，针对《</w:t>
      </w:r>
      <w:r>
        <w:rPr>
          <w:rFonts w:hint="eastAsia" w:ascii="仿宋" w:hAnsi="仿宋" w:eastAsia="仿宋" w:cs="仿宋"/>
          <w:color w:val="000000"/>
          <w:sz w:val="32"/>
          <w:szCs w:val="32"/>
          <w:lang w:val="en-US" w:eastAsia="zh-CN"/>
        </w:rPr>
        <w:t>方案</w:t>
      </w:r>
      <w:r>
        <w:rPr>
          <w:rFonts w:hint="eastAsia" w:ascii="仿宋" w:hAnsi="仿宋" w:eastAsia="仿宋" w:cs="仿宋"/>
          <w:color w:val="000000"/>
          <w:sz w:val="32"/>
          <w:szCs w:val="32"/>
        </w:rPr>
        <w:t>》，征求各县（市、区）</w:t>
      </w:r>
      <w:r>
        <w:rPr>
          <w:rFonts w:hint="eastAsia" w:ascii="仿宋" w:hAnsi="仿宋" w:eastAsia="仿宋" w:cs="仿宋"/>
          <w:color w:val="000000"/>
          <w:sz w:val="32"/>
          <w:szCs w:val="32"/>
          <w:lang w:val="en-US" w:eastAsia="zh-CN"/>
        </w:rPr>
        <w:t>、台州湾新区（高新区）生态环境分局和市级有关部门意见；</w:t>
      </w:r>
    </w:p>
    <w:p w14:paraId="43F9B813">
      <w:pPr>
        <w:pStyle w:val="2"/>
        <w:rPr>
          <w:rFonts w:hint="default"/>
          <w:lang w:val="en-US"/>
        </w:rPr>
      </w:pPr>
      <w:r>
        <w:rPr>
          <w:rFonts w:hint="eastAsia" w:ascii="仿宋" w:hAnsi="仿宋" w:eastAsia="仿宋" w:cs="仿宋"/>
          <w:color w:val="000000"/>
          <w:sz w:val="32"/>
          <w:szCs w:val="32"/>
          <w:lang w:val="en-US" w:eastAsia="zh-CN"/>
        </w:rPr>
        <w:t xml:space="preserve">    2025年8月15日，《方案》征求意见完毕，除财政局提出需将县市区资金分配细化要求，其他部门及各生态环境分局基本无意见。</w:t>
      </w:r>
    </w:p>
    <w:p w14:paraId="5FEBC5E7">
      <w:pPr>
        <w:numPr>
          <w:ilvl w:val="0"/>
          <w:numId w:val="1"/>
        </w:numPr>
        <w:spacing w:line="540" w:lineRule="exact"/>
        <w:ind w:firstLine="640" w:firstLineChars="200"/>
      </w:pPr>
      <w:r>
        <w:rPr>
          <w:rFonts w:hint="eastAsia" w:ascii="黑体" w:hAnsi="黑体" w:eastAsia="黑体" w:cs="黑体"/>
          <w:color w:val="000000"/>
          <w:sz w:val="32"/>
          <w:szCs w:val="32"/>
        </w:rPr>
        <w:t>《</w:t>
      </w:r>
      <w:r>
        <w:rPr>
          <w:rFonts w:hint="eastAsia" w:ascii="黑体" w:hAnsi="黑体" w:eastAsia="黑体" w:cs="黑体"/>
          <w:color w:val="000000"/>
          <w:sz w:val="32"/>
          <w:szCs w:val="32"/>
          <w:lang w:val="en-US" w:eastAsia="zh-CN"/>
        </w:rPr>
        <w:t>方案</w:t>
      </w:r>
      <w:r>
        <w:rPr>
          <w:rFonts w:hint="eastAsia" w:ascii="黑体" w:hAnsi="黑体" w:eastAsia="黑体" w:cs="黑体"/>
          <w:color w:val="000000"/>
          <w:sz w:val="32"/>
          <w:szCs w:val="32"/>
        </w:rPr>
        <w:t>》主要内容的解释</w:t>
      </w:r>
    </w:p>
    <w:p w14:paraId="58360089">
      <w:pPr>
        <w:pStyle w:val="2"/>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color w:val="auto"/>
          <w:sz w:val="32"/>
          <w:szCs w:val="32"/>
          <w:lang w:val="en-US" w:eastAsia="zh-CN"/>
        </w:rPr>
        <w:t>本次非营运国四柴油货车淘汰更新补助共计490万，其中中央资金430万元，地方财政配套60万元；国一非道机械淘汰更新补助共计200.34万元，其中中央资金180.306万元，地方财政配套20.034万元。此方案在两项资金补助完毕即终止。地方财政配套资金由各县（市、区）按分配比例承担。</w:t>
      </w:r>
    </w:p>
    <w:p w14:paraId="11788D42">
      <w:pPr>
        <w:numPr>
          <w:ilvl w:val="0"/>
          <w:numId w:val="2"/>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合理确定淘汰更新范围。国四非营运柴油货车为2023年2月1日（不含）前登记在台州市行驶区域的国四非营运中重型柴油货车（车辆所属地的认定以2023年1月31日24时车辆的登记信息所在地为准注册），车辆登记所有人应是个人、个体工商户、企业和其他非财政供养的单位，并提前一年及以上淘汰的国四非营运中、重型柴油货车（不含微轻型汽车、场内使用的无牌照车辆、专项作业车、载客汽车、低速货车、三轮汽车等）淘汰或出口；国一非道机械为在我市生态环境部门“台州市非道路移动机械管理平台”系统办理环保编码的工业企业使用的国一非道路移动机械</w:t>
      </w:r>
      <w:r>
        <w:rPr>
          <w:rFonts w:hint="eastAsia" w:ascii="仿宋" w:hAnsi="仿宋" w:eastAsia="仿宋" w:cs="仿宋"/>
          <w:color w:val="auto"/>
          <w:sz w:val="32"/>
          <w:szCs w:val="32"/>
          <w:lang w:val="en-US" w:eastAsia="zh-CN"/>
        </w:rPr>
        <w:t>（一般指2009年10月1日前生产的非道机械，不含建筑领域及阶段和生产日期不明机械）淘汰或出口；替换成包括锂电池、氢燃料电池（不含插电式混合动力或拖电式）为动力且首次销售的新能源货车和新能源非道机械。</w:t>
      </w:r>
    </w:p>
    <w:p w14:paraId="7BCB7B0A">
      <w:pPr>
        <w:numPr>
          <w:ilvl w:val="0"/>
          <w:numId w:val="2"/>
        </w:numPr>
        <w:ind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建立完善淘汰更新补助工作流程。按照国四非营运柴油货车和国一非道机械报废注销或出口、新能源货车和新能源非道机械登记上牌、补助申请、补助审核和发放的工作流程，各职能部门按职责分工，建立联合工作机制。其中生态环境部门负责负责国四非营运柴油货车和国一非道机械淘汰更新牵头协调工作；公安部门负责审核国四非营运中、重型柴油货车是否已经注销登记、是否不属于《机动车强制报废标准规定》中明确的已达到强制报废等情形，确定车辆类别，定期提供国四非营运中、重型柴油货车淘汰更新的详细车辆信息。财政部门负责按规定安排预算资金，对部门的预算管理有关情况进行监督，指导部门开展预算绩效管理等工作；交通运输部门负责核实柴油货车是否属于非营运车辆；商务部门负责报废汽车回收拆解行业监督管理，对报废车辆回收信息进行审核，指导督促报废汽车回收拆解企业规范服务，方便车主交车和办理相关手续，负责出口企业监督管理，对出口二手车进行审核；市场监管部门负责在线系统内国一叉车及时办理注销报废和新能源叉车使用登记等手续。</w:t>
      </w:r>
    </w:p>
    <w:p w14:paraId="4D8C5306">
      <w:pPr>
        <w:numPr>
          <w:ilvl w:val="0"/>
          <w:numId w:val="2"/>
        </w:numPr>
        <w:ind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强化老旧柴油货车及老旧非道机械监管。加强排气污染监管，各地要以国四及以下柴油货车和国一非道机械为重点对象，开展专项检查，加强污染排放抽测和监管。</w:t>
      </w:r>
    </w:p>
    <w:p w14:paraId="3AC5658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4C4555"/>
    <w:multiLevelType w:val="singleLevel"/>
    <w:tmpl w:val="CD4C4555"/>
    <w:lvl w:ilvl="0" w:tentative="0">
      <w:start w:val="2"/>
      <w:numFmt w:val="chineseCounting"/>
      <w:suff w:val="nothing"/>
      <w:lvlText w:val="%1、"/>
      <w:lvlJc w:val="left"/>
      <w:rPr>
        <w:rFonts w:hint="eastAsia" w:ascii="仿宋" w:hAnsi="仿宋" w:eastAsia="仿宋" w:cs="仿宋"/>
        <w:sz w:val="36"/>
        <w:szCs w:val="36"/>
      </w:rPr>
    </w:lvl>
  </w:abstractNum>
  <w:abstractNum w:abstractNumId="1">
    <w:nsid w:val="4894FFCE"/>
    <w:multiLevelType w:val="singleLevel"/>
    <w:tmpl w:val="4894FFC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8356D"/>
    <w:rsid w:val="0762146F"/>
    <w:rsid w:val="15AE6ABC"/>
    <w:rsid w:val="31046DC4"/>
    <w:rsid w:val="35CB1AEF"/>
    <w:rsid w:val="55E913C7"/>
    <w:rsid w:val="5CBB4333"/>
    <w:rsid w:val="609457B2"/>
    <w:rsid w:val="622D1CA4"/>
    <w:rsid w:val="67CB0E63"/>
    <w:rsid w:val="715266FE"/>
    <w:rsid w:val="747C4E1B"/>
    <w:rsid w:val="7A410AAF"/>
    <w:rsid w:val="7EBA53A5"/>
    <w:rsid w:val="7F811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微软雅黑" w:hAnsi="微软雅黑" w:eastAsia="微软雅黑" w:cs="微软雅黑"/>
      <w:sz w:val="51"/>
      <w:szCs w:val="51"/>
      <w:lang w:val="en-US" w:eastAsia="en-US" w:bidi="ar-SA"/>
    </w:rPr>
  </w:style>
  <w:style w:type="paragraph" w:styleId="3">
    <w:name w:val="Body Text First Indent"/>
    <w:basedOn w:val="2"/>
    <w:next w:val="1"/>
    <w:qFormat/>
    <w:uiPriority w:val="99"/>
    <w:pPr>
      <w:widowControl w:val="0"/>
      <w:pBdr>
        <w:top w:val="none" w:color="auto" w:sz="0" w:space="0"/>
        <w:left w:val="none" w:color="auto" w:sz="0" w:space="0"/>
        <w:bottom w:val="none" w:color="auto" w:sz="0" w:space="0"/>
        <w:right w:val="none" w:color="auto" w:sz="0" w:space="0"/>
        <w:between w:val="none" w:color="auto" w:sz="0" w:space="0"/>
      </w:pBdr>
      <w:shd w:val="clear" w:color="auto" w:fill="auto"/>
      <w:suppressAutoHyphens/>
      <w:bidi w:val="0"/>
      <w:spacing w:before="0" w:after="0" w:line="500" w:lineRule="exact"/>
      <w:ind w:firstLine="420"/>
      <w:jc w:val="both"/>
    </w:pPr>
    <w:rPr>
      <w:rFonts w:ascii="宋体" w:hAnsi="宋体" w:eastAsia="仿宋_GB2312" w:cs="宋体"/>
      <w:color w:val="auto"/>
      <w:kern w:val="0"/>
      <w:sz w:val="28"/>
      <w:szCs w:val="24"/>
      <w:lang w:val="zh-CN" w:eastAsia="zh-CN"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p17"/>
    <w:basedOn w:val="1"/>
    <w:qFormat/>
    <w:uiPriority w:val="0"/>
    <w:pPr>
      <w:widowControl/>
    </w:pPr>
    <w:rPr>
      <w:rFonts w:ascii="Calibri" w:hAnsi="Calibri" w:eastAsia="宋体" w:cs="Calibri"/>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1777</Words>
  <Characters>1837</Characters>
  <Lines>0</Lines>
  <Paragraphs>0</Paragraphs>
  <TotalTime>36</TotalTime>
  <ScaleCrop>false</ScaleCrop>
  <LinksUpToDate>false</LinksUpToDate>
  <CharactersWithSpaces>1841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2020-02-17T01:18:00Z</dcterms:created>
  <dc:creator>szg</dc:creator>
  <cp:lastModifiedBy>༄྄ེིོུ山里头人ཉ྄ིོུ༄</cp:lastModifiedBy>
  <cp:lastPrinted>2020-06-22T10:16:00Z</cp:lastPrinted>
  <dcterms:modified xsi:type="dcterms:W3CDTF">2025-08-18T03:01:10Z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eyJoZGlkIjoiODRkMDFmNjlmNjk1YjQ5YjkzODViNGJkNDgzOThmMGEiLCJ1c2VySWQiOiI2NjczNTExMDUifQ==</vt:lpwstr>
  </property>
  <property fmtid="{D5CDD505-2E9C-101B-9397-08002B2CF9AE}" pid="4" name="ICV">
    <vt:lpwstr>4A0C9BF74F6144068DFD93A0593D4559_13</vt:lpwstr>
  </property>
</Properties>
</file>