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宋体"/>
          <w:sz w:val="36"/>
          <w:szCs w:val="36"/>
        </w:rPr>
      </w:pPr>
      <w:r>
        <w:rPr>
          <w:rFonts w:hint="eastAsia" w:ascii="方正小标宋简体" w:hAnsi="黑体" w:eastAsia="方正小标宋简体" w:cs="宋体"/>
          <w:sz w:val="36"/>
          <w:szCs w:val="36"/>
        </w:rPr>
        <w:t>关于岱山县202</w:t>
      </w:r>
      <w:r>
        <w:rPr>
          <w:rFonts w:hint="eastAsia" w:ascii="方正小标宋简体" w:hAnsi="黑体" w:eastAsia="方正小标宋简体" w:cs="宋体"/>
          <w:sz w:val="36"/>
          <w:szCs w:val="36"/>
          <w:lang w:val="en-US" w:eastAsia="zh-CN"/>
        </w:rPr>
        <w:t>5</w:t>
      </w:r>
      <w:r>
        <w:rPr>
          <w:rFonts w:hint="eastAsia" w:ascii="方正小标宋简体" w:hAnsi="黑体" w:eastAsia="方正小标宋简体" w:cs="宋体"/>
          <w:sz w:val="36"/>
          <w:szCs w:val="36"/>
        </w:rPr>
        <w:t>年渔业资源增殖放流工作的实施方案（意见征求稿）</w:t>
      </w:r>
    </w:p>
    <w:p>
      <w:pPr>
        <w:rPr>
          <w:rFonts w:ascii="仿宋_GB2312" w:hAnsi="宋体" w:eastAsia="仿宋_GB2312" w:cs="宋体"/>
          <w:sz w:val="32"/>
          <w:szCs w:val="32"/>
        </w:rPr>
      </w:pP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为进一步贯彻落实《中国水生生物资源养护行动纲要》、和《中共浙江省委浙江省人民政府关于修复振兴浙江渔场的若干意见》等有关精神，根据《</w:t>
      </w:r>
      <w:r>
        <w:rPr>
          <w:rFonts w:ascii="仿宋_GB2312" w:hAnsi="宋体" w:eastAsia="仿宋_GB2312" w:cs="宋体"/>
          <w:sz w:val="32"/>
          <w:szCs w:val="32"/>
        </w:rPr>
        <w:t>浙江省水生生物增殖放流</w:t>
      </w:r>
      <w:r>
        <w:rPr>
          <w:rFonts w:ascii="仿宋_GB2312" w:hAnsi="宋体" w:eastAsia="仿宋_GB2312" w:cs="宋体"/>
          <w:bCs/>
          <w:sz w:val="32"/>
          <w:szCs w:val="32"/>
        </w:rPr>
        <w:t>实施方案（20</w:t>
      </w:r>
      <w:r>
        <w:rPr>
          <w:rFonts w:hint="eastAsia" w:ascii="仿宋_GB2312" w:hAnsi="宋体" w:eastAsia="仿宋_GB2312" w:cs="宋体"/>
          <w:bCs/>
          <w:sz w:val="32"/>
          <w:szCs w:val="32"/>
        </w:rPr>
        <w:t>21</w:t>
      </w:r>
      <w:r>
        <w:rPr>
          <w:rFonts w:ascii="仿宋_GB2312" w:hAnsi="宋体" w:eastAsia="仿宋_GB2312" w:cs="宋体"/>
          <w:bCs/>
          <w:sz w:val="32"/>
          <w:szCs w:val="32"/>
        </w:rPr>
        <w:t>～202</w:t>
      </w:r>
      <w:r>
        <w:rPr>
          <w:rFonts w:hint="eastAsia" w:ascii="仿宋_GB2312" w:hAnsi="宋体" w:eastAsia="仿宋_GB2312" w:cs="宋体"/>
          <w:bCs/>
          <w:sz w:val="32"/>
          <w:szCs w:val="32"/>
        </w:rPr>
        <w:t>5</w:t>
      </w:r>
      <w:r>
        <w:rPr>
          <w:rFonts w:ascii="仿宋_GB2312" w:hAnsi="宋体" w:eastAsia="仿宋_GB2312" w:cs="宋体"/>
          <w:bCs/>
          <w:sz w:val="32"/>
          <w:szCs w:val="32"/>
        </w:rPr>
        <w:t>年）</w:t>
      </w:r>
      <w:r>
        <w:rPr>
          <w:rFonts w:ascii="仿宋_GB2312" w:hAnsi="宋体" w:eastAsia="仿宋_GB2312" w:cs="宋体"/>
          <w:sz w:val="32"/>
          <w:szCs w:val="32"/>
        </w:rPr>
        <w:t>》</w:t>
      </w:r>
      <w:r>
        <w:rPr>
          <w:rFonts w:hint="eastAsia" w:ascii="仿宋_GB2312" w:hAnsi="宋体" w:eastAsia="仿宋_GB2312" w:cs="宋体"/>
          <w:sz w:val="32"/>
          <w:szCs w:val="32"/>
        </w:rPr>
        <w:t>和</w:t>
      </w:r>
      <w:r>
        <w:rPr>
          <w:rFonts w:ascii="仿宋_GB2312" w:hAnsi="宋体" w:eastAsia="仿宋_GB2312" w:cs="宋体"/>
          <w:sz w:val="32"/>
          <w:szCs w:val="32"/>
        </w:rPr>
        <w:t>《浙江省水生生物增殖放流工作规程》</w:t>
      </w:r>
      <w:r>
        <w:rPr>
          <w:rFonts w:hint="eastAsia" w:ascii="仿宋_GB2312" w:hAnsi="宋体" w:eastAsia="仿宋_GB2312" w:cs="宋体"/>
          <w:sz w:val="32"/>
          <w:szCs w:val="32"/>
        </w:rPr>
        <w:t>等有关规定，现将岱山县202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年渔业资源增殖放流工作实施方案制定如下：</w:t>
      </w:r>
    </w:p>
    <w:p>
      <w:pPr>
        <w:pStyle w:val="9"/>
        <w:numPr>
          <w:ilvl w:val="0"/>
          <w:numId w:val="1"/>
        </w:numPr>
        <w:ind w:firstLineChars="0"/>
        <w:rPr>
          <w:rFonts w:ascii="黑体" w:hAnsi="黑体" w:eastAsia="黑体" w:cs="宋体"/>
          <w:sz w:val="32"/>
          <w:szCs w:val="32"/>
        </w:rPr>
      </w:pPr>
      <w:r>
        <w:rPr>
          <w:rFonts w:hint="eastAsia" w:ascii="黑体" w:hAnsi="黑体" w:eastAsia="黑体" w:cs="宋体"/>
          <w:sz w:val="32"/>
          <w:szCs w:val="32"/>
        </w:rPr>
        <w:t>工作目标</w:t>
      </w:r>
    </w:p>
    <w:p>
      <w:pPr>
        <w:ind w:firstLine="640" w:firstLineChars="200"/>
        <w:rPr>
          <w:rFonts w:ascii="黑体" w:hAnsi="黑体" w:eastAsia="黑体" w:cs="宋体"/>
          <w:sz w:val="32"/>
          <w:szCs w:val="32"/>
        </w:rPr>
      </w:pPr>
      <w:r>
        <w:rPr>
          <w:rFonts w:hint="eastAsia" w:ascii="仿宋_GB2312" w:hAnsi="宋体" w:eastAsia="仿宋_GB2312" w:cs="宋体"/>
          <w:sz w:val="32"/>
          <w:szCs w:val="32"/>
        </w:rPr>
        <w:t>通过实施202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年岱山县渔业资源增殖放流项目，在岱山近海岱衢洋海域增殖放流各类渔业资源苗种</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800万尾以上，以改善水域生态环境，种群恢复，促进渔民增收，推进水生生物资源可持续利用、渔业可持续发展。</w:t>
      </w:r>
    </w:p>
    <w:p>
      <w:pPr>
        <w:ind w:firstLine="713" w:firstLineChars="223"/>
        <w:rPr>
          <w:rFonts w:ascii="黑体" w:hAnsi="黑体" w:eastAsia="黑体" w:cs="宋体"/>
          <w:sz w:val="32"/>
          <w:szCs w:val="32"/>
        </w:rPr>
      </w:pPr>
      <w:r>
        <w:rPr>
          <w:rFonts w:hint="eastAsia" w:ascii="黑体" w:hAnsi="黑体" w:eastAsia="黑体" w:cs="宋体"/>
          <w:sz w:val="32"/>
          <w:szCs w:val="32"/>
        </w:rPr>
        <w:t>二、工作任务</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年岱山县渔业资源增殖放流计划投入资金</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00万元，计划增殖放流各类苗种数量、规格，放流时间，放流地点如下：</w:t>
      </w:r>
    </w:p>
    <w:tbl>
      <w:tblPr>
        <w:tblStyle w:val="4"/>
        <w:tblW w:w="9988"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75"/>
        <w:gridCol w:w="1443"/>
        <w:gridCol w:w="1454"/>
        <w:gridCol w:w="1066"/>
        <w:gridCol w:w="1137"/>
        <w:gridCol w:w="108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ascii="宋体" w:hAnsi="宋体" w:cs="宋体"/>
                <w:b/>
                <w:bCs/>
                <w:szCs w:val="21"/>
              </w:rPr>
            </w:pPr>
            <w:r>
              <w:rPr>
                <w:rFonts w:hint="eastAsia" w:ascii="宋体" w:hAnsi="宋体" w:cs="宋体"/>
                <w:b/>
                <w:bCs/>
                <w:szCs w:val="21"/>
              </w:rPr>
              <w:t>标项</w:t>
            </w:r>
          </w:p>
        </w:tc>
        <w:tc>
          <w:tcPr>
            <w:tcW w:w="1175" w:type="dxa"/>
            <w:vAlign w:val="center"/>
          </w:tcPr>
          <w:p>
            <w:pPr>
              <w:jc w:val="center"/>
              <w:rPr>
                <w:rFonts w:ascii="宋体" w:hAnsi="宋体" w:cs="宋体"/>
                <w:b/>
                <w:bCs/>
                <w:szCs w:val="21"/>
              </w:rPr>
            </w:pPr>
            <w:r>
              <w:rPr>
                <w:rFonts w:hint="eastAsia" w:ascii="宋体" w:hAnsi="宋体" w:cs="宋体"/>
                <w:b/>
                <w:bCs/>
                <w:szCs w:val="21"/>
              </w:rPr>
              <w:t>放流物种</w:t>
            </w:r>
          </w:p>
        </w:tc>
        <w:tc>
          <w:tcPr>
            <w:tcW w:w="1443" w:type="dxa"/>
            <w:vAlign w:val="center"/>
          </w:tcPr>
          <w:p>
            <w:pPr>
              <w:jc w:val="center"/>
              <w:rPr>
                <w:rFonts w:ascii="宋体" w:hAnsi="宋体" w:cs="宋体"/>
                <w:b/>
                <w:bCs/>
                <w:szCs w:val="21"/>
              </w:rPr>
            </w:pPr>
            <w:r>
              <w:rPr>
                <w:rFonts w:hint="eastAsia" w:ascii="宋体" w:hAnsi="宋体" w:cs="宋体"/>
                <w:b/>
                <w:bCs/>
                <w:szCs w:val="21"/>
              </w:rPr>
              <w:t>规格（≥）</w:t>
            </w:r>
          </w:p>
        </w:tc>
        <w:tc>
          <w:tcPr>
            <w:tcW w:w="1454" w:type="dxa"/>
            <w:vAlign w:val="center"/>
          </w:tcPr>
          <w:p>
            <w:pPr>
              <w:jc w:val="center"/>
              <w:rPr>
                <w:rFonts w:ascii="宋体" w:hAnsi="宋体" w:cs="宋体"/>
                <w:b/>
                <w:bCs/>
                <w:szCs w:val="21"/>
              </w:rPr>
            </w:pPr>
            <w:r>
              <w:rPr>
                <w:rFonts w:hint="eastAsia" w:ascii="宋体" w:hAnsi="宋体" w:cs="宋体"/>
                <w:b/>
                <w:bCs/>
                <w:szCs w:val="21"/>
              </w:rPr>
              <w:t>单价（</w:t>
            </w:r>
            <w:r>
              <w:rPr>
                <w:rFonts w:ascii="宋体" w:hAnsi="宋体" w:eastAsia="宋体" w:cs="宋体"/>
                <w:b/>
                <w:bCs/>
                <w:szCs w:val="21"/>
              </w:rPr>
              <w:t>≤</w:t>
            </w:r>
            <w:r>
              <w:rPr>
                <w:rFonts w:hint="eastAsia" w:ascii="宋体" w:hAnsi="宋体" w:cs="宋体"/>
                <w:b/>
                <w:bCs/>
                <w:szCs w:val="21"/>
              </w:rPr>
              <w:t>元单位）/（尾、粒、只）</w:t>
            </w:r>
          </w:p>
        </w:tc>
        <w:tc>
          <w:tcPr>
            <w:tcW w:w="1066" w:type="dxa"/>
            <w:vAlign w:val="center"/>
          </w:tcPr>
          <w:p>
            <w:pPr>
              <w:jc w:val="center"/>
              <w:rPr>
                <w:rFonts w:ascii="宋体" w:hAnsi="宋体" w:cs="宋体"/>
                <w:b/>
                <w:bCs/>
                <w:szCs w:val="21"/>
              </w:rPr>
            </w:pPr>
            <w:r>
              <w:rPr>
                <w:rFonts w:hint="eastAsia" w:ascii="宋体" w:hAnsi="宋体" w:cs="宋体"/>
                <w:b/>
                <w:bCs/>
                <w:szCs w:val="21"/>
              </w:rPr>
              <w:t>资金安排（万元）</w:t>
            </w:r>
          </w:p>
        </w:tc>
        <w:tc>
          <w:tcPr>
            <w:tcW w:w="1137" w:type="dxa"/>
            <w:vAlign w:val="center"/>
          </w:tcPr>
          <w:p>
            <w:pPr>
              <w:jc w:val="center"/>
              <w:rPr>
                <w:rFonts w:ascii="宋体" w:hAnsi="宋体" w:cs="宋体"/>
                <w:b/>
                <w:bCs/>
                <w:szCs w:val="21"/>
              </w:rPr>
            </w:pPr>
            <w:r>
              <w:rPr>
                <w:rFonts w:hint="eastAsia" w:ascii="宋体" w:hAnsi="宋体" w:cs="宋体"/>
                <w:b/>
                <w:bCs/>
                <w:szCs w:val="21"/>
              </w:rPr>
              <w:t>放流数量（≧万单位）</w:t>
            </w:r>
          </w:p>
        </w:tc>
        <w:tc>
          <w:tcPr>
            <w:tcW w:w="1088" w:type="dxa"/>
            <w:vAlign w:val="center"/>
          </w:tcPr>
          <w:p>
            <w:pPr>
              <w:jc w:val="center"/>
              <w:rPr>
                <w:rFonts w:ascii="宋体" w:hAnsi="宋体" w:cs="宋体"/>
                <w:b/>
                <w:bCs/>
                <w:szCs w:val="21"/>
              </w:rPr>
            </w:pPr>
            <w:r>
              <w:rPr>
                <w:rFonts w:hint="eastAsia" w:ascii="宋体" w:hAnsi="宋体" w:cs="宋体"/>
                <w:b/>
                <w:bCs/>
                <w:szCs w:val="21"/>
              </w:rPr>
              <w:t>放流时间</w:t>
            </w:r>
          </w:p>
        </w:tc>
        <w:tc>
          <w:tcPr>
            <w:tcW w:w="2050" w:type="dxa"/>
            <w:vAlign w:val="center"/>
          </w:tcPr>
          <w:p>
            <w:pPr>
              <w:jc w:val="center"/>
              <w:rPr>
                <w:rFonts w:ascii="宋体" w:hAnsi="宋体" w:cs="宋体"/>
                <w:b/>
                <w:bCs/>
                <w:szCs w:val="21"/>
              </w:rPr>
            </w:pPr>
            <w:r>
              <w:rPr>
                <w:rFonts w:hint="eastAsia" w:ascii="宋体" w:hAnsi="宋体" w:cs="宋体"/>
                <w:b/>
                <w:bCs/>
                <w:szCs w:val="21"/>
              </w:rPr>
              <w:t>放流地点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ascii="宋体" w:hAnsi="宋体" w:cs="宋体"/>
                <w:szCs w:val="21"/>
              </w:rPr>
            </w:pPr>
            <w:r>
              <w:rPr>
                <w:rFonts w:hint="eastAsia" w:ascii="宋体" w:hAnsi="宋体" w:cs="宋体"/>
                <w:szCs w:val="21"/>
              </w:rPr>
              <w:t>1</w:t>
            </w:r>
          </w:p>
        </w:tc>
        <w:tc>
          <w:tcPr>
            <w:tcW w:w="1175" w:type="dxa"/>
            <w:vAlign w:val="center"/>
          </w:tcPr>
          <w:p>
            <w:pPr>
              <w:jc w:val="center"/>
              <w:rPr>
                <w:rFonts w:ascii="宋体" w:hAnsi="宋体" w:cs="宋体"/>
                <w:szCs w:val="21"/>
              </w:rPr>
            </w:pPr>
            <w:r>
              <w:rPr>
                <w:rFonts w:hint="eastAsia" w:ascii="宋体" w:hAnsi="宋体" w:cs="宋体"/>
                <w:szCs w:val="21"/>
              </w:rPr>
              <w:t>大黄鱼</w:t>
            </w:r>
          </w:p>
        </w:tc>
        <w:tc>
          <w:tcPr>
            <w:tcW w:w="1443" w:type="dxa"/>
            <w:vAlign w:val="center"/>
          </w:tcPr>
          <w:p>
            <w:pPr>
              <w:jc w:val="center"/>
              <w:rPr>
                <w:rFonts w:ascii="宋体" w:hAnsi="宋体" w:cs="宋体"/>
                <w:szCs w:val="21"/>
              </w:rPr>
            </w:pPr>
            <w:r>
              <w:rPr>
                <w:rFonts w:hint="eastAsia" w:ascii="宋体" w:hAnsi="宋体" w:cs="宋体"/>
                <w:szCs w:val="21"/>
              </w:rPr>
              <w:t>体长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ascii="宋体" w:hAnsi="宋体" w:eastAsia="宋体" w:cs="宋体"/>
                <w:szCs w:val="21"/>
              </w:rPr>
            </w:pPr>
            <w:r>
              <w:rPr>
                <w:rFonts w:hint="eastAsia" w:ascii="宋体" w:hAnsi="宋体" w:cs="宋体"/>
                <w:szCs w:val="21"/>
              </w:rPr>
              <w:t>0.28</w:t>
            </w:r>
          </w:p>
        </w:tc>
        <w:tc>
          <w:tcPr>
            <w:tcW w:w="1066" w:type="dxa"/>
            <w:vAlign w:val="center"/>
          </w:tcPr>
          <w:p>
            <w:pPr>
              <w:jc w:val="center"/>
              <w:rPr>
                <w:rFonts w:hint="eastAsia" w:ascii="宋体" w:hAnsi="宋体" w:cs="宋体" w:eastAsiaTheme="minorEastAsia"/>
                <w:szCs w:val="21"/>
                <w:lang w:eastAsia="zh-CN"/>
              </w:rPr>
            </w:pPr>
            <w:r>
              <w:rPr>
                <w:rFonts w:hint="eastAsia" w:ascii="宋体" w:hAnsi="宋体" w:cs="宋体"/>
                <w:szCs w:val="21"/>
                <w:lang w:val="en-US" w:eastAsia="zh-CN"/>
              </w:rPr>
              <w:t>180</w:t>
            </w:r>
          </w:p>
        </w:tc>
        <w:tc>
          <w:tcPr>
            <w:tcW w:w="1137" w:type="dxa"/>
            <w:vAlign w:val="center"/>
          </w:tcPr>
          <w:p>
            <w:pPr>
              <w:jc w:val="center"/>
              <w:rPr>
                <w:rFonts w:hint="default" w:ascii="宋体" w:hAnsi="宋体" w:eastAsia="宋体" w:cs="宋体"/>
                <w:szCs w:val="21"/>
              </w:rPr>
            </w:pPr>
            <w:r>
              <w:rPr>
                <w:rFonts w:ascii="宋体" w:hAnsi="宋体" w:eastAsia="宋体" w:cs="宋体"/>
                <w:szCs w:val="21"/>
              </w:rPr>
              <w:t>642.8571</w:t>
            </w:r>
          </w:p>
        </w:tc>
        <w:tc>
          <w:tcPr>
            <w:tcW w:w="1088" w:type="dxa"/>
            <w:vAlign w:val="center"/>
          </w:tcPr>
          <w:p>
            <w:pPr>
              <w:jc w:val="center"/>
              <w:rPr>
                <w:rFonts w:ascii="宋体" w:hAnsi="宋体" w:cs="宋体"/>
                <w:szCs w:val="21"/>
              </w:rPr>
            </w:pPr>
            <w:r>
              <w:rPr>
                <w:rFonts w:hint="eastAsia" w:ascii="宋体" w:hAnsi="宋体" w:cs="宋体"/>
                <w:szCs w:val="21"/>
              </w:rPr>
              <w:t>5-8月</w:t>
            </w:r>
          </w:p>
        </w:tc>
        <w:tc>
          <w:tcPr>
            <w:tcW w:w="2050" w:type="dxa"/>
            <w:vAlign w:val="center"/>
          </w:tcPr>
          <w:p>
            <w:pPr>
              <w:jc w:val="center"/>
              <w:rPr>
                <w:rFonts w:ascii="宋体" w:hAnsi="宋体" w:cs="宋体"/>
                <w:szCs w:val="21"/>
              </w:rPr>
            </w:pPr>
            <w:r>
              <w:rPr>
                <w:rFonts w:hint="eastAsia" w:ascii="宋体" w:hAnsi="宋体" w:cs="宋体"/>
                <w:szCs w:val="21"/>
              </w:rPr>
              <w:t>岱衢洋大长涂东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5" w:type="dxa"/>
            <w:vAlign w:val="center"/>
          </w:tcPr>
          <w:p>
            <w:pPr>
              <w:jc w:val="center"/>
              <w:rPr>
                <w:rFonts w:ascii="宋体" w:hAnsi="宋体" w:cs="宋体"/>
                <w:szCs w:val="21"/>
              </w:rPr>
            </w:pPr>
            <w:r>
              <w:rPr>
                <w:rFonts w:hint="eastAsia" w:ascii="宋体" w:hAnsi="宋体" w:cs="宋体"/>
                <w:szCs w:val="21"/>
              </w:rPr>
              <w:t>2</w:t>
            </w:r>
          </w:p>
        </w:tc>
        <w:tc>
          <w:tcPr>
            <w:tcW w:w="1175" w:type="dxa"/>
            <w:vAlign w:val="center"/>
          </w:tcPr>
          <w:p>
            <w:pPr>
              <w:jc w:val="center"/>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黑鲷</w:t>
            </w:r>
          </w:p>
        </w:tc>
        <w:tc>
          <w:tcPr>
            <w:tcW w:w="1443" w:type="dxa"/>
            <w:vAlign w:val="center"/>
          </w:tcPr>
          <w:p>
            <w:pPr>
              <w:jc w:val="center"/>
              <w:rPr>
                <w:rFonts w:hint="eastAsia" w:ascii="宋体" w:hAnsi="宋体" w:cs="宋体" w:eastAsiaTheme="minorEastAsia"/>
                <w:szCs w:val="21"/>
                <w:lang w:eastAsia="zh-CN"/>
              </w:rPr>
            </w:pPr>
            <w:r>
              <w:rPr>
                <w:rFonts w:hint="eastAsia" w:ascii="宋体" w:hAnsi="宋体" w:cs="宋体" w:eastAsiaTheme="minorEastAsia"/>
                <w:szCs w:val="21"/>
                <w:lang w:eastAsia="zh-CN"/>
              </w:rPr>
              <w:t>体长</w:t>
            </w:r>
            <w:r>
              <w:rPr>
                <w:rFonts w:hint="eastAsia" w:ascii="宋体" w:hAnsi="宋体" w:eastAsia="宋体" w:cs="宋体"/>
                <w:szCs w:val="21"/>
              </w:rPr>
              <w:t>≥5厘米</w:t>
            </w:r>
          </w:p>
        </w:tc>
        <w:tc>
          <w:tcPr>
            <w:tcW w:w="1454"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0.36</w:t>
            </w:r>
          </w:p>
        </w:tc>
        <w:tc>
          <w:tcPr>
            <w:tcW w:w="1066"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60</w:t>
            </w:r>
          </w:p>
        </w:tc>
        <w:tc>
          <w:tcPr>
            <w:tcW w:w="1137" w:type="dxa"/>
            <w:vAlign w:val="center"/>
          </w:tcPr>
          <w:p>
            <w:pPr>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166.6667</w:t>
            </w:r>
          </w:p>
        </w:tc>
        <w:tc>
          <w:tcPr>
            <w:tcW w:w="1088" w:type="dxa"/>
            <w:vAlign w:val="center"/>
          </w:tcPr>
          <w:p>
            <w:pPr>
              <w:jc w:val="center"/>
              <w:rPr>
                <w:rFonts w:ascii="宋体" w:hAnsi="宋体" w:cs="宋体"/>
                <w:szCs w:val="21"/>
              </w:rPr>
            </w:pPr>
            <w:r>
              <w:rPr>
                <w:rFonts w:hint="eastAsia" w:ascii="宋体" w:hAnsi="宋体" w:cs="宋体"/>
                <w:szCs w:val="21"/>
              </w:rPr>
              <w:t>5-8月</w:t>
            </w:r>
          </w:p>
        </w:tc>
        <w:tc>
          <w:tcPr>
            <w:tcW w:w="2050"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长涂叮嘴门海域、大西寨海洋牧场区域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3</w:t>
            </w:r>
          </w:p>
        </w:tc>
        <w:tc>
          <w:tcPr>
            <w:tcW w:w="11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鮸鱼</w:t>
            </w:r>
          </w:p>
        </w:tc>
        <w:tc>
          <w:tcPr>
            <w:tcW w:w="1443" w:type="dxa"/>
            <w:vAlign w:val="center"/>
          </w:tcPr>
          <w:p>
            <w:pPr>
              <w:jc w:val="center"/>
              <w:rPr>
                <w:rFonts w:ascii="宋体" w:hAnsi="宋体" w:cs="宋体"/>
                <w:szCs w:val="21"/>
              </w:rPr>
            </w:pPr>
            <w:r>
              <w:rPr>
                <w:rFonts w:hint="eastAsia" w:ascii="宋体" w:hAnsi="宋体" w:cs="宋体"/>
                <w:szCs w:val="21"/>
              </w:rPr>
              <w:t>体长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hint="default" w:ascii="宋体" w:hAnsi="宋体" w:eastAsia="宋体" w:cs="宋体"/>
                <w:szCs w:val="21"/>
                <w:lang w:eastAsia="zh-CN"/>
              </w:rPr>
            </w:pPr>
            <w:r>
              <w:rPr>
                <w:rFonts w:hint="default" w:ascii="宋体" w:hAnsi="宋体" w:eastAsia="宋体" w:cs="宋体"/>
                <w:szCs w:val="21"/>
                <w:lang w:eastAsia="zh-CN"/>
              </w:rPr>
              <w:t>1.5</w:t>
            </w:r>
          </w:p>
        </w:tc>
        <w:tc>
          <w:tcPr>
            <w:tcW w:w="1066" w:type="dxa"/>
            <w:vAlign w:val="center"/>
          </w:tcPr>
          <w:p>
            <w:pPr>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60</w:t>
            </w:r>
          </w:p>
        </w:tc>
        <w:tc>
          <w:tcPr>
            <w:tcW w:w="1137" w:type="dxa"/>
            <w:vAlign w:val="center"/>
          </w:tcPr>
          <w:p>
            <w:pPr>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40</w:t>
            </w:r>
          </w:p>
        </w:tc>
        <w:tc>
          <w:tcPr>
            <w:tcW w:w="1088"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5-8月</w:t>
            </w:r>
          </w:p>
        </w:tc>
        <w:tc>
          <w:tcPr>
            <w:tcW w:w="2050" w:type="dxa"/>
            <w:vAlign w:val="center"/>
          </w:tcPr>
          <w:p>
            <w:pPr>
              <w:jc w:val="center"/>
              <w:rPr>
                <w:rFonts w:hint="eastAsia" w:ascii="宋体" w:hAnsi="宋体" w:cs="宋体" w:eastAsiaTheme="minorEastAsia"/>
                <w:szCs w:val="21"/>
                <w:lang w:eastAsia="zh-CN"/>
              </w:rPr>
            </w:pPr>
            <w:r>
              <w:rPr>
                <w:rFonts w:hint="eastAsia" w:ascii="宋体" w:hAnsi="宋体" w:cs="宋体"/>
                <w:szCs w:val="21"/>
                <w:lang w:eastAsia="zh-CN"/>
              </w:rPr>
              <w:t>岱衢洋大长涂东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1175" w:type="dxa"/>
            <w:vAlign w:val="center"/>
          </w:tcPr>
          <w:p>
            <w:pPr>
              <w:jc w:val="center"/>
              <w:rPr>
                <w:rFonts w:ascii="宋体" w:hAnsi="宋体" w:cs="宋体"/>
                <w:szCs w:val="21"/>
              </w:rPr>
            </w:pPr>
            <w:r>
              <w:rPr>
                <w:rFonts w:hint="eastAsia" w:ascii="宋体" w:hAnsi="宋体" w:cs="宋体"/>
                <w:szCs w:val="21"/>
              </w:rPr>
              <w:t>半滑舌鳎</w:t>
            </w:r>
          </w:p>
        </w:tc>
        <w:tc>
          <w:tcPr>
            <w:tcW w:w="1443" w:type="dxa"/>
            <w:vAlign w:val="center"/>
          </w:tcPr>
          <w:p>
            <w:pPr>
              <w:jc w:val="center"/>
              <w:rPr>
                <w:rFonts w:ascii="宋体" w:hAnsi="宋体" w:cs="宋体"/>
                <w:szCs w:val="21"/>
              </w:rPr>
            </w:pPr>
            <w:r>
              <w:rPr>
                <w:rFonts w:hint="eastAsia" w:ascii="宋体" w:hAnsi="宋体" w:cs="宋体"/>
                <w:szCs w:val="21"/>
                <w:lang w:eastAsia="zh-CN"/>
              </w:rPr>
              <w:t>体</w:t>
            </w:r>
            <w:r>
              <w:rPr>
                <w:rFonts w:hint="eastAsia" w:ascii="宋体" w:hAnsi="宋体" w:cs="宋体"/>
                <w:szCs w:val="21"/>
              </w:rPr>
              <w:t>长</w:t>
            </w:r>
            <w:r>
              <w:rPr>
                <w:rFonts w:hint="eastAsia" w:ascii="宋体" w:hAnsi="宋体" w:cs="宋体"/>
                <w:b/>
                <w:bCs/>
                <w:szCs w:val="21"/>
              </w:rPr>
              <w:t>≥</w:t>
            </w:r>
            <w:r>
              <w:rPr>
                <w:rFonts w:hint="eastAsia" w:ascii="宋体" w:hAnsi="宋体" w:cs="宋体"/>
                <w:szCs w:val="21"/>
              </w:rPr>
              <w:t>5厘米</w:t>
            </w:r>
          </w:p>
        </w:tc>
        <w:tc>
          <w:tcPr>
            <w:tcW w:w="1454" w:type="dxa"/>
            <w:vAlign w:val="center"/>
          </w:tcPr>
          <w:p>
            <w:pPr>
              <w:jc w:val="center"/>
              <w:rPr>
                <w:rFonts w:ascii="宋体" w:hAnsi="宋体" w:eastAsia="宋体" w:cs="宋体"/>
                <w:szCs w:val="21"/>
              </w:rPr>
            </w:pPr>
            <w:r>
              <w:rPr>
                <w:rFonts w:hint="eastAsia" w:ascii="宋体" w:hAnsi="宋体" w:cs="宋体"/>
                <w:szCs w:val="21"/>
              </w:rPr>
              <w:t>3.08</w:t>
            </w:r>
          </w:p>
        </w:tc>
        <w:tc>
          <w:tcPr>
            <w:tcW w:w="1066" w:type="dxa"/>
            <w:vAlign w:val="center"/>
          </w:tcPr>
          <w:p>
            <w:pPr>
              <w:jc w:val="center"/>
              <w:rPr>
                <w:rFonts w:ascii="宋体" w:hAnsi="宋体" w:eastAsia="宋体" w:cs="宋体"/>
                <w:szCs w:val="21"/>
              </w:rPr>
            </w:pPr>
            <w:r>
              <w:rPr>
                <w:rFonts w:hint="eastAsia" w:ascii="宋体" w:hAnsi="宋体" w:cs="宋体"/>
                <w:szCs w:val="21"/>
              </w:rPr>
              <w:t>20</w:t>
            </w:r>
          </w:p>
        </w:tc>
        <w:tc>
          <w:tcPr>
            <w:tcW w:w="1137" w:type="dxa"/>
            <w:vAlign w:val="center"/>
          </w:tcPr>
          <w:p>
            <w:pPr>
              <w:jc w:val="center"/>
              <w:rPr>
                <w:rFonts w:hint="default" w:ascii="宋体" w:hAnsi="宋体" w:eastAsia="宋体" w:cs="仿宋"/>
                <w:bCs/>
                <w:szCs w:val="21"/>
              </w:rPr>
            </w:pPr>
            <w:r>
              <w:rPr>
                <w:rFonts w:ascii="宋体" w:hAnsi="宋体" w:eastAsia="宋体" w:cs="仿宋"/>
                <w:bCs/>
                <w:szCs w:val="21"/>
              </w:rPr>
              <w:t>6.4935</w:t>
            </w:r>
          </w:p>
        </w:tc>
        <w:tc>
          <w:tcPr>
            <w:tcW w:w="1088" w:type="dxa"/>
            <w:vAlign w:val="center"/>
          </w:tcPr>
          <w:p>
            <w:pPr>
              <w:jc w:val="center"/>
              <w:rPr>
                <w:rFonts w:ascii="宋体" w:hAnsi="宋体" w:cs="宋体"/>
                <w:szCs w:val="21"/>
              </w:rPr>
            </w:pPr>
            <w:r>
              <w:rPr>
                <w:rFonts w:hint="eastAsia" w:ascii="宋体" w:hAnsi="宋体" w:cs="宋体"/>
                <w:szCs w:val="21"/>
              </w:rPr>
              <w:t>5-8月</w:t>
            </w:r>
          </w:p>
        </w:tc>
        <w:tc>
          <w:tcPr>
            <w:tcW w:w="2050" w:type="dxa"/>
            <w:vAlign w:val="center"/>
          </w:tcPr>
          <w:p>
            <w:pPr>
              <w:jc w:val="center"/>
              <w:rPr>
                <w:rFonts w:ascii="宋体" w:hAnsi="宋体" w:cs="宋体"/>
                <w:szCs w:val="21"/>
              </w:rPr>
            </w:pPr>
            <w:r>
              <w:rPr>
                <w:rFonts w:hint="eastAsia" w:ascii="宋体" w:hAnsi="宋体" w:cs="宋体"/>
                <w:szCs w:val="21"/>
              </w:rPr>
              <w:t>岱衢洋栲门海域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1175" w:type="dxa"/>
            <w:vAlign w:val="center"/>
          </w:tcPr>
          <w:p>
            <w:pPr>
              <w:jc w:val="center"/>
              <w:rPr>
                <w:rFonts w:ascii="宋体" w:hAnsi="宋体" w:eastAsia="宋体" w:cs="宋体"/>
                <w:szCs w:val="21"/>
              </w:rPr>
            </w:pPr>
            <w:r>
              <w:rPr>
                <w:rFonts w:hint="eastAsia" w:ascii="宋体" w:hAnsi="宋体" w:cs="宋体"/>
                <w:szCs w:val="21"/>
              </w:rPr>
              <w:t>三疣梭子蟹</w:t>
            </w:r>
          </w:p>
        </w:tc>
        <w:tc>
          <w:tcPr>
            <w:tcW w:w="1443" w:type="dxa"/>
            <w:vAlign w:val="center"/>
          </w:tcPr>
          <w:p>
            <w:pPr>
              <w:jc w:val="center"/>
              <w:rPr>
                <w:rFonts w:ascii="宋体" w:hAnsi="宋体" w:cs="宋体"/>
                <w:szCs w:val="21"/>
              </w:rPr>
            </w:pPr>
            <w:r>
              <w:rPr>
                <w:rFonts w:hint="eastAsia" w:ascii="宋体" w:hAnsi="宋体" w:cs="宋体"/>
                <w:szCs w:val="21"/>
              </w:rPr>
              <w:t>仔蟹Ⅱ期及以上</w:t>
            </w:r>
          </w:p>
        </w:tc>
        <w:tc>
          <w:tcPr>
            <w:tcW w:w="1454" w:type="dxa"/>
            <w:vAlign w:val="center"/>
          </w:tcPr>
          <w:p>
            <w:pPr>
              <w:jc w:val="center"/>
              <w:rPr>
                <w:rFonts w:ascii="宋体" w:hAnsi="宋体" w:eastAsia="宋体" w:cs="宋体"/>
                <w:szCs w:val="21"/>
              </w:rPr>
            </w:pPr>
            <w:r>
              <w:rPr>
                <w:rFonts w:hint="eastAsia" w:ascii="宋体" w:hAnsi="宋体" w:cs="宋体"/>
                <w:szCs w:val="21"/>
              </w:rPr>
              <w:t>0.0625</w:t>
            </w:r>
          </w:p>
        </w:tc>
        <w:tc>
          <w:tcPr>
            <w:tcW w:w="1066"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100</w:t>
            </w:r>
          </w:p>
        </w:tc>
        <w:tc>
          <w:tcPr>
            <w:tcW w:w="1137" w:type="dxa"/>
            <w:vAlign w:val="center"/>
          </w:tcPr>
          <w:p>
            <w:pPr>
              <w:jc w:val="center"/>
              <w:rPr>
                <w:rFonts w:hint="default" w:ascii="宋体" w:hAnsi="宋体" w:eastAsia="宋体" w:cs="仿宋"/>
                <w:bCs/>
                <w:szCs w:val="21"/>
              </w:rPr>
            </w:pPr>
            <w:r>
              <w:rPr>
                <w:rFonts w:ascii="宋体" w:hAnsi="宋体" w:eastAsia="宋体" w:cs="仿宋"/>
                <w:bCs/>
                <w:szCs w:val="21"/>
              </w:rPr>
              <w:t>1600</w:t>
            </w:r>
          </w:p>
        </w:tc>
        <w:tc>
          <w:tcPr>
            <w:tcW w:w="1088" w:type="dxa"/>
            <w:vAlign w:val="center"/>
          </w:tcPr>
          <w:p>
            <w:pPr>
              <w:jc w:val="center"/>
              <w:rPr>
                <w:rFonts w:ascii="宋体" w:hAnsi="宋体" w:cs="宋体"/>
                <w:szCs w:val="21"/>
              </w:rPr>
            </w:pPr>
            <w:r>
              <w:rPr>
                <w:rFonts w:hint="eastAsia" w:ascii="宋体" w:hAnsi="宋体" w:cs="宋体"/>
                <w:szCs w:val="21"/>
              </w:rPr>
              <w:t>5-8月</w:t>
            </w:r>
          </w:p>
        </w:tc>
        <w:tc>
          <w:tcPr>
            <w:tcW w:w="2050" w:type="dxa"/>
            <w:vAlign w:val="center"/>
          </w:tcPr>
          <w:p>
            <w:pPr>
              <w:jc w:val="center"/>
              <w:rPr>
                <w:rFonts w:ascii="宋体" w:hAnsi="宋体" w:cs="仿宋"/>
                <w:bCs/>
                <w:szCs w:val="21"/>
              </w:rPr>
            </w:pPr>
            <w:r>
              <w:rPr>
                <w:rFonts w:hint="eastAsia" w:ascii="宋体" w:hAnsi="宋体" w:cs="仿宋"/>
                <w:bCs/>
                <w:szCs w:val="21"/>
              </w:rPr>
              <w:t>岱衢洋多子山附近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1175" w:type="dxa"/>
            <w:vAlign w:val="center"/>
          </w:tcPr>
          <w:p>
            <w:pPr>
              <w:jc w:val="center"/>
              <w:rPr>
                <w:rFonts w:ascii="宋体" w:hAnsi="宋体" w:cs="宋体"/>
                <w:szCs w:val="21"/>
              </w:rPr>
            </w:pPr>
            <w:r>
              <w:rPr>
                <w:rFonts w:hint="eastAsia" w:ascii="宋体" w:hAnsi="宋体" w:cs="宋体"/>
                <w:szCs w:val="21"/>
              </w:rPr>
              <w:t>海蜇</w:t>
            </w:r>
          </w:p>
        </w:tc>
        <w:tc>
          <w:tcPr>
            <w:tcW w:w="1443" w:type="dxa"/>
            <w:vAlign w:val="center"/>
          </w:tcPr>
          <w:p>
            <w:pPr>
              <w:jc w:val="center"/>
              <w:rPr>
                <w:rFonts w:ascii="宋体" w:hAnsi="宋体" w:cs="宋体"/>
                <w:szCs w:val="21"/>
              </w:rPr>
            </w:pPr>
            <w:r>
              <w:rPr>
                <w:rFonts w:hint="eastAsia" w:ascii="宋体" w:hAnsi="宋体" w:cs="宋体"/>
                <w:szCs w:val="21"/>
              </w:rPr>
              <w:t>伞径≥0.7厘米</w:t>
            </w:r>
          </w:p>
        </w:tc>
        <w:tc>
          <w:tcPr>
            <w:tcW w:w="1454" w:type="dxa"/>
            <w:vAlign w:val="center"/>
          </w:tcPr>
          <w:p>
            <w:pPr>
              <w:jc w:val="center"/>
              <w:rPr>
                <w:rFonts w:ascii="宋体" w:hAnsi="宋体" w:cs="宋体"/>
                <w:szCs w:val="21"/>
              </w:rPr>
            </w:pPr>
            <w:r>
              <w:rPr>
                <w:rFonts w:hint="eastAsia" w:ascii="宋体" w:hAnsi="宋体" w:cs="宋体"/>
                <w:szCs w:val="21"/>
              </w:rPr>
              <w:t>0.008</w:t>
            </w:r>
          </w:p>
        </w:tc>
        <w:tc>
          <w:tcPr>
            <w:tcW w:w="1066" w:type="dxa"/>
            <w:vAlign w:val="center"/>
          </w:tcPr>
          <w:p>
            <w:pPr>
              <w:jc w:val="cente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80</w:t>
            </w:r>
          </w:p>
        </w:tc>
        <w:tc>
          <w:tcPr>
            <w:tcW w:w="1137" w:type="dxa"/>
            <w:vAlign w:val="center"/>
          </w:tcPr>
          <w:p>
            <w:pPr>
              <w:jc w:val="center"/>
              <w:rPr>
                <w:rFonts w:hint="default" w:ascii="宋体" w:hAnsi="宋体" w:cs="仿宋" w:eastAsiaTheme="minorEastAsia"/>
                <w:bCs/>
                <w:szCs w:val="21"/>
                <w:lang w:val="en-US" w:eastAsia="zh-CN"/>
              </w:rPr>
            </w:pPr>
            <w:r>
              <w:rPr>
                <w:rFonts w:hint="eastAsia" w:ascii="宋体" w:hAnsi="宋体" w:cs="仿宋" w:eastAsiaTheme="minorEastAsia"/>
                <w:bCs/>
                <w:szCs w:val="21"/>
                <w:lang w:val="en-US" w:eastAsia="zh-CN"/>
              </w:rPr>
              <w:t>10000</w:t>
            </w:r>
          </w:p>
        </w:tc>
        <w:tc>
          <w:tcPr>
            <w:tcW w:w="1088" w:type="dxa"/>
            <w:vAlign w:val="center"/>
          </w:tcPr>
          <w:p>
            <w:pPr>
              <w:jc w:val="center"/>
              <w:rPr>
                <w:rFonts w:ascii="宋体" w:hAnsi="宋体" w:cs="仿宋"/>
                <w:bCs/>
                <w:szCs w:val="21"/>
              </w:rPr>
            </w:pPr>
            <w:r>
              <w:rPr>
                <w:rFonts w:hint="eastAsia" w:ascii="宋体" w:hAnsi="宋体" w:cs="宋体"/>
                <w:szCs w:val="21"/>
              </w:rPr>
              <w:t>5-8月</w:t>
            </w:r>
          </w:p>
        </w:tc>
        <w:tc>
          <w:tcPr>
            <w:tcW w:w="2050" w:type="dxa"/>
            <w:vAlign w:val="center"/>
          </w:tcPr>
          <w:p>
            <w:pPr>
              <w:jc w:val="center"/>
              <w:rPr>
                <w:rFonts w:ascii="宋体" w:hAnsi="宋体" w:cs="宋体"/>
                <w:szCs w:val="21"/>
              </w:rPr>
            </w:pPr>
            <w:r>
              <w:rPr>
                <w:rFonts w:hint="eastAsia" w:ascii="宋体" w:hAnsi="宋体" w:cs="宋体"/>
                <w:szCs w:val="21"/>
              </w:rPr>
              <w:t>岱西两头洞海域</w:t>
            </w:r>
            <w:r>
              <w:rPr>
                <w:rFonts w:hint="eastAsia" w:ascii="宋体" w:hAnsi="宋体" w:cs="宋体"/>
                <w:szCs w:val="21"/>
                <w:lang w:eastAsia="zh-CN"/>
              </w:rPr>
              <w:t>、</w:t>
            </w:r>
            <w:r>
              <w:rPr>
                <w:rFonts w:hint="eastAsia" w:ascii="宋体" w:hAnsi="宋体" w:cs="宋体"/>
                <w:szCs w:val="21"/>
                <w:lang w:val="en-US" w:eastAsia="zh-CN"/>
              </w:rPr>
              <w:t>燕窝山西北侧海域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jc w:val="center"/>
              <w:rPr>
                <w:rFonts w:hint="eastAsia" w:ascii="宋体" w:hAnsi="宋体" w:cs="宋体"/>
                <w:szCs w:val="21"/>
              </w:rPr>
            </w:pPr>
            <w:r>
              <w:rPr>
                <w:rFonts w:hint="eastAsia" w:ascii="宋体" w:hAnsi="宋体" w:cs="宋体"/>
                <w:szCs w:val="21"/>
              </w:rPr>
              <w:t>合计</w:t>
            </w:r>
          </w:p>
        </w:tc>
        <w:tc>
          <w:tcPr>
            <w:tcW w:w="1175" w:type="dxa"/>
            <w:vAlign w:val="center"/>
          </w:tcPr>
          <w:p>
            <w:pPr>
              <w:jc w:val="center"/>
              <w:rPr>
                <w:rFonts w:ascii="宋体" w:hAnsi="宋体" w:cs="宋体"/>
                <w:szCs w:val="21"/>
              </w:rPr>
            </w:pPr>
          </w:p>
        </w:tc>
        <w:tc>
          <w:tcPr>
            <w:tcW w:w="1443" w:type="dxa"/>
            <w:vAlign w:val="center"/>
          </w:tcPr>
          <w:p>
            <w:pPr>
              <w:jc w:val="center"/>
              <w:rPr>
                <w:rFonts w:ascii="宋体" w:hAnsi="宋体" w:cs="宋体"/>
                <w:szCs w:val="21"/>
              </w:rPr>
            </w:pPr>
          </w:p>
        </w:tc>
        <w:tc>
          <w:tcPr>
            <w:tcW w:w="1454" w:type="dxa"/>
            <w:vAlign w:val="center"/>
          </w:tcPr>
          <w:p>
            <w:pPr>
              <w:jc w:val="center"/>
              <w:rPr>
                <w:rFonts w:ascii="宋体" w:hAnsi="宋体" w:cs="宋体"/>
                <w:szCs w:val="21"/>
              </w:rPr>
            </w:pPr>
          </w:p>
        </w:tc>
        <w:tc>
          <w:tcPr>
            <w:tcW w:w="1066" w:type="dxa"/>
            <w:vAlign w:val="center"/>
          </w:tcPr>
          <w:p>
            <w:pPr>
              <w:jc w:val="center"/>
              <w:rPr>
                <w:rFonts w:hint="eastAsia" w:ascii="宋体" w:hAnsi="宋体" w:cs="宋体" w:eastAsiaTheme="minorEastAsia"/>
                <w:lang w:eastAsia="zh-CN"/>
              </w:rPr>
            </w:pPr>
            <w:r>
              <w:rPr>
                <w:rFonts w:hint="eastAsia" w:ascii="宋体" w:hAnsi="宋体" w:cs="宋体"/>
                <w:lang w:val="en-US" w:eastAsia="zh-CN"/>
              </w:rPr>
              <w:t>500</w:t>
            </w:r>
          </w:p>
        </w:tc>
        <w:tc>
          <w:tcPr>
            <w:tcW w:w="1137" w:type="dxa"/>
            <w:vAlign w:val="center"/>
          </w:tcPr>
          <w:p>
            <w:pPr>
              <w:jc w:val="center"/>
              <w:rPr>
                <w:rFonts w:hint="default" w:ascii="宋体" w:hAnsi="宋体" w:cs="仿宋"/>
                <w:bCs/>
                <w:szCs w:val="21"/>
                <w:lang w:val="en-US" w:eastAsia="zh-CN"/>
              </w:rPr>
            </w:pPr>
            <w:r>
              <w:rPr>
                <w:rFonts w:hint="default" w:ascii="宋体" w:hAnsi="宋体" w:cs="仿宋"/>
                <w:bCs/>
                <w:szCs w:val="21"/>
                <w:lang w:eastAsia="zh-CN"/>
              </w:rPr>
              <w:t>1</w:t>
            </w:r>
            <w:r>
              <w:rPr>
                <w:rFonts w:hint="eastAsia" w:ascii="宋体" w:hAnsi="宋体" w:cs="仿宋"/>
                <w:bCs/>
                <w:szCs w:val="21"/>
                <w:lang w:val="en-US" w:eastAsia="zh-CN"/>
              </w:rPr>
              <w:t>2456.0173</w:t>
            </w:r>
          </w:p>
        </w:tc>
        <w:tc>
          <w:tcPr>
            <w:tcW w:w="1088" w:type="dxa"/>
            <w:vAlign w:val="center"/>
          </w:tcPr>
          <w:p>
            <w:pPr>
              <w:jc w:val="center"/>
              <w:rPr>
                <w:rFonts w:ascii="宋体" w:hAnsi="宋体" w:cs="仿宋"/>
                <w:bCs/>
                <w:szCs w:val="21"/>
              </w:rPr>
            </w:pPr>
          </w:p>
        </w:tc>
        <w:tc>
          <w:tcPr>
            <w:tcW w:w="2050" w:type="dxa"/>
            <w:vAlign w:val="top"/>
          </w:tcPr>
          <w:p>
            <w:pPr>
              <w:jc w:val="center"/>
              <w:rPr>
                <w:rFonts w:ascii="宋体" w:hAnsi="宋体" w:cs="宋体"/>
                <w:szCs w:val="21"/>
              </w:rPr>
            </w:pPr>
          </w:p>
        </w:tc>
      </w:tr>
    </w:tbl>
    <w:p>
      <w:pPr>
        <w:ind w:firstLine="713" w:firstLineChars="223"/>
        <w:rPr>
          <w:rFonts w:ascii="黑体" w:hAnsi="黑体" w:eastAsia="黑体" w:cs="宋体"/>
          <w:sz w:val="32"/>
          <w:szCs w:val="32"/>
        </w:rPr>
      </w:pPr>
      <w:r>
        <w:rPr>
          <w:rFonts w:hint="eastAsia" w:ascii="黑体" w:hAnsi="黑体" w:eastAsia="黑体" w:cs="宋体"/>
          <w:sz w:val="32"/>
          <w:szCs w:val="32"/>
        </w:rPr>
        <w:t>三、工作内容</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1、制定出台实施方案：</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月召开局渔业资源增殖放流工作领导小组会议，</w:t>
      </w:r>
      <w:r>
        <w:rPr>
          <w:rFonts w:ascii="仿宋_GB2312" w:hAnsi="宋体" w:eastAsia="仿宋_GB2312" w:cs="宋体"/>
          <w:sz w:val="32"/>
          <w:szCs w:val="32"/>
        </w:rPr>
        <w:t>确定具体放流种类、放流数量、放流规格、放流时间和放流地点等</w:t>
      </w:r>
      <w:r>
        <w:rPr>
          <w:rFonts w:hint="eastAsia" w:ascii="仿宋_GB2312" w:hAnsi="宋体" w:eastAsia="仿宋_GB2312" w:cs="宋体"/>
          <w:sz w:val="32"/>
          <w:szCs w:val="32"/>
        </w:rPr>
        <w:t>工作内容，制定出台《岱山县</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年渔业资源增殖放流工作实施方案》。</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2、苗种采购：</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月，根据政府采购有关规定，委托有资质的招投标代理机构开展增殖放流苗种政府采购公开招投标工作，确定供苗单位并及时签订采购合同。</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3、苗种质量监管：</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年5-6月，根据《</w:t>
      </w:r>
      <w:r>
        <w:rPr>
          <w:rFonts w:hint="eastAsia" w:ascii="仿宋_GB2312" w:hAnsi="宋体" w:eastAsia="仿宋_GB2312" w:cs="宋体"/>
          <w:bCs/>
          <w:sz w:val="32"/>
          <w:szCs w:val="32"/>
        </w:rPr>
        <w:t>浙江省水生生物增殖放流工作规程</w:t>
      </w:r>
      <w:r>
        <w:rPr>
          <w:rFonts w:hint="eastAsia" w:ascii="仿宋_GB2312" w:hAnsi="宋体" w:eastAsia="仿宋_GB2312" w:cs="宋体"/>
          <w:sz w:val="32"/>
          <w:szCs w:val="32"/>
        </w:rPr>
        <w:t>》（浙海渔环[2017]9号）有关规定，做好对增殖放流供苗单位中标苗种质量监管工作，建立与中标供苗单位所在地渔业主管部门的联动监管机制。用于增殖放流的水产苗种生长到适合规格后，监督指导供苗单位向有资质的机构（单位）申请苗种药残检验和疫病检测。增殖放流苗种药残检验按《农业部办公</w:t>
      </w:r>
      <w:r>
        <w:rPr>
          <w:rFonts w:ascii="仿宋_GB2312" w:hAnsi="宋体" w:eastAsia="仿宋_GB2312" w:cs="宋体"/>
          <w:sz w:val="32"/>
          <w:szCs w:val="32"/>
        </w:rPr>
        <w:t>厅关于开展增殖放流经济水产苗种质量安全检验的通知》（农办渔〔2009〕52号）执行；苗种疫病检测参照《农业部关于印发</w:t>
      </w:r>
      <w:r>
        <w:rPr>
          <w:rFonts w:hint="eastAsia" w:ascii="仿宋_GB2312" w:hAnsi="宋体" w:eastAsia="仿宋_GB2312" w:cs="宋体"/>
          <w:sz w:val="32"/>
          <w:szCs w:val="32"/>
        </w:rPr>
        <w:t>&lt;</w:t>
      </w:r>
      <w:r>
        <w:rPr>
          <w:rFonts w:ascii="仿宋_GB2312" w:hAnsi="宋体" w:eastAsia="仿宋_GB2312" w:cs="宋体"/>
          <w:sz w:val="32"/>
          <w:szCs w:val="32"/>
        </w:rPr>
        <w:t>鱼类产地检疫规程（试行）</w:t>
      </w:r>
      <w:r>
        <w:rPr>
          <w:rFonts w:hint="eastAsia" w:ascii="仿宋_GB2312" w:hAnsi="宋体" w:eastAsia="仿宋_GB2312" w:cs="宋体"/>
          <w:sz w:val="32"/>
          <w:szCs w:val="32"/>
        </w:rPr>
        <w:t>&gt;</w:t>
      </w:r>
      <w:r>
        <w:rPr>
          <w:rFonts w:ascii="仿宋_GB2312" w:hAnsi="宋体" w:eastAsia="仿宋_GB2312" w:cs="宋体"/>
          <w:sz w:val="32"/>
          <w:szCs w:val="32"/>
        </w:rPr>
        <w:t>等3个规程的通知》(农渔发〔2011〕6号)执</w:t>
      </w:r>
      <w:r>
        <w:rPr>
          <w:rFonts w:hint="eastAsia" w:ascii="仿宋_GB2312" w:hAnsi="宋体" w:eastAsia="仿宋_GB2312" w:cs="宋体"/>
          <w:sz w:val="32"/>
          <w:szCs w:val="32"/>
        </w:rPr>
        <w:t>行，经检验含有药残或不符合疫病检测合格标准的苗种，不得用于增殖放流。</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4、开展增殖放流：</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年5-8月，供苗单位凭苗种疫病检测和药残检验合格报告，提前七个工作日申请增殖放流苗种投放。局渔业资源增殖放流领导小组下设的技术小组负责对放流苗种进行现场验收，并监督</w:t>
      </w:r>
      <w:r>
        <w:rPr>
          <w:rFonts w:ascii="仿宋_GB2312" w:hAnsi="宋体" w:eastAsia="仿宋_GB2312" w:cs="宋体"/>
          <w:sz w:val="32"/>
          <w:szCs w:val="32"/>
        </w:rPr>
        <w:t>指导供苗单位严格按照《SC/T9401-2010</w:t>
      </w:r>
      <w:r>
        <w:rPr>
          <w:rFonts w:hint="eastAsia" w:ascii="仿宋_GB2312" w:hAnsi="宋体" w:eastAsia="仿宋_GB2312" w:cs="宋体"/>
          <w:sz w:val="32"/>
          <w:szCs w:val="32"/>
        </w:rPr>
        <w:t xml:space="preserve"> </w:t>
      </w:r>
      <w:r>
        <w:rPr>
          <w:rFonts w:ascii="仿宋_GB2312" w:hAnsi="宋体" w:eastAsia="仿宋_GB2312" w:cs="宋体"/>
          <w:sz w:val="32"/>
          <w:szCs w:val="32"/>
        </w:rPr>
        <w:t>水生生物增殖放流技术规程》进行苗种的打包、装运</w:t>
      </w:r>
      <w:r>
        <w:rPr>
          <w:rFonts w:hint="eastAsia" w:ascii="仿宋_GB2312" w:hAnsi="宋体" w:eastAsia="仿宋_GB2312" w:cs="宋体"/>
          <w:sz w:val="32"/>
          <w:szCs w:val="32"/>
        </w:rPr>
        <w:t>及放流工作。局渔业资源增殖放流领导小组下设的监督管理小组负责对增殖放流全过程进行监督，做好《浙江省水生生物增殖放流工作监督表》</w:t>
      </w:r>
      <w:r>
        <w:rPr>
          <w:rFonts w:hint="eastAsia" w:ascii="仿宋_GB2312" w:hAnsi="宋体" w:eastAsia="仿宋_GB2312" w:cs="宋体"/>
          <w:sz w:val="32"/>
          <w:szCs w:val="32"/>
          <w:lang w:eastAsia="zh-CN"/>
        </w:rPr>
        <w:t>和《政府采购履约验收书》</w:t>
      </w:r>
      <w:r>
        <w:rPr>
          <w:rFonts w:hint="eastAsia" w:ascii="仿宋_GB2312" w:hAnsi="宋体" w:eastAsia="仿宋_GB2312" w:cs="宋体"/>
          <w:sz w:val="32"/>
          <w:szCs w:val="32"/>
        </w:rPr>
        <w:t>相关信息的现场填写工作，同时将邀请渔民代表、技术专家、新闻媒体、纪检组织等参加放流工作，接受社会的监督。</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5、放流管护：局渔业资源增殖放流领导小组负责提前将放流的种类、数量、规格、时间、范围、临时限制捕捞措施等事项向社会公告；县海洋</w:t>
      </w:r>
      <w:r>
        <w:rPr>
          <w:rFonts w:hint="eastAsia" w:ascii="仿宋_GB2312" w:hAnsi="宋体" w:eastAsia="仿宋_GB2312" w:cs="宋体"/>
          <w:sz w:val="32"/>
          <w:szCs w:val="32"/>
          <w:lang w:eastAsia="zh-CN"/>
        </w:rPr>
        <w:t>行政</w:t>
      </w:r>
      <w:r>
        <w:rPr>
          <w:rFonts w:hint="eastAsia" w:ascii="仿宋_GB2312" w:hAnsi="宋体" w:eastAsia="仿宋_GB2312" w:cs="宋体"/>
          <w:sz w:val="32"/>
          <w:szCs w:val="32"/>
        </w:rPr>
        <w:t>执法</w:t>
      </w:r>
      <w:r>
        <w:rPr>
          <w:rFonts w:hint="eastAsia" w:ascii="仿宋_GB2312" w:hAnsi="宋体" w:eastAsia="仿宋_GB2312" w:cs="宋体"/>
          <w:sz w:val="32"/>
          <w:szCs w:val="32"/>
          <w:lang w:eastAsia="zh-CN"/>
        </w:rPr>
        <w:t>中</w:t>
      </w:r>
      <w:r>
        <w:rPr>
          <w:rFonts w:hint="eastAsia" w:ascii="仿宋_GB2312" w:hAnsi="宋体" w:eastAsia="仿宋_GB2312" w:cs="宋体"/>
          <w:sz w:val="32"/>
          <w:szCs w:val="32"/>
        </w:rPr>
        <w:t>队负责对放流海域实施执法检查，劝离、清除对放流苗种有危害的作业船只、网具等，增殖放</w:t>
      </w:r>
      <w:r>
        <w:rPr>
          <w:rFonts w:ascii="仿宋_GB2312" w:hAnsi="宋体" w:eastAsia="仿宋_GB2312" w:cs="宋体"/>
          <w:sz w:val="32"/>
          <w:szCs w:val="32"/>
        </w:rPr>
        <w:t>流后10日内，</w:t>
      </w:r>
      <w:r>
        <w:rPr>
          <w:rFonts w:hint="eastAsia" w:ascii="仿宋_GB2312" w:hAnsi="宋体" w:eastAsia="仿宋_GB2312" w:cs="宋体"/>
          <w:sz w:val="32"/>
          <w:szCs w:val="32"/>
        </w:rPr>
        <w:t>对增殖放流区域开展巡查和管护，严厉查处各类违法捕捞和破坏放流苗种的行为，同时在《浙江省水生生物增殖放流巡查管护工作记录表》上做好记录工作。</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6、信息报送及评估工作：</w:t>
      </w:r>
      <w:r>
        <w:rPr>
          <w:rFonts w:hint="eastAsia" w:ascii="仿宋_GB2312" w:hAnsi="宋体" w:eastAsia="仿宋_GB2312" w:cs="宋体"/>
          <w:sz w:val="32"/>
          <w:szCs w:val="32"/>
          <w:lang w:eastAsia="zh-CN"/>
        </w:rPr>
        <w:t>局渔业资源</w:t>
      </w:r>
      <w:r>
        <w:rPr>
          <w:rFonts w:hint="eastAsia" w:ascii="仿宋_GB2312" w:eastAsia="仿宋_GB2312"/>
          <w:sz w:val="32"/>
          <w:szCs w:val="32"/>
        </w:rPr>
        <w:t>增殖放流领导小组</w:t>
      </w:r>
      <w:r>
        <w:rPr>
          <w:rFonts w:hint="eastAsia" w:ascii="仿宋_GB2312" w:hAnsi="宋体" w:eastAsia="仿宋_GB2312" w:cs="宋体"/>
          <w:sz w:val="32"/>
          <w:szCs w:val="32"/>
        </w:rPr>
        <w:t>负责做好相关信息报送、资料收集，配合省、市海洋</w:t>
      </w:r>
      <w:r>
        <w:rPr>
          <w:rFonts w:hint="eastAsia" w:ascii="仿宋_GB2312" w:hAnsi="宋体" w:eastAsia="仿宋_GB2312" w:cs="宋体"/>
          <w:sz w:val="32"/>
          <w:szCs w:val="32"/>
          <w:lang w:eastAsia="zh-CN"/>
        </w:rPr>
        <w:t>经济发展</w:t>
      </w:r>
      <w:r>
        <w:rPr>
          <w:rFonts w:hint="eastAsia" w:ascii="仿宋_GB2312" w:hAnsi="宋体" w:eastAsia="仿宋_GB2312" w:cs="宋体"/>
          <w:sz w:val="32"/>
          <w:szCs w:val="32"/>
        </w:rPr>
        <w:t>部门对增殖放流效果做好评估等相关工作。</w:t>
      </w:r>
    </w:p>
    <w:p>
      <w:pPr>
        <w:ind w:firstLine="713" w:firstLineChars="223"/>
        <w:rPr>
          <w:rFonts w:ascii="黑体" w:hAnsi="黑体" w:eastAsia="黑体" w:cs="宋体"/>
          <w:sz w:val="32"/>
          <w:szCs w:val="32"/>
        </w:rPr>
      </w:pPr>
      <w:r>
        <w:rPr>
          <w:rFonts w:hint="eastAsia" w:ascii="黑体" w:hAnsi="黑体" w:eastAsia="黑体" w:cs="宋体"/>
          <w:sz w:val="32"/>
          <w:szCs w:val="32"/>
        </w:rPr>
        <w:t>四、工作要求</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1、加强组织领导。</w:t>
      </w:r>
      <w:r>
        <w:rPr>
          <w:rFonts w:hint="eastAsia" w:ascii="仿宋_GB2312" w:hAnsi="宋体" w:eastAsia="仿宋_GB2312" w:cs="宋体"/>
          <w:sz w:val="32"/>
          <w:szCs w:val="32"/>
          <w:lang w:eastAsia="zh-CN"/>
        </w:rPr>
        <w:t>局渔业资源</w:t>
      </w:r>
      <w:r>
        <w:rPr>
          <w:rFonts w:hint="eastAsia" w:ascii="仿宋_GB2312" w:eastAsia="仿宋_GB2312"/>
          <w:sz w:val="32"/>
          <w:szCs w:val="32"/>
        </w:rPr>
        <w:t>增殖放流领导小组负责整个放流活动的组织实施，各相关科室要按照职责分工，密切配合，确保放流活动的顺利开展。</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2、加强宣传，营造良好的社会氛围。要以增殖放流活动为契机，加强渔业资源养护宣传教育，提高全社会海洋生态环境保护意识，动员社会各界支持和参与增殖放流事业，形成广泛的社会共识和积极参与的良好氛围。</w:t>
      </w:r>
    </w:p>
    <w:p>
      <w:pPr>
        <w:ind w:firstLine="713" w:firstLineChars="223"/>
        <w:rPr>
          <w:rFonts w:ascii="仿宋_GB2312" w:hAnsi="宋体" w:eastAsia="仿宋_GB2312" w:cs="宋体"/>
          <w:sz w:val="32"/>
          <w:szCs w:val="32"/>
        </w:rPr>
      </w:pPr>
      <w:r>
        <w:rPr>
          <w:rFonts w:hint="eastAsia" w:ascii="仿宋_GB2312" w:hAnsi="宋体" w:eastAsia="仿宋_GB2312" w:cs="宋体"/>
          <w:sz w:val="32"/>
          <w:szCs w:val="32"/>
        </w:rPr>
        <w:t>3、严格资金管理，确保专款专用。</w:t>
      </w:r>
      <w:r>
        <w:rPr>
          <w:rFonts w:ascii="仿宋_GB2312" w:hAnsi="宋体" w:eastAsia="仿宋_GB2312" w:cs="宋体"/>
          <w:sz w:val="32"/>
          <w:szCs w:val="32"/>
        </w:rPr>
        <w:t>严格</w:t>
      </w:r>
      <w:r>
        <w:rPr>
          <w:rFonts w:hint="eastAsia" w:ascii="仿宋_GB2312" w:hAnsi="宋体" w:eastAsia="仿宋_GB2312" w:cs="宋体"/>
          <w:sz w:val="32"/>
          <w:szCs w:val="32"/>
        </w:rPr>
        <w:t>执行相关项目资金管理办法和</w:t>
      </w:r>
      <w:r>
        <w:rPr>
          <w:rFonts w:ascii="仿宋_GB2312" w:hAnsi="宋体" w:eastAsia="仿宋_GB2312" w:cs="宋体"/>
          <w:sz w:val="32"/>
          <w:szCs w:val="32"/>
        </w:rPr>
        <w:t>政府采购等规章制度，进行专账核算、专款专用</w:t>
      </w:r>
      <w:r>
        <w:rPr>
          <w:rFonts w:hint="eastAsia" w:ascii="仿宋_GB2312" w:hAnsi="宋体" w:eastAsia="仿宋_GB2312" w:cs="宋体"/>
          <w:sz w:val="32"/>
          <w:szCs w:val="32"/>
        </w:rPr>
        <w:t>。</w:t>
      </w: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D150B"/>
    <w:multiLevelType w:val="multilevel"/>
    <w:tmpl w:val="430D150B"/>
    <w:lvl w:ilvl="0" w:tentative="0">
      <w:start w:val="1"/>
      <w:numFmt w:val="japaneseCounting"/>
      <w:lvlText w:val="%1、"/>
      <w:lvlJc w:val="left"/>
      <w:pPr>
        <w:ind w:left="1434" w:hanging="720"/>
      </w:pPr>
      <w:rPr>
        <w:rFonts w:hint="default"/>
      </w:r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29"/>
    <w:rsid w:val="000B1B98"/>
    <w:rsid w:val="00186D4F"/>
    <w:rsid w:val="001B36A3"/>
    <w:rsid w:val="0053184F"/>
    <w:rsid w:val="005607D4"/>
    <w:rsid w:val="005D1C29"/>
    <w:rsid w:val="00684039"/>
    <w:rsid w:val="00821DCB"/>
    <w:rsid w:val="00890808"/>
    <w:rsid w:val="0090164E"/>
    <w:rsid w:val="00991C53"/>
    <w:rsid w:val="009E0BD3"/>
    <w:rsid w:val="00A04DFA"/>
    <w:rsid w:val="00AB2DF8"/>
    <w:rsid w:val="00AF0720"/>
    <w:rsid w:val="00B77AA3"/>
    <w:rsid w:val="00C4270F"/>
    <w:rsid w:val="00C556F4"/>
    <w:rsid w:val="00C827B5"/>
    <w:rsid w:val="00D64CD5"/>
    <w:rsid w:val="00D931C1"/>
    <w:rsid w:val="00DD1019"/>
    <w:rsid w:val="00DE665B"/>
    <w:rsid w:val="00E04F6B"/>
    <w:rsid w:val="27EBB6AF"/>
    <w:rsid w:val="57E2F2FC"/>
    <w:rsid w:val="79DF4217"/>
    <w:rsid w:val="7D7DEACD"/>
    <w:rsid w:val="7DE9E7E3"/>
    <w:rsid w:val="7EBAC4F6"/>
    <w:rsid w:val="7FE90F5D"/>
    <w:rsid w:val="DFFF5728"/>
    <w:rsid w:val="EDD90463"/>
    <w:rsid w:val="FB535394"/>
    <w:rsid w:val="FF5D7904"/>
    <w:rsid w:val="FF7EA8E7"/>
    <w:rsid w:val="FFBAF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Balloon Text"/>
    <w:basedOn w:val="1"/>
    <w:link w:val="8"/>
    <w:semiHidden/>
    <w:unhideWhenUsed/>
    <w:qFormat/>
    <w:uiPriority w:val="99"/>
    <w:rPr>
      <w:sz w:val="18"/>
      <w:szCs w:val="18"/>
    </w:rPr>
  </w:style>
  <w:style w:type="character" w:styleId="6">
    <w:name w:val="annotation reference"/>
    <w:qFormat/>
    <w:uiPriority w:val="0"/>
    <w:rPr>
      <w:sz w:val="21"/>
      <w:szCs w:val="21"/>
    </w:rPr>
  </w:style>
  <w:style w:type="character" w:customStyle="1" w:styleId="7">
    <w:name w:val="批注文字 Char"/>
    <w:basedOn w:val="5"/>
    <w:link w:val="2"/>
    <w:qFormat/>
    <w:uiPriority w:val="0"/>
    <w:rPr>
      <w:rFonts w:ascii="Times New Roman" w:hAnsi="Times New Roman" w:eastAsia="宋体" w:cs="Times New Roman"/>
      <w:szCs w:val="21"/>
    </w:rPr>
  </w:style>
  <w:style w:type="character" w:customStyle="1" w:styleId="8">
    <w:name w:val="批注框文本 Char"/>
    <w:basedOn w:val="5"/>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Words>
  <Characters>1551</Characters>
  <Lines>12</Lines>
  <Paragraphs>3</Paragraphs>
  <TotalTime>5</TotalTime>
  <ScaleCrop>false</ScaleCrop>
  <LinksUpToDate>false</LinksUpToDate>
  <CharactersWithSpaces>1820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2022-03-19T18:20:00Z</dcterms:created>
  <dc:creator>bgs</dc:creator>
  <cp:lastModifiedBy>MAXHUB</cp:lastModifiedBy>
  <dcterms:modified xsi:type="dcterms:W3CDTF">2025-02-13T15:50:16Z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7B14914678389BD7F8AFEE65DD85524A</vt:lpwstr>
  </property>
</Properties>
</file>