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对《多湖街道村（社）集体“三资”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管理制度（草案）》的起草说明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  <w:highlight w:val="none"/>
        </w:rPr>
      </w:pP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村（社）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集体资金、资产、资源（以下简称“三资”）的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规范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管理是保障农村集体经济发展和维护农村社会稳定的重要基础。近年来，随着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村（社）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集体经济实力不断发展壮大，资产资源收益大幅增加，管理日益复杂，对于构建归属清晰、权能完整、保护严格的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“三资”管理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制度提出了新的更高要求。为切实加强多湖街道村（社）集体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“三资”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管理，保护村（社）集体“三资”所有者和经营者的合法权益，促进村（社）基层党风廉政建设，推动村（社）经济健康、协调、可持续发展，根据《农村集体经济组织法》《浙江省村经济合作社组织条例》《浙江省农村集体资产管理条例》《浙江省村级组织工作规则》及金东区三资办〔2021〕2号文件等有关法律法规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坚持“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依法依规、民主公开、有序管理</w:t>
      </w:r>
      <w:r>
        <w:rPr>
          <w:rFonts w:ascii="Times New Roman" w:hAnsi="Times New Roman" w:eastAsia="仿宋_GB2312"/>
          <w:sz w:val="32"/>
          <w:szCs w:val="32"/>
          <w:highlight w:val="none"/>
        </w:rPr>
        <w:t>”的基本原则，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结合街道工作实际，</w:t>
      </w:r>
      <w:r>
        <w:rPr>
          <w:rFonts w:ascii="Times New Roman" w:hAnsi="Times New Roman" w:eastAsia="仿宋_GB2312"/>
          <w:sz w:val="32"/>
          <w:szCs w:val="40"/>
          <w:highlight w:val="none"/>
        </w:rPr>
        <w:t>制定本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eastAsia="zh-CN"/>
        </w:rPr>
        <w:t>制度</w:t>
      </w:r>
      <w:r>
        <w:rPr>
          <w:rFonts w:ascii="Times New Roman" w:hAnsi="Times New Roman" w:eastAsia="仿宋_GB2312"/>
          <w:sz w:val="32"/>
          <w:szCs w:val="40"/>
          <w:highlight w:val="none"/>
        </w:rPr>
        <w:t>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制度</w:t>
      </w:r>
      <w:r>
        <w:rPr>
          <w:rFonts w:hint="eastAsia" w:eastAsia="仿宋_GB2312"/>
          <w:sz w:val="32"/>
          <w:szCs w:val="32"/>
          <w:highlight w:val="none"/>
        </w:rPr>
        <w:t>》共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五十五</w:t>
      </w:r>
      <w:r>
        <w:rPr>
          <w:rFonts w:hint="eastAsia" w:eastAsia="仿宋_GB2312"/>
          <w:sz w:val="32"/>
          <w:szCs w:val="32"/>
          <w:highlight w:val="none"/>
        </w:rPr>
        <w:t>条。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对资金、资产、资源管理、工程项目管理、物资和服务采购管理、集体产权交易管理、集体用工管理、合同与档案管理、队伍建设、公开与监督、责任追究等方面作出了详细规定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起草过程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yellow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4月16日，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向各有关单位征求意见，并根据各单位意见对制度进行了修改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7月8日，再次向各单位征求方案及清单意见，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收到意见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napToGri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</w:p>
    <w:p>
      <w:pPr>
        <w:wordWrap/>
        <w:spacing w:line="3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/>
        <w:spacing w:line="360" w:lineRule="exact"/>
        <w:ind w:left="4792" w:leftChars="1520" w:hanging="1600" w:hangingChars="5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起草部门：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金东区多湖街道办事处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5DEA7"/>
    <w:multiLevelType w:val="singleLevel"/>
    <w:tmpl w:val="6E35DE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FD33590"/>
    <w:rsid w:val="282314F1"/>
    <w:rsid w:val="35FFD310"/>
    <w:rsid w:val="526D41CC"/>
    <w:rsid w:val="55BEF5EF"/>
    <w:rsid w:val="5B65793F"/>
    <w:rsid w:val="5E6C3182"/>
    <w:rsid w:val="627171E2"/>
    <w:rsid w:val="62B53519"/>
    <w:rsid w:val="7C3F8C0E"/>
    <w:rsid w:val="E8BFE206"/>
    <w:rsid w:val="EBEDACB5"/>
    <w:rsid w:val="FFFF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854</Words>
  <Characters>865</Characters>
  <Lines>3</Lines>
  <Paragraphs>1</Paragraphs>
  <TotalTime>15</TotalTime>
  <ScaleCrop>false</ScaleCrop>
  <LinksUpToDate>false</LinksUpToDate>
  <CharactersWithSpaces>932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2018-08-29T01:13:00Z</dcterms:created>
  <dc:creator>金丽超</dc:creator>
  <cp:lastModifiedBy>祈</cp:lastModifiedBy>
  <cp:lastPrinted>2023-08-27T01:32:00Z</cp:lastPrinted>
  <dcterms:modified xsi:type="dcterms:W3CDTF">2025-07-22T15:09:22Z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65F61128E6D44D2091C8D8396C46ED22_12</vt:lpwstr>
  </property>
</Properties>
</file>