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jc w:val="center"/>
        <w:outlineLvl w:val="9"/>
        <w:rPr>
          <w:rFonts w:hint="eastAsia" w:ascii="方正小标宋简体" w:hAnsi="方正小标宋简体" w:eastAsia="方正小标宋简体" w:cs="方正小标宋简体"/>
          <w:color w:val="auto"/>
          <w:kern w:val="2"/>
          <w:sz w:val="44"/>
          <w:szCs w:val="24"/>
          <w:lang w:val="en-US" w:eastAsia="zh-CN" w:bidi="ar-SA"/>
        </w:rPr>
      </w:pPr>
      <w:bookmarkStart w:id="0" w:name="_GoBack"/>
      <w:bookmarkEnd w:id="0"/>
      <w:r>
        <w:rPr>
          <w:rFonts w:hint="eastAsia" w:ascii="方正小标宋简体" w:hAnsi="方正小标宋简体" w:eastAsia="方正小标宋简体" w:cs="方正小标宋简体"/>
          <w:color w:val="auto"/>
          <w:kern w:val="2"/>
          <w:sz w:val="44"/>
          <w:szCs w:val="24"/>
          <w:lang w:val="en-US" w:eastAsia="zh-CN" w:bidi="ar-SA"/>
        </w:rPr>
        <w:t>衢州市人力资源和社会保障局 衢州市财政局</w:t>
      </w:r>
    </w:p>
    <w:p>
      <w:pPr>
        <w:pStyle w:val="3"/>
        <w:jc w:val="center"/>
        <w:outlineLvl w:val="9"/>
        <w:rPr>
          <w:rFonts w:hint="eastAsia" w:ascii="方正小标宋简体" w:hAnsi="方正小标宋简体" w:eastAsia="方正小标宋简体" w:cs="方正小标宋简体"/>
          <w:color w:val="auto"/>
          <w:kern w:val="2"/>
          <w:sz w:val="44"/>
          <w:szCs w:val="24"/>
          <w:lang w:val="en-US" w:eastAsia="zh-CN" w:bidi="ar-SA"/>
        </w:rPr>
      </w:pPr>
      <w:r>
        <w:rPr>
          <w:rFonts w:hint="eastAsia" w:ascii="方正小标宋简体" w:hAnsi="方正小标宋简体" w:eastAsia="方正小标宋简体" w:cs="方正小标宋简体"/>
          <w:color w:val="auto"/>
          <w:kern w:val="2"/>
          <w:sz w:val="44"/>
          <w:szCs w:val="24"/>
          <w:lang w:val="en-US" w:eastAsia="zh-CN" w:bidi="ar-SA"/>
        </w:rPr>
        <w:t>国家税务总局衢州市税务局关于调整城乡</w:t>
      </w:r>
    </w:p>
    <w:p>
      <w:pPr>
        <w:pStyle w:val="3"/>
        <w:jc w:val="center"/>
        <w:outlineLvl w:val="9"/>
        <w:rPr>
          <w:rFonts w:hint="eastAsia" w:ascii="方正小标宋简体" w:hAnsi="方正小标宋简体" w:eastAsia="方正小标宋简体" w:cs="方正小标宋简体"/>
          <w:color w:val="auto"/>
          <w:kern w:val="2"/>
          <w:sz w:val="44"/>
          <w:szCs w:val="24"/>
          <w:lang w:val="en-US" w:eastAsia="zh-CN" w:bidi="ar-SA"/>
        </w:rPr>
      </w:pPr>
      <w:r>
        <w:rPr>
          <w:rFonts w:hint="eastAsia" w:ascii="方正小标宋简体" w:hAnsi="方正小标宋简体" w:eastAsia="方正小标宋简体" w:cs="方正小标宋简体"/>
          <w:color w:val="auto"/>
          <w:kern w:val="2"/>
          <w:sz w:val="44"/>
          <w:szCs w:val="24"/>
          <w:lang w:val="en-US" w:eastAsia="zh-CN" w:bidi="ar-SA"/>
        </w:rPr>
        <w:t>居民基本养老保险缴费档次和缴费</w:t>
      </w:r>
    </w:p>
    <w:p>
      <w:pPr>
        <w:pStyle w:val="3"/>
        <w:jc w:val="center"/>
        <w:outlineLvl w:val="9"/>
        <w:rPr>
          <w:rFonts w:hint="eastAsia"/>
          <w:lang w:val="en-US" w:eastAsia="zh-CN"/>
        </w:rPr>
      </w:pPr>
      <w:r>
        <w:rPr>
          <w:rFonts w:hint="eastAsia" w:ascii="方正小标宋简体" w:hAnsi="方正小标宋简体" w:eastAsia="方正小标宋简体" w:cs="方正小标宋简体"/>
          <w:color w:val="auto"/>
          <w:kern w:val="2"/>
          <w:sz w:val="44"/>
          <w:szCs w:val="24"/>
          <w:lang w:val="en-US" w:eastAsia="zh-CN" w:bidi="ar-SA"/>
        </w:rPr>
        <w:t>补贴标准等有关事项的通知</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jc w:val="center"/>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（征求意见稿）</w:t>
      </w:r>
    </w:p>
    <w:p>
      <w:pPr>
        <w:pStyle w:val="2"/>
        <w:rPr>
          <w:rFonts w:hint="eastAsia" w:ascii="方正小标宋简体" w:eastAsia="方正小标宋简体"/>
          <w:sz w:val="44"/>
          <w:szCs w:val="44"/>
          <w:lang w:eastAsia="zh-CN"/>
        </w:rPr>
      </w:pPr>
    </w:p>
    <w:p>
      <w:pPr>
        <w:pStyle w:val="3"/>
        <w:rPr>
          <w:rFonts w:hint="eastAsia"/>
          <w:lang w:eastAsia="zh-CN"/>
        </w:rPr>
      </w:pPr>
    </w:p>
    <w:p>
      <w:pPr>
        <w:keepNext w:val="0"/>
        <w:keepLines w:val="0"/>
        <w:pageBreakBefore w:val="0"/>
        <w:widowControl w:val="0"/>
        <w:suppressAutoHyphens/>
        <w:kinsoku/>
        <w:wordWrap/>
        <w:overflowPunct/>
        <w:topLinePunct w:val="0"/>
        <w:autoSpaceDE/>
        <w:autoSpaceDN/>
        <w:bidi w:val="0"/>
        <w:adjustRightInd/>
        <w:snapToGrid/>
        <w:spacing w:line="620" w:lineRule="exact"/>
        <w:textAlignment w:val="auto"/>
        <w:rPr>
          <w:rFonts w:hint="eastAsia" w:ascii="仿宋_GB2312" w:eastAsia="仿宋_GB2312"/>
          <w:sz w:val="32"/>
          <w:szCs w:val="32"/>
        </w:rPr>
      </w:pPr>
      <w:r>
        <w:rPr>
          <w:rFonts w:hint="eastAsia" w:ascii="仿宋_GB2312" w:eastAsia="仿宋_GB2312"/>
          <w:sz w:val="32"/>
          <w:szCs w:val="32"/>
        </w:rPr>
        <w:t>各县（市、区）人力资源和社会保障局、财政局</w:t>
      </w:r>
      <w:r>
        <w:rPr>
          <w:rFonts w:hint="eastAsia" w:ascii="仿宋_GB2312" w:eastAsia="仿宋_GB2312"/>
          <w:sz w:val="32"/>
          <w:szCs w:val="32"/>
          <w:lang w:eastAsia="zh-CN"/>
        </w:rPr>
        <w:t>，</w:t>
      </w:r>
      <w:r>
        <w:rPr>
          <w:rFonts w:hint="eastAsia" w:ascii="仿宋_GB2312" w:eastAsia="仿宋_GB2312" w:cs="宋体"/>
          <w:sz w:val="32"/>
          <w:szCs w:val="32"/>
          <w:lang w:bidi="ar-SA"/>
        </w:rPr>
        <w:t>国家税务总局各县（市、区）税务局</w:t>
      </w:r>
      <w:r>
        <w:rPr>
          <w:rFonts w:hint="eastAsia" w:ascii="仿宋_GB2312" w:eastAsia="仿宋_GB2312"/>
          <w:sz w:val="32"/>
          <w:szCs w:val="32"/>
        </w:rPr>
        <w:t>：</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为深入推进共富型大社保体系建设，进一步健全城乡居民基本养老保险筹资机制，促进制度规范统一，发挥城乡居民基本养老保险在推进共同富裕中</w:t>
      </w:r>
      <w:r>
        <w:rPr>
          <w:rFonts w:hint="eastAsia" w:ascii="Times New Roman" w:hAnsi="Times New Roman" w:eastAsia="仿宋_GB2312"/>
          <w:spacing w:val="-6"/>
          <w:sz w:val="32"/>
          <w:szCs w:val="32"/>
          <w:lang w:val="en-US" w:eastAsia="zh-CN"/>
        </w:rPr>
        <w:t>的兜底保障作用，根据浙江省</w:t>
      </w:r>
      <w:r>
        <w:rPr>
          <w:rFonts w:hint="eastAsia" w:ascii="Times New Roman" w:hAnsi="Times New Roman" w:eastAsia="仿宋_GB2312"/>
          <w:sz w:val="32"/>
          <w:szCs w:val="32"/>
          <w:highlight w:val="none"/>
          <w:lang w:val="en-US" w:eastAsia="zh-CN"/>
        </w:rPr>
        <w:t>人力资源和社会保障厅、财政厅、国家税务总局浙江省税务局《关于调整城乡居民基本养老保险缴费档次和缴费补贴标准等有关事项的通知》（浙人社发〔2023〕66号）</w:t>
      </w:r>
      <w:r>
        <w:rPr>
          <w:rFonts w:hint="eastAsia" w:ascii="Times New Roman" w:hAnsi="Times New Roman" w:eastAsia="仿宋_GB2312"/>
          <w:sz w:val="32"/>
          <w:szCs w:val="32"/>
          <w:lang w:val="en-US" w:eastAsia="zh-CN"/>
        </w:rPr>
        <w:t>，经市政府同意，现就调整城乡居民基本养老保险缴费档次和缴费补贴标准等有关事项通知如下：</w:t>
      </w:r>
    </w:p>
    <w:p>
      <w:pPr>
        <w:snapToGrid/>
        <w:spacing w:line="620" w:lineRule="exact"/>
        <w:ind w:firstLine="640" w:firstLineChars="200"/>
        <w:rPr>
          <w:rFonts w:hint="eastAsia" w:ascii="黑体" w:eastAsia="黑体" w:cs="CESI黑体-GB13000"/>
          <w:sz w:val="32"/>
          <w:szCs w:val="32"/>
          <w:lang w:val="en-US" w:eastAsia="zh-CN" w:bidi="ar"/>
        </w:rPr>
      </w:pPr>
      <w:r>
        <w:rPr>
          <w:rFonts w:hint="eastAsia" w:ascii="黑体" w:eastAsia="黑体" w:cs="CESI黑体-GB13000"/>
          <w:sz w:val="32"/>
          <w:szCs w:val="32"/>
          <w:lang w:val="en-US" w:eastAsia="zh-CN" w:bidi="ar"/>
        </w:rPr>
        <w:t>一、缴费档次</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从2024年1月1日起，全市城乡居民基本养老保险个人缴费档次调整为8档，分别为：每年200元、300元、500元、1000元、2000元、3000元、5000元、7000元，其中200元档次为低保对象、特困人员、残疾人、低保边缘户等困难群体参保政府代缴档次。</w:t>
      </w:r>
    </w:p>
    <w:p>
      <w:pPr>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参保人应逐年缴费，累计缴费不足15年允许补缴的，补缴最高缴费档次不超过每年5000元。参保人员在60周岁办理待遇领取手续时，可将原低档次缴费一次性补足至自行选定的较高缴费档次，补缴最高缴费档次不超过每年5000元。补缴部分不享受政府缴费补贴。</w:t>
      </w:r>
    </w:p>
    <w:p>
      <w:pPr>
        <w:snapToGrid/>
        <w:spacing w:line="620" w:lineRule="exact"/>
        <w:ind w:firstLine="640" w:firstLineChars="200"/>
        <w:rPr>
          <w:rFonts w:hint="eastAsia" w:ascii="黑体" w:eastAsia="黑体" w:cs="CESI黑体-GB13000"/>
          <w:sz w:val="32"/>
          <w:szCs w:val="32"/>
          <w:lang w:val="en-US" w:eastAsia="zh-CN" w:bidi="ar"/>
        </w:rPr>
      </w:pPr>
      <w:r>
        <w:rPr>
          <w:rFonts w:hint="eastAsia" w:ascii="黑体" w:eastAsia="黑体" w:cs="CESI黑体-GB13000"/>
          <w:sz w:val="32"/>
          <w:szCs w:val="32"/>
          <w:lang w:val="en-US" w:eastAsia="zh-CN" w:bidi="ar"/>
        </w:rPr>
        <w:t>二、缴费补贴</w:t>
      </w:r>
    </w:p>
    <w:p>
      <w:pPr>
        <w:widowControl w:val="0"/>
        <w:spacing w:after="0" w:line="600" w:lineRule="exact"/>
        <w:ind w:firstLine="640" w:firstLineChars="200"/>
        <w:jc w:val="both"/>
        <w:rPr>
          <w:rFonts w:hint="default" w:ascii="仿宋_GB2312" w:eastAsia="仿宋_GB2312"/>
          <w:spacing w:val="-3"/>
          <w:sz w:val="32"/>
          <w:szCs w:val="32"/>
          <w:lang w:val="en-US" w:eastAsia="zh-CN"/>
        </w:rPr>
      </w:pPr>
      <w:r>
        <w:rPr>
          <w:rFonts w:hint="eastAsia" w:ascii="Times New Roman" w:hAnsi="Times New Roman" w:eastAsia="仿宋_GB2312"/>
          <w:sz w:val="32"/>
          <w:szCs w:val="32"/>
          <w:lang w:val="en-US" w:eastAsia="zh-CN"/>
        </w:rPr>
        <w:t>从2024年1月1日起，全市城乡居民基本养老保险个人缴费档次政府补贴标准调整为：200元、300元档次缴费补贴标准为每人每年30元；500元、1000元档次缴费补贴标准为每人每年80元；2000元档次缴费补贴标准为每人每年200元；3000元、5000元、7000元档次缴费补贴标准为每人每年300元。</w:t>
      </w:r>
    </w:p>
    <w:p>
      <w:pPr>
        <w:snapToGrid/>
        <w:spacing w:line="620" w:lineRule="exact"/>
        <w:ind w:firstLine="640" w:firstLineChars="200"/>
        <w:rPr>
          <w:rFonts w:hint="eastAsia" w:ascii="黑体" w:eastAsia="黑体" w:cs="CESI黑体-GB13000"/>
          <w:sz w:val="32"/>
          <w:szCs w:val="32"/>
          <w:lang w:val="en-US" w:eastAsia="zh-CN" w:bidi="ar"/>
        </w:rPr>
      </w:pPr>
      <w:r>
        <w:rPr>
          <w:rFonts w:hint="eastAsia" w:ascii="黑体" w:eastAsia="黑体" w:cs="CESI黑体-GB13000"/>
          <w:sz w:val="32"/>
          <w:szCs w:val="32"/>
          <w:lang w:val="en-US" w:eastAsia="zh-CN" w:bidi="ar"/>
        </w:rPr>
        <w:t>三、实行灵活的缴费方式</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28" w:firstLineChars="200"/>
        <w:textAlignment w:val="auto"/>
        <w:rPr>
          <w:rFonts w:hint="eastAsia" w:ascii="Times New Roman" w:hAnsi="Times New Roman" w:eastAsia="仿宋_GB2312"/>
          <w:sz w:val="32"/>
          <w:szCs w:val="32"/>
          <w:lang w:val="en-US" w:eastAsia="zh-CN"/>
        </w:rPr>
      </w:pPr>
      <w:r>
        <w:rPr>
          <w:rFonts w:hint="eastAsia" w:ascii="仿宋_GB2312" w:eastAsia="仿宋_GB2312"/>
          <w:spacing w:val="-3"/>
          <w:sz w:val="32"/>
          <w:szCs w:val="32"/>
          <w:lang w:val="en-US" w:eastAsia="zh-CN"/>
        </w:rPr>
        <w:t>在一</w:t>
      </w:r>
      <w:r>
        <w:rPr>
          <w:rFonts w:hint="eastAsia" w:ascii="Times New Roman" w:hAnsi="Times New Roman" w:eastAsia="仿宋_GB2312"/>
          <w:sz w:val="32"/>
          <w:szCs w:val="32"/>
          <w:lang w:val="en-US" w:eastAsia="zh-CN"/>
        </w:rPr>
        <w:t>个缴费年度内，参保人</w:t>
      </w:r>
      <w:r>
        <w:rPr>
          <w:rFonts w:ascii="Times New Roman" w:hAnsi="Times New Roman" w:eastAsia="仿宋_GB2312"/>
          <w:sz w:val="32"/>
          <w:szCs w:val="32"/>
          <w:lang w:val="en-US" w:eastAsia="zh-CN"/>
        </w:rPr>
        <w:t>可以变更一次缴费档次</w:t>
      </w:r>
      <w:r>
        <w:rPr>
          <w:rFonts w:hint="eastAsia" w:ascii="Times New Roman" w:hAnsi="Times New Roman" w:eastAsia="仿宋_GB2312"/>
          <w:sz w:val="32"/>
          <w:szCs w:val="32"/>
          <w:lang w:val="en-US" w:eastAsia="zh-CN"/>
        </w:rPr>
        <w:t>。鼓励参保人选择</w:t>
      </w:r>
      <w:r>
        <w:rPr>
          <w:rFonts w:ascii="Times New Roman" w:hAnsi="Times New Roman" w:eastAsia="仿宋_GB2312"/>
          <w:sz w:val="32"/>
          <w:szCs w:val="32"/>
          <w:lang w:val="en-US" w:eastAsia="zh-CN"/>
        </w:rPr>
        <w:t>更高档次缴费</w:t>
      </w:r>
      <w:r>
        <w:rPr>
          <w:rFonts w:hint="eastAsia" w:ascii="Times New Roman" w:hAnsi="Times New Roman" w:eastAsia="仿宋_GB2312"/>
          <w:sz w:val="32"/>
          <w:szCs w:val="32"/>
          <w:lang w:val="en-US" w:eastAsia="zh-CN"/>
        </w:rPr>
        <w:t>，档次变更的缴费补贴差额一并补足</w:t>
      </w:r>
      <w:r>
        <w:rPr>
          <w:rFonts w:ascii="Times New Roman" w:hAnsi="Times New Roman" w:eastAsia="仿宋_GB2312"/>
          <w:sz w:val="32"/>
          <w:szCs w:val="32"/>
          <w:lang w:val="en-US" w:eastAsia="zh-CN"/>
        </w:rPr>
        <w:t>。</w:t>
      </w:r>
    </w:p>
    <w:p>
      <w:pPr>
        <w:numPr>
          <w:ilvl w:val="0"/>
          <w:numId w:val="1"/>
        </w:numPr>
        <w:snapToGrid/>
        <w:spacing w:line="620" w:lineRule="exact"/>
        <w:ind w:firstLine="640" w:firstLineChars="200"/>
        <w:rPr>
          <w:rFonts w:hint="eastAsia" w:ascii="黑体" w:eastAsia="黑体" w:cs="CESI黑体-GB13000"/>
          <w:sz w:val="32"/>
          <w:szCs w:val="32"/>
          <w:lang w:val="en-US" w:eastAsia="zh-CN" w:bidi="ar"/>
        </w:rPr>
      </w:pPr>
      <w:r>
        <w:rPr>
          <w:rFonts w:hint="eastAsia" w:ascii="黑体" w:eastAsia="黑体" w:cs="CESI黑体-GB13000"/>
          <w:sz w:val="32"/>
          <w:szCs w:val="32"/>
          <w:lang w:val="en-US" w:eastAsia="zh-CN" w:bidi="ar"/>
        </w:rPr>
        <w:t>探索多渠道筹资试点</w:t>
      </w:r>
    </w:p>
    <w:p>
      <w:pPr>
        <w:numPr>
          <w:ilvl w:val="0"/>
          <w:numId w:val="0"/>
        </w:numPr>
        <w:snapToGrid/>
        <w:spacing w:line="620" w:lineRule="exact"/>
        <w:ind w:firstLine="640" w:firstLineChars="200"/>
        <w:rPr>
          <w:rFonts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鼓励有条件的地区探索开展村集体经济组织补助、公益慈善组织等资助参保人缴费试点，进一步拓展城乡居民基本养老保险</w:t>
      </w:r>
      <w:r>
        <w:rPr>
          <w:rFonts w:ascii="Times New Roman" w:hAnsi="Times New Roman" w:eastAsia="仿宋_GB2312"/>
          <w:sz w:val="32"/>
          <w:szCs w:val="32"/>
          <w:lang w:val="en-US" w:eastAsia="zh-CN"/>
        </w:rPr>
        <w:t>筹资渠道，</w:t>
      </w:r>
      <w:r>
        <w:rPr>
          <w:rFonts w:hint="eastAsia" w:ascii="Times New Roman" w:hAnsi="Times New Roman" w:eastAsia="仿宋_GB2312"/>
          <w:sz w:val="32"/>
          <w:szCs w:val="32"/>
          <w:lang w:val="en-US" w:eastAsia="zh-CN"/>
        </w:rPr>
        <w:t>增加个人账户积累</w:t>
      </w:r>
      <w:r>
        <w:rPr>
          <w:rFonts w:ascii="Times New Roman" w:hAnsi="Times New Roman" w:eastAsia="仿宋_GB2312"/>
          <w:sz w:val="32"/>
          <w:szCs w:val="32"/>
          <w:lang w:val="en-US" w:eastAsia="zh-CN"/>
        </w:rPr>
        <w:t>。</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40" w:firstLineChars="200"/>
        <w:jc w:val="both"/>
        <w:textAlignment w:val="auto"/>
        <w:rPr>
          <w:rFonts w:hint="eastAsia" w:ascii="黑体" w:eastAsia="黑体" w:cs="CESI黑体-GB13000"/>
          <w:color w:val="auto"/>
          <w:kern w:val="2"/>
          <w:sz w:val="32"/>
          <w:szCs w:val="32"/>
          <w:lang w:val="en-US" w:eastAsia="zh-CN" w:bidi="ar"/>
        </w:rPr>
      </w:pPr>
      <w:r>
        <w:rPr>
          <w:rFonts w:hint="eastAsia" w:ascii="黑体" w:eastAsia="黑体" w:cs="CESI黑体-GB13000"/>
          <w:color w:val="auto"/>
          <w:kern w:val="2"/>
          <w:sz w:val="32"/>
          <w:szCs w:val="32"/>
          <w:lang w:val="en-US" w:eastAsia="zh-CN" w:bidi="ar"/>
        </w:rPr>
        <w:t>五、工作要求</w:t>
      </w:r>
    </w:p>
    <w:p>
      <w:pPr>
        <w:spacing w:line="620" w:lineRule="exact"/>
        <w:ind w:firstLine="640" w:firstLineChars="200"/>
        <w:rPr>
          <w:rFonts w:hint="eastAsia" w:ascii="Times New Roman" w:hAnsi="Times New Roman" w:eastAsia="仿宋_GB2312"/>
          <w:sz w:val="32"/>
          <w:szCs w:val="32"/>
          <w:lang w:val="en-US" w:eastAsia="zh-CN" w:bidi="ar-SA"/>
        </w:rPr>
      </w:pPr>
      <w:r>
        <w:rPr>
          <w:rFonts w:ascii="Times New Roman" w:hAnsi="Times New Roman" w:eastAsia="仿宋_GB2312"/>
          <w:sz w:val="32"/>
          <w:szCs w:val="32"/>
          <w:lang w:val="en-US" w:eastAsia="zh-CN" w:bidi="ar"/>
        </w:rPr>
        <w:t>调整</w:t>
      </w:r>
      <w:r>
        <w:rPr>
          <w:rFonts w:hint="eastAsia" w:ascii="Times New Roman" w:hAnsi="Times New Roman" w:eastAsia="仿宋_GB2312"/>
          <w:sz w:val="32"/>
          <w:szCs w:val="32"/>
          <w:lang w:val="en-US" w:eastAsia="zh-CN" w:bidi="ar"/>
        </w:rPr>
        <w:t>城乡居民基本养老保险</w:t>
      </w:r>
      <w:r>
        <w:rPr>
          <w:rFonts w:ascii="Times New Roman" w:hAnsi="Times New Roman" w:eastAsia="仿宋_GB2312"/>
          <w:sz w:val="32"/>
          <w:szCs w:val="32"/>
          <w:lang w:val="en-US" w:eastAsia="zh-CN" w:bidi="ar"/>
        </w:rPr>
        <w:t>缴费档次</w:t>
      </w:r>
      <w:r>
        <w:rPr>
          <w:rFonts w:hint="eastAsia" w:ascii="Times New Roman" w:hAnsi="Times New Roman" w:eastAsia="仿宋_GB2312"/>
          <w:sz w:val="32"/>
          <w:szCs w:val="32"/>
          <w:lang w:val="en-US" w:eastAsia="zh-CN" w:bidi="ar"/>
        </w:rPr>
        <w:t>和</w:t>
      </w:r>
      <w:r>
        <w:rPr>
          <w:rFonts w:ascii="Times New Roman" w:hAnsi="Times New Roman" w:eastAsia="仿宋_GB2312"/>
          <w:sz w:val="32"/>
          <w:szCs w:val="32"/>
          <w:lang w:val="en-US" w:eastAsia="zh-CN" w:bidi="ar"/>
        </w:rPr>
        <w:t>缴费补贴标准</w:t>
      </w:r>
      <w:r>
        <w:rPr>
          <w:rFonts w:hint="eastAsia" w:ascii="Times New Roman" w:hAnsi="Times New Roman" w:eastAsia="仿宋_GB2312"/>
          <w:sz w:val="32"/>
          <w:szCs w:val="32"/>
          <w:lang w:val="en-US" w:eastAsia="zh-CN" w:bidi="ar"/>
        </w:rPr>
        <w:t>等有关事项</w:t>
      </w:r>
      <w:r>
        <w:rPr>
          <w:rFonts w:hint="eastAsia" w:ascii="仿宋_GB2312" w:eastAsia="仿宋_GB2312"/>
          <w:spacing w:val="-3"/>
          <w:sz w:val="32"/>
          <w:szCs w:val="32"/>
          <w:lang w:eastAsia="zh-CN"/>
        </w:rPr>
        <w:t>是我市</w:t>
      </w:r>
      <w:r>
        <w:rPr>
          <w:rFonts w:hint="eastAsia" w:ascii="Times New Roman" w:hAnsi="Times New Roman" w:eastAsia="仿宋_GB2312"/>
          <w:sz w:val="32"/>
          <w:szCs w:val="32"/>
          <w:lang w:val="en-US" w:eastAsia="zh-CN"/>
        </w:rPr>
        <w:t>推进共富型大社保体系建设</w:t>
      </w:r>
      <w:r>
        <w:rPr>
          <w:rFonts w:hint="eastAsia" w:ascii="仿宋_GB2312" w:eastAsia="仿宋_GB2312"/>
          <w:spacing w:val="-3"/>
          <w:sz w:val="32"/>
          <w:szCs w:val="32"/>
          <w:lang w:eastAsia="zh-CN"/>
        </w:rPr>
        <w:t>的重要举措。</w:t>
      </w:r>
      <w:r>
        <w:rPr>
          <w:rFonts w:hint="eastAsia" w:ascii="仿宋_GB2312" w:eastAsia="仿宋_GB2312" w:cs="仿宋_GB2312"/>
          <w:sz w:val="32"/>
          <w:szCs w:val="32"/>
          <w:lang w:eastAsia="zh-CN" w:bidi="ar-SA"/>
        </w:rPr>
        <w:t>各地</w:t>
      </w:r>
      <w:r>
        <w:rPr>
          <w:rFonts w:hint="eastAsia" w:ascii="仿宋_GB2312" w:eastAsia="仿宋_GB2312" w:cs="仿宋_GB2312"/>
          <w:sz w:val="32"/>
          <w:szCs w:val="32"/>
          <w:lang w:bidi="ar-SA"/>
        </w:rPr>
        <w:t>要</w:t>
      </w:r>
      <w:r>
        <w:rPr>
          <w:rFonts w:hint="eastAsia" w:ascii="仿宋_GB2312" w:eastAsia="仿宋_GB2312" w:cs="仿宋_GB2312"/>
          <w:sz w:val="32"/>
          <w:szCs w:val="32"/>
          <w:lang w:eastAsia="zh-CN" w:bidi="ar-SA"/>
        </w:rPr>
        <w:t>按照兜底线、织密网、建机制的要求，</w:t>
      </w:r>
      <w:r>
        <w:rPr>
          <w:rFonts w:hint="eastAsia" w:ascii="仿宋_GB2312" w:eastAsia="仿宋_GB2312" w:cs="仿宋_GB2312"/>
          <w:sz w:val="32"/>
          <w:szCs w:val="32"/>
          <w:lang w:bidi="ar-SA"/>
        </w:rPr>
        <w:t>加强组织领导，</w:t>
      </w:r>
      <w:r>
        <w:rPr>
          <w:rFonts w:hint="eastAsia" w:ascii="仿宋_GB2312" w:eastAsia="仿宋_GB2312"/>
          <w:spacing w:val="-3"/>
          <w:sz w:val="32"/>
          <w:szCs w:val="32"/>
          <w:lang w:eastAsia="zh-CN"/>
        </w:rPr>
        <w:t>强化部门协同，</w:t>
      </w:r>
      <w:r>
        <w:rPr>
          <w:rFonts w:hint="eastAsia" w:ascii="仿宋_GB2312" w:eastAsia="仿宋_GB2312" w:cs="仿宋_GB2312"/>
          <w:sz w:val="32"/>
          <w:szCs w:val="32"/>
          <w:lang w:eastAsia="zh-CN" w:bidi="ar-SA"/>
        </w:rPr>
        <w:t>扎实做好</w:t>
      </w:r>
      <w:r>
        <w:rPr>
          <w:rFonts w:hint="eastAsia" w:ascii="Times New Roman" w:hAnsi="Times New Roman" w:eastAsia="仿宋_GB2312"/>
          <w:sz w:val="32"/>
          <w:szCs w:val="32"/>
          <w:lang w:val="en-US" w:eastAsia="zh-CN"/>
        </w:rPr>
        <w:t>缴费</w:t>
      </w:r>
      <w:r>
        <w:rPr>
          <w:rFonts w:ascii="Times New Roman" w:hAnsi="Times New Roman" w:eastAsia="仿宋_GB2312"/>
          <w:sz w:val="32"/>
          <w:szCs w:val="32"/>
          <w:lang w:val="en-US" w:eastAsia="zh-CN"/>
        </w:rPr>
        <w:t>档次、缴费</w:t>
      </w:r>
      <w:r>
        <w:rPr>
          <w:rFonts w:hint="eastAsia" w:ascii="Times New Roman" w:hAnsi="Times New Roman" w:eastAsia="仿宋_GB2312"/>
          <w:sz w:val="32"/>
          <w:szCs w:val="32"/>
          <w:lang w:val="en-US" w:eastAsia="zh-CN"/>
        </w:rPr>
        <w:t>补贴标准、困难群体代缴标准调整等</w:t>
      </w:r>
      <w:r>
        <w:rPr>
          <w:rFonts w:ascii="Times New Roman" w:hAnsi="Times New Roman" w:eastAsia="仿宋_GB2312"/>
          <w:sz w:val="32"/>
          <w:szCs w:val="32"/>
          <w:lang w:val="en-US" w:eastAsia="zh-CN"/>
        </w:rPr>
        <w:t>各项</w:t>
      </w:r>
      <w:r>
        <w:rPr>
          <w:rFonts w:hint="eastAsia" w:ascii="Times New Roman" w:hAnsi="Times New Roman" w:eastAsia="仿宋_GB2312"/>
          <w:sz w:val="32"/>
          <w:szCs w:val="32"/>
          <w:lang w:val="en-US" w:eastAsia="zh-CN"/>
        </w:rPr>
        <w:t>工作。要以调整缴费档次和缴费补贴标准为契机，全面精准宣传</w:t>
      </w:r>
      <w:r>
        <w:rPr>
          <w:rFonts w:hint="eastAsia" w:ascii="Times New Roman" w:hAnsi="Times New Roman" w:eastAsia="仿宋_GB2312"/>
          <w:sz w:val="32"/>
          <w:szCs w:val="32"/>
          <w:lang w:val="en-US" w:eastAsia="zh-CN" w:bidi="ar"/>
        </w:rPr>
        <w:t>城乡居民基本养老保险</w:t>
      </w:r>
      <w:r>
        <w:rPr>
          <w:rFonts w:hint="eastAsia" w:ascii="Times New Roman" w:hAnsi="Times New Roman" w:eastAsia="仿宋_GB2312"/>
          <w:sz w:val="32"/>
          <w:szCs w:val="32"/>
          <w:lang w:val="en-US" w:eastAsia="zh-CN"/>
        </w:rPr>
        <w:t>政策，</w:t>
      </w:r>
      <w:r>
        <w:rPr>
          <w:rFonts w:hint="eastAsia" w:ascii="Times New Roman" w:hAnsi="Times New Roman" w:eastAsia="仿宋_GB2312"/>
          <w:sz w:val="32"/>
          <w:szCs w:val="32"/>
          <w:lang w:val="en-US" w:eastAsia="zh-CN" w:bidi="ar-SA"/>
        </w:rPr>
        <w:t>为群众算好“经济账”“收益账”“长远账”，引导早参保、逐年缴、选高档，积极推动提高待遇水平，</w:t>
      </w:r>
      <w:r>
        <w:rPr>
          <w:rFonts w:hint="eastAsia" w:ascii="Times New Roman" w:hAnsi="Times New Roman" w:eastAsia="仿宋_GB2312"/>
          <w:snapToGrid/>
          <w:color w:val="auto"/>
          <w:sz w:val="32"/>
          <w:szCs w:val="32"/>
          <w:highlight w:val="none"/>
          <w:vertAlign w:val="baseline"/>
          <w:lang w:val="en-US" w:eastAsia="zh-CN"/>
        </w:rPr>
        <w:t>促进</w:t>
      </w:r>
      <w:r>
        <w:rPr>
          <w:rFonts w:hint="eastAsia" w:ascii="Times New Roman" w:hAnsi="Times New Roman" w:eastAsia="仿宋_GB2312"/>
          <w:snapToGrid/>
          <w:color w:val="auto"/>
          <w:sz w:val="32"/>
          <w:szCs w:val="32"/>
          <w:highlight w:val="none"/>
          <w:vertAlign w:val="baseline"/>
          <w:lang w:eastAsia="zh-CN"/>
        </w:rPr>
        <w:t>城乡居民基本养老保险制度高质量可持续发展</w:t>
      </w:r>
      <w:r>
        <w:rPr>
          <w:rFonts w:hint="eastAsia" w:ascii="Times New Roman" w:hAnsi="Times New Roman" w:eastAsia="仿宋_GB2312"/>
          <w:sz w:val="32"/>
          <w:szCs w:val="32"/>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08" w:firstLineChars="19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本通知从2024年1月1日起施行。已有规定与本通知不一致的，按本通知执行。</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942" w:firstLineChars="300"/>
        <w:jc w:val="both"/>
        <w:textAlignment w:val="auto"/>
        <w:rPr>
          <w:rFonts w:hint="eastAsia" w:ascii="仿宋_GB2312" w:eastAsia="仿宋_GB2312" w:cs="仿宋_GB2312"/>
          <w:spacing w:val="-3"/>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suppressAutoHyphens/>
        <w:kinsoku/>
        <w:wordWrap/>
        <w:overflowPunct/>
        <w:topLinePunct w:val="0"/>
        <w:autoSpaceDE/>
        <w:autoSpaceDN/>
        <w:bidi w:val="0"/>
        <w:adjustRightInd/>
        <w:snapToGrid/>
        <w:spacing w:line="620" w:lineRule="exact"/>
        <w:ind w:firstLine="608" w:firstLineChars="190"/>
        <w:jc w:val="righ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衢州市人力资源和社会保障局 衢州市财政局</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08" w:firstLineChars="190"/>
        <w:jc w:val="right"/>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国家税务总局衢州市税务局</w:t>
      </w:r>
    </w:p>
    <w:p>
      <w:pPr>
        <w:keepNext w:val="0"/>
        <w:keepLines w:val="0"/>
        <w:pageBreakBefore w:val="0"/>
        <w:widowControl w:val="0"/>
        <w:suppressAutoHyphens/>
        <w:kinsoku/>
        <w:wordWrap/>
        <w:overflowPunct/>
        <w:topLinePunct w:val="0"/>
        <w:autoSpaceDE/>
        <w:autoSpaceDN/>
        <w:bidi w:val="0"/>
        <w:adjustRightInd/>
        <w:snapToGrid/>
        <w:spacing w:line="620" w:lineRule="exact"/>
        <w:ind w:firstLine="608" w:firstLineChars="190"/>
        <w:jc w:val="righ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2024年  月  日</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CESI黑体-GB13000">
    <w:panose1 w:val="02000500000000000000"/>
    <w:charset w:val="86"/>
    <w:family w:val="auto"/>
    <w:pitch w:val="default"/>
    <w:sig w:usb0="800002BF" w:usb1="38CF7CF8"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0B486"/>
    <w:multiLevelType w:val="singleLevel"/>
    <w:tmpl w:val="FFD0B48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D524D"/>
    <w:rsid w:val="42413B5C"/>
    <w:rsid w:val="59061024"/>
    <w:rsid w:val="686D524D"/>
    <w:rsid w:val="CF3D4603"/>
    <w:rsid w:val="DFF9E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widowControl w:val="0"/>
      <w:suppressAutoHyphens/>
      <w:bidi w:val="0"/>
      <w:snapToGrid w:val="0"/>
      <w:jc w:val="left"/>
    </w:pPr>
    <w:rPr>
      <w:rFonts w:ascii="Times New Roman" w:hAnsi="Times New Roman" w:eastAsia="宋体" w:cs="Times New Roman"/>
      <w:color w:val="auto"/>
      <w:kern w:val="2"/>
      <w:sz w:val="18"/>
      <w:szCs w:val="18"/>
      <w:lang w:val="en-US" w:eastAsia="zh-CN" w:bidi="ar-SA"/>
    </w:rPr>
  </w:style>
  <w:style w:type="paragraph" w:styleId="3">
    <w:name w:val="footer"/>
    <w:basedOn w:val="1"/>
    <w:next w:val="4"/>
    <w:qFormat/>
    <w:uiPriority w:val="0"/>
    <w:pPr>
      <w:tabs>
        <w:tab w:val="center" w:pos="4153"/>
        <w:tab w:val="right" w:pos="8306"/>
      </w:tabs>
      <w:snapToGrid w:val="0"/>
    </w:pPr>
    <w:rPr>
      <w:sz w:val="18"/>
      <w:szCs w:val="18"/>
    </w:rPr>
  </w:style>
  <w:style w:type="paragraph" w:styleId="4">
    <w:name w:val="header"/>
    <w:basedOn w:val="1"/>
    <w:next w:val="5"/>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w:basedOn w:val="1"/>
    <w:next w:val="1"/>
    <w:qFormat/>
    <w:uiPriority w:val="0"/>
    <w:pPr>
      <w:spacing w:before="0" w:after="140" w:line="276" w:lineRule="auto"/>
    </w:pPr>
  </w:style>
  <w:style w:type="character" w:styleId="8">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2024-02-26T19:35:00Z</dcterms:created>
  <dc:creator>treqdt</dc:creator>
  <cp:lastModifiedBy>quzhou</cp:lastModifiedBy>
  <dcterms:modified xsi:type="dcterms:W3CDTF">2024-02-27T15:48:28Z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D928B4679CE155E3588DDD65EC545BD9</vt:lpwstr>
  </property>
</Properties>
</file>