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60" w:lineRule="exact"/>
        <w:ind w:right="0"/>
        <w:jc w:val="center"/>
        <w:textAlignment w:val="auto"/>
        <w:rPr>
          <w:rFonts w:ascii="Helvetica" w:hAnsi="Helvetica" w:eastAsia="Helvetica" w:cs="Helvetica"/>
          <w:i w:val="0"/>
          <w:iCs w:val="0"/>
          <w:caps w:val="0"/>
          <w:color w:val="474747"/>
          <w:spacing w:val="0"/>
          <w:sz w:val="44"/>
          <w:szCs w:val="44"/>
        </w:rPr>
      </w:pPr>
      <w:bookmarkStart w:id="0" w:name="_GoBack"/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bdr w:val="none" w:color="auto" w:sz="0" w:space="0"/>
          <w:shd w:val="clear" w:fill="FFFFFF"/>
        </w:rPr>
        <w:t>关于公布诸暨市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bdr w:val="none" w:color="auto" w:sz="0" w:space="0"/>
          <w:shd w:val="clear" w:fill="FFFFFF"/>
          <w:lang w:eastAsia="zh-CN"/>
        </w:rPr>
        <w:t>司法局</w:t>
      </w: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bdr w:val="none" w:color="auto" w:sz="0" w:space="0"/>
          <w:shd w:val="clear" w:fill="FFFFFF"/>
        </w:rPr>
        <w:t>行政规范性文件清理结果的通知（征求意见稿）</w:t>
      </w:r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根据《浙江省行政规范性文件管理办法》，市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lang w:eastAsia="zh-CN"/>
        </w:rPr>
        <w:t>司法局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对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lang w:eastAsia="zh-CN"/>
        </w:rPr>
        <w:t>本单位现行有效的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行政规范性文件进行了清理。现将清理结果公示如下：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附件：1.诸暨市司法局行政规范性文件清理结果   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                         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5115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诸暨市司法局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45"/>
        <w:jc w:val="right"/>
        <w:rPr>
          <w:rFonts w:hint="default" w:ascii="Helvetica" w:hAnsi="Helvetica" w:eastAsia="Helvetica" w:cs="Helvetica"/>
          <w:i w:val="0"/>
          <w:iCs w:val="0"/>
          <w:caps w:val="0"/>
          <w:color w:val="474747"/>
          <w:spacing w:val="0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                                202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lang w:val="en-US" w:eastAsia="zh-CN"/>
        </w:rPr>
        <w:t>4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lang w:val="en-US" w:eastAsia="zh-CN"/>
        </w:rPr>
        <w:t>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lang w:val="en-US" w:eastAsia="zh-CN"/>
        </w:rPr>
        <w:t>11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日</w:t>
      </w: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hint="eastAsia" w:ascii="黑体" w:eastAsia="黑体"/>
          <w:bCs/>
          <w:sz w:val="32"/>
          <w:szCs w:val="32"/>
        </w:rPr>
      </w:pPr>
    </w:p>
    <w:p>
      <w:pPr>
        <w:rPr>
          <w:rFonts w:ascii="黑体" w:eastAsia="黑体"/>
          <w:bCs/>
          <w:sz w:val="32"/>
          <w:szCs w:val="32"/>
        </w:rPr>
      </w:pPr>
      <w:r>
        <w:rPr>
          <w:rFonts w:hint="eastAsia" w:ascii="黑体" w:eastAsia="黑体"/>
          <w:bCs/>
          <w:sz w:val="32"/>
          <w:szCs w:val="32"/>
        </w:rPr>
        <w:t>附件1</w:t>
      </w:r>
    </w:p>
    <w:p>
      <w:pPr>
        <w:spacing w:beforeLines="50" w:afterLines="100"/>
        <w:jc w:val="center"/>
        <w:rPr>
          <w:rFonts w:ascii="方正小标宋简体" w:eastAsia="方正小标宋简体"/>
          <w:sz w:val="40"/>
          <w:szCs w:val="32"/>
        </w:rPr>
      </w:pPr>
      <w:r>
        <w:rPr>
          <w:rFonts w:hint="eastAsia" w:ascii="方正小标宋简体" w:eastAsia="方正小标宋简体"/>
          <w:sz w:val="40"/>
          <w:szCs w:val="32"/>
        </w:rPr>
        <w:t>诸暨市司法局行政规范性文件清理结果</w:t>
      </w:r>
    </w:p>
    <w:p>
      <w:pPr>
        <w:numPr>
          <w:ilvl w:val="0"/>
          <w:numId w:val="1"/>
        </w:numPr>
        <w:rPr>
          <w:rFonts w:hint="eastAsia" w:ascii="黑体" w:eastAsia="黑体"/>
          <w:sz w:val="22"/>
          <w:lang w:eastAsia="zh-CN"/>
        </w:rPr>
      </w:pPr>
      <w:r>
        <w:rPr>
          <w:rFonts w:hint="eastAsia" w:ascii="黑体" w:eastAsia="黑体"/>
          <w:sz w:val="22"/>
          <w:lang w:eastAsia="zh-CN"/>
        </w:rPr>
        <w:t>继续有效的规范性文件目录</w:t>
      </w:r>
    </w:p>
    <w:tbl>
      <w:tblPr>
        <w:tblStyle w:val="4"/>
        <w:tblW w:w="89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4"/>
        <w:gridCol w:w="5303"/>
        <w:gridCol w:w="28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序号</w:t>
            </w:r>
          </w:p>
        </w:tc>
        <w:tc>
          <w:tcPr>
            <w:tcW w:w="5303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题　名</w:t>
            </w:r>
          </w:p>
        </w:tc>
        <w:tc>
          <w:tcPr>
            <w:tcW w:w="282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文　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关于印发《诸暨市法律援助经费使用管理办法》的通知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诸司〔2020〕26号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关于印发《诸暨市行政执法辅助人员管理办法》的通知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诸司〔2021〕34号</w:t>
            </w:r>
          </w:p>
        </w:tc>
      </w:tr>
    </w:tbl>
    <w:p/>
    <w:p>
      <w:pPr>
        <w:numPr>
          <w:ilvl w:val="0"/>
          <w:numId w:val="1"/>
        </w:numPr>
      </w:pPr>
      <w:r>
        <w:rPr>
          <w:rFonts w:hint="eastAsia" w:ascii="黑体" w:eastAsia="黑体"/>
          <w:sz w:val="22"/>
          <w:lang w:eastAsia="zh-CN"/>
        </w:rPr>
        <w:t>废止的规范性文件目录</w:t>
      </w:r>
    </w:p>
    <w:tbl>
      <w:tblPr>
        <w:tblStyle w:val="4"/>
        <w:tblW w:w="89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4"/>
        <w:gridCol w:w="5303"/>
        <w:gridCol w:w="28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序号</w:t>
            </w:r>
          </w:p>
        </w:tc>
        <w:tc>
          <w:tcPr>
            <w:tcW w:w="5303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题　名</w:t>
            </w:r>
          </w:p>
        </w:tc>
        <w:tc>
          <w:tcPr>
            <w:tcW w:w="282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文　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关于为残疾人提供无障碍法律服务和法律援助的通知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诸司（2005）27号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关于进一步加强法律服务行业辅助人员管理的规定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诸司（2006）22号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关于印发《诸暨市法律援助案件质量监督检查考核办法》的通知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诸司（2006）25号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关于规范法官和律师、基层法律服务工作者在诉讼活动中的若干规定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诸司（2006）34号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关于印发《诸暨市农村法律顾问工作制度》的通知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诸司通（2009）10号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关于印发《诸暨市法律援助质量监督管理办法》的通知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诸司（2012）5号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关于促进诸暨市律师业发展专项经费使用办法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诸司（2013）47号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1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530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关于印发《诸暨市行政村（社区）法律顾问工作考核办法》的通知</w:t>
            </w:r>
          </w:p>
        </w:tc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诸司（2018）11号</w:t>
            </w:r>
          </w:p>
        </w:tc>
      </w:tr>
    </w:tbl>
    <w:p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14A3CE4"/>
    <w:multiLevelType w:val="singleLevel"/>
    <w:tmpl w:val="414A3CE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791D93"/>
    <w:rsid w:val="6579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2024-09-11T06:38:00Z</dcterms:created>
  <dc:creator>梧桐音倩</dc:creator>
  <cp:lastModifiedBy>梧桐音倩</cp:lastModifiedBy>
  <dcterms:modified xsi:type="dcterms:W3CDTF">2024-09-11T06:44:03Z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9E9FDA75D86E4BB3881C10E143A2C849</vt:lpwstr>
  </property>
</Properties>
</file>