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jc w:val="center"/>
        <w:rPr>
          <w:rFonts w:hint="eastAsia" w:ascii="方正小标宋简体" w:eastAsia="方正小标宋简体"/>
          <w:color w:val="000000"/>
          <w:sz w:val="44"/>
          <w:szCs w:val="44"/>
        </w:rPr>
      </w:pPr>
      <w:bookmarkStart w:id="0" w:name="OLE_LINK5"/>
      <w:bookmarkStart w:id="13" w:name="_GoBack"/>
      <w:bookmarkEnd w:id="13"/>
      <w:r>
        <w:rPr>
          <w:rFonts w:hint="eastAsia" w:ascii="方正小标宋简体" w:eastAsia="方正小标宋简体"/>
          <w:sz w:val="44"/>
          <w:szCs w:val="44"/>
        </w:rPr>
        <w:t>关于</w:t>
      </w:r>
      <w:bookmarkStart w:id="1" w:name="OLE_LINK15"/>
      <w:r>
        <w:rPr>
          <w:rFonts w:hint="eastAsia" w:ascii="方正小标宋简体" w:hAnsi="方正小标宋简体" w:eastAsia="方正小标宋简体" w:cs="方正小标宋简体"/>
          <w:b w:val="0"/>
          <w:bCs w:val="0"/>
          <w:sz w:val="44"/>
          <w:szCs w:val="44"/>
        </w:rPr>
        <w:t>《越城区“越韵农臻”农产品区域公用品牌使用管理办法（征求意见稿）》</w:t>
      </w:r>
      <w:bookmarkEnd w:id="1"/>
      <w:r>
        <w:rPr>
          <w:rFonts w:ascii="方正小标宋简体" w:eastAsia="方正小标宋简体"/>
          <w:color w:val="000000"/>
          <w:sz w:val="44"/>
          <w:szCs w:val="44"/>
        </w:rPr>
        <w:t>的</w:t>
      </w:r>
      <w:r>
        <w:rPr>
          <w:rFonts w:hint="eastAsia" w:ascii="方正小标宋简体" w:eastAsia="方正小标宋简体"/>
          <w:color w:val="000000"/>
          <w:sz w:val="44"/>
          <w:szCs w:val="44"/>
        </w:rPr>
        <w:t>起草情况说明</w:t>
      </w:r>
    </w:p>
    <w:bookmarkEnd w:id="0"/>
    <w:p>
      <w:pPr>
        <w:spacing w:line="556" w:lineRule="exact"/>
        <w:jc w:val="center"/>
        <w:rPr>
          <w:rFonts w:hint="eastAsia" w:ascii="方正小标宋简体" w:eastAsia="方正小标宋简体"/>
          <w:color w:val="000000"/>
          <w:sz w:val="44"/>
          <w:szCs w:val="44"/>
        </w:rPr>
      </w:pPr>
    </w:p>
    <w:p>
      <w:pPr>
        <w:jc w:val="center"/>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区农水局</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黑体"/>
          <w:color w:val="000000"/>
          <w:sz w:val="32"/>
          <w:szCs w:val="32"/>
        </w:rPr>
        <w:t>一、起草背景</w:t>
      </w:r>
    </w:p>
    <w:p>
      <w:pPr>
        <w:pStyle w:val="5"/>
        <w:autoSpaceDE w:val="0"/>
        <w:autoSpaceDN w:val="0"/>
        <w:adjustRightInd w:val="0"/>
        <w:snapToGrid w:val="0"/>
        <w:spacing w:line="574" w:lineRule="exact"/>
        <w:ind w:firstLine="640" w:firstLineChars="200"/>
        <w:rPr>
          <w:rFonts w:hint="eastAsia" w:ascii="Times New Roman" w:hAnsi="Times New Roman" w:eastAsia="仿宋_GB2312"/>
          <w:kern w:val="0"/>
          <w:sz w:val="32"/>
          <w:szCs w:val="32"/>
          <w:lang w:bidi="zh-CN"/>
        </w:rPr>
      </w:pPr>
      <w:r>
        <w:rPr>
          <w:rFonts w:hint="eastAsia" w:ascii="Times New Roman" w:hAnsi="Times New Roman" w:eastAsia="仿宋_GB2312"/>
          <w:kern w:val="0"/>
          <w:sz w:val="32"/>
          <w:szCs w:val="32"/>
          <w:lang w:bidi="zh-CN"/>
        </w:rPr>
        <w:t>为加速推进越城区本土农产品培育，发挥品牌引领作用，提升品牌影响力，进一步提升全区农产品影响力和市场竞争力，以“整合资源、提质增效”为核心，通过构建“越韵农臻”区域公用品牌，推动农产品标准化、品牌化发展，根据据省、市品牌建设相关要求，制定《越城区“</w:t>
      </w:r>
      <w:bookmarkStart w:id="2" w:name="OLE_LINK1"/>
      <w:r>
        <w:rPr>
          <w:rFonts w:hint="eastAsia" w:ascii="Times New Roman" w:hAnsi="Times New Roman" w:eastAsia="仿宋_GB2312"/>
          <w:kern w:val="0"/>
          <w:sz w:val="32"/>
          <w:szCs w:val="32"/>
          <w:lang w:bidi="zh-CN"/>
        </w:rPr>
        <w:t>越韵农臻”农产品区域公用品牌</w:t>
      </w:r>
      <w:bookmarkEnd w:id="2"/>
      <w:r>
        <w:rPr>
          <w:rFonts w:hint="eastAsia" w:ascii="Times New Roman" w:hAnsi="Times New Roman" w:eastAsia="仿宋_GB2312"/>
          <w:kern w:val="0"/>
          <w:sz w:val="32"/>
          <w:szCs w:val="32"/>
          <w:lang w:bidi="zh-CN"/>
        </w:rPr>
        <w:t>使用管理办法（征求意见稿）》</w:t>
      </w:r>
      <w:r>
        <w:rPr>
          <w:rFonts w:ascii="仿宋_GB2312" w:hAnsi="仿宋_GB2312" w:eastAsia="仿宋_GB2312" w:cs="Times New Roman"/>
          <w:sz w:val="32"/>
          <w:szCs w:val="32"/>
        </w:rPr>
        <w:t>（以下简称《</w:t>
      </w:r>
      <w:bookmarkStart w:id="3" w:name="OLE_LINK7"/>
      <w:r>
        <w:rPr>
          <w:rFonts w:hint="eastAsia" w:ascii="Times New Roman" w:hAnsi="Times New Roman" w:eastAsia="仿宋_GB2312"/>
          <w:kern w:val="0"/>
          <w:sz w:val="32"/>
          <w:szCs w:val="32"/>
          <w:lang w:bidi="zh-CN"/>
        </w:rPr>
        <w:t>使用管理办法</w:t>
      </w:r>
      <w:bookmarkEnd w:id="3"/>
      <w:r>
        <w:rPr>
          <w:rFonts w:ascii="仿宋_GB2312" w:hAnsi="仿宋_GB2312" w:eastAsia="仿宋_GB2312" w:cs="Times New Roman"/>
          <w:sz w:val="32"/>
          <w:szCs w:val="32"/>
        </w:rPr>
        <w:t>》）</w:t>
      </w:r>
      <w:r>
        <w:rPr>
          <w:rFonts w:hint="eastAsia" w:ascii="Times New Roman" w:hAnsi="Times New Roman" w:eastAsia="仿宋_GB2312"/>
          <w:kern w:val="0"/>
          <w:sz w:val="32"/>
          <w:szCs w:val="32"/>
          <w:lang w:bidi="zh-CN"/>
        </w:rPr>
        <w:t>。</w:t>
      </w:r>
    </w:p>
    <w:p>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二、主要内容</w:t>
      </w:r>
    </w:p>
    <w:p>
      <w:pPr>
        <w:ind w:firstLine="585"/>
        <w:rPr>
          <w:rFonts w:hint="eastAsia" w:ascii="仿宋_GB2312" w:hAnsi="仿宋_GB2312" w:eastAsia="仿宋_GB2312" w:cs="Times New Roman"/>
          <w:sz w:val="32"/>
          <w:szCs w:val="32"/>
          <w:lang w:eastAsia="zh-CN"/>
        </w:rPr>
      </w:pPr>
      <w:bookmarkStart w:id="4" w:name="OLE_LINK11"/>
      <w:r>
        <w:rPr>
          <w:rFonts w:hint="eastAsia" w:ascii="Times New Roman" w:hAnsi="Times New Roman" w:eastAsia="仿宋_GB2312" w:cs="Times New Roman"/>
          <w:kern w:val="0"/>
          <w:sz w:val="32"/>
          <w:szCs w:val="32"/>
          <w:lang w:val="en-US" w:eastAsia="zh-CN" w:bidi="zh-CN"/>
        </w:rPr>
        <w:t>《使用管理办法》</w:t>
      </w:r>
      <w:bookmarkEnd w:id="4"/>
      <w:r>
        <w:rPr>
          <w:rFonts w:ascii="仿宋_GB2312" w:hAnsi="仿宋_GB2312" w:eastAsia="仿宋_GB2312" w:cs="Times New Roman"/>
          <w:sz w:val="32"/>
          <w:szCs w:val="32"/>
        </w:rPr>
        <w:t>共</w:t>
      </w:r>
      <w:r>
        <w:rPr>
          <w:rFonts w:hint="eastAsia" w:ascii="仿宋_GB2312" w:hAnsi="仿宋_GB2312" w:eastAsia="仿宋_GB2312" w:cs="Times New Roman"/>
          <w:sz w:val="32"/>
          <w:szCs w:val="32"/>
          <w:lang w:eastAsia="zh-CN"/>
        </w:rPr>
        <w:t>九</w:t>
      </w:r>
      <w:r>
        <w:rPr>
          <w:rFonts w:ascii="仿宋_GB2312" w:hAnsi="仿宋_GB2312" w:eastAsia="仿宋_GB2312" w:cs="Times New Roman"/>
          <w:sz w:val="32"/>
          <w:szCs w:val="32"/>
        </w:rPr>
        <w:t>章</w:t>
      </w:r>
      <w:r>
        <w:rPr>
          <w:rFonts w:hint="eastAsia" w:ascii="仿宋_GB2312" w:hAnsi="仿宋_GB2312" w:eastAsia="仿宋_GB2312" w:cs="Times New Roman"/>
          <w:sz w:val="32"/>
          <w:szCs w:val="32"/>
          <w:lang w:eastAsia="zh-CN"/>
        </w:rPr>
        <w:t>，</w:t>
      </w:r>
      <w:r>
        <w:rPr>
          <w:rFonts w:ascii="仿宋_GB2312" w:hAnsi="仿宋_GB2312" w:eastAsia="仿宋_GB2312" w:cs="Times New Roman"/>
          <w:sz w:val="32"/>
          <w:szCs w:val="32"/>
        </w:rPr>
        <w:t>主要内容如下</w:t>
      </w:r>
      <w:r>
        <w:rPr>
          <w:rFonts w:hint="eastAsia" w:ascii="仿宋_GB2312" w:hAnsi="仿宋_GB2312" w:eastAsia="仿宋_GB2312" w:cs="Times New Roman"/>
          <w:sz w:val="32"/>
          <w:szCs w:val="32"/>
          <w:lang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74" w:lineRule="exact"/>
        <w:ind w:left="-10" w:leftChars="0" w:firstLine="640" w:firstLineChars="0"/>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仿宋_GB2312" w:hAnsi="仿宋_GB2312" w:eastAsia="仿宋_GB2312" w:cs="Times New Roman"/>
          <w:sz w:val="32"/>
          <w:szCs w:val="32"/>
          <w:lang w:val="en-US" w:eastAsia="zh-CN"/>
        </w:rPr>
        <w:t>总则。</w:t>
      </w:r>
      <w:r>
        <w:rPr>
          <w:rFonts w:hint="eastAsia" w:ascii="Times New Roman" w:hAnsi="Times New Roman" w:eastAsia="仿宋_GB2312" w:cs="Times New Roman"/>
          <w:b w:val="0"/>
          <w:bCs w:val="0"/>
          <w:kern w:val="0"/>
          <w:sz w:val="32"/>
          <w:szCs w:val="32"/>
          <w:lang w:val="en-US" w:eastAsia="zh-CN" w:bidi="zh-CN"/>
        </w:rPr>
        <w:t>从目的与依据、品牌适用范围、使用管理原则、品牌定位、管理机构、监督指导等方面对</w:t>
      </w:r>
      <w:bookmarkStart w:id="5" w:name="OLE_LINK3"/>
      <w:r>
        <w:rPr>
          <w:rFonts w:hint="eastAsia" w:ascii="Times New Roman" w:hAnsi="Times New Roman" w:eastAsia="仿宋_GB2312" w:cs="Times New Roman"/>
          <w:b w:val="0"/>
          <w:bCs w:val="0"/>
          <w:kern w:val="0"/>
          <w:sz w:val="32"/>
          <w:szCs w:val="32"/>
          <w:lang w:val="en-US" w:eastAsia="zh-CN" w:bidi="zh-CN"/>
        </w:rPr>
        <w:t>“</w:t>
      </w:r>
      <w:bookmarkStart w:id="6" w:name="OLE_LINK2"/>
      <w:r>
        <w:rPr>
          <w:rFonts w:hint="eastAsia" w:ascii="Times New Roman" w:hAnsi="Times New Roman" w:eastAsia="仿宋_GB2312" w:cs="Times New Roman"/>
          <w:b w:val="0"/>
          <w:bCs w:val="0"/>
          <w:kern w:val="0"/>
          <w:sz w:val="32"/>
          <w:szCs w:val="32"/>
          <w:lang w:val="en-US" w:eastAsia="zh-CN" w:bidi="zh-CN"/>
        </w:rPr>
        <w:t>越韵农臻”农产品区域公用品牌</w:t>
      </w:r>
      <w:bookmarkEnd w:id="5"/>
      <w:bookmarkEnd w:id="6"/>
      <w:r>
        <w:rPr>
          <w:rFonts w:hint="eastAsia" w:ascii="Times New Roman" w:hAnsi="Times New Roman" w:eastAsia="仿宋_GB2312" w:cs="Times New Roman"/>
          <w:b w:val="0"/>
          <w:bCs w:val="0"/>
          <w:kern w:val="0"/>
          <w:sz w:val="32"/>
          <w:szCs w:val="32"/>
          <w:lang w:val="en-US" w:eastAsia="zh-CN" w:bidi="zh-CN"/>
        </w:rPr>
        <w:t>的使用和管理作出总体说明。</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74" w:lineRule="exact"/>
        <w:ind w:left="-10" w:leftChars="0" w:firstLine="640" w:firstLineChars="0"/>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仿宋_GB2312" w:hAnsi="仿宋_GB2312" w:eastAsia="仿宋_GB2312" w:cs="Times New Roman"/>
          <w:sz w:val="32"/>
          <w:szCs w:val="32"/>
          <w:lang w:val="en-US" w:eastAsia="zh-CN"/>
        </w:rPr>
        <w:t>准入标准。</w:t>
      </w:r>
      <w:r>
        <w:rPr>
          <w:rFonts w:hint="eastAsia" w:ascii="Times New Roman" w:hAnsi="Times New Roman" w:eastAsia="仿宋_GB2312" w:cs="Times New Roman"/>
          <w:b w:val="0"/>
          <w:bCs w:val="0"/>
          <w:kern w:val="0"/>
          <w:sz w:val="32"/>
          <w:szCs w:val="32"/>
          <w:lang w:val="en-US" w:eastAsia="zh-CN" w:bidi="zh-CN"/>
        </w:rPr>
        <w:t>从申请资格、申请条件等方面明确“越韵农臻”农产品区域公用品牌的申请标准。</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2" w:firstLineChars="200"/>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仿宋_GB2312" w:hAnsi="仿宋_GB2312" w:eastAsia="仿宋_GB2312" w:cs="Times New Roman"/>
          <w:b/>
          <w:bCs/>
          <w:kern w:val="0"/>
          <w:sz w:val="32"/>
          <w:szCs w:val="32"/>
          <w:lang w:val="en-US" w:eastAsia="zh-CN" w:bidi="ar"/>
        </w:rPr>
        <w:t>（三）申请程序。</w:t>
      </w:r>
      <w:r>
        <w:rPr>
          <w:rFonts w:hint="eastAsia" w:ascii="Times New Roman" w:hAnsi="Times New Roman" w:eastAsia="仿宋_GB2312" w:cs="Times New Roman"/>
          <w:b w:val="0"/>
          <w:bCs w:val="0"/>
          <w:kern w:val="0"/>
          <w:sz w:val="32"/>
          <w:szCs w:val="32"/>
          <w:lang w:val="en-US" w:eastAsia="zh-CN" w:bidi="zh-CN"/>
        </w:rPr>
        <w:t>规定</w:t>
      </w:r>
      <w:bookmarkStart w:id="7" w:name="OLE_LINK4"/>
      <w:r>
        <w:rPr>
          <w:rFonts w:hint="eastAsia" w:ascii="Times New Roman" w:hAnsi="Times New Roman" w:eastAsia="仿宋_GB2312" w:cs="Times New Roman"/>
          <w:b w:val="0"/>
          <w:bCs w:val="0"/>
          <w:kern w:val="0"/>
          <w:sz w:val="32"/>
          <w:szCs w:val="32"/>
          <w:lang w:val="en-US" w:eastAsia="zh-CN" w:bidi="zh-CN"/>
        </w:rPr>
        <w:t>“越韵农臻”农产品区域公用品牌</w:t>
      </w:r>
      <w:bookmarkEnd w:id="7"/>
      <w:r>
        <w:rPr>
          <w:rFonts w:hint="eastAsia" w:ascii="Times New Roman" w:hAnsi="Times New Roman" w:eastAsia="仿宋_GB2312" w:cs="Times New Roman"/>
          <w:b w:val="0"/>
          <w:bCs w:val="0"/>
          <w:kern w:val="0"/>
          <w:sz w:val="32"/>
          <w:szCs w:val="32"/>
          <w:lang w:val="en-US" w:eastAsia="zh-CN" w:bidi="zh-CN"/>
        </w:rPr>
        <w:t>的详细申请流程。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Times New Roman"/>
          <w:b/>
          <w:bCs/>
          <w:kern w:val="0"/>
          <w:sz w:val="32"/>
          <w:szCs w:val="32"/>
          <w:lang w:val="en-US" w:eastAsia="zh-CN" w:bidi="ar"/>
        </w:rPr>
        <w:t>（四）品牌标识和包装。</w:t>
      </w:r>
      <w:r>
        <w:rPr>
          <w:rFonts w:hint="eastAsia" w:ascii="Times New Roman" w:hAnsi="Times New Roman" w:eastAsia="仿宋_GB2312" w:cs="Times New Roman"/>
          <w:b w:val="0"/>
          <w:bCs w:val="0"/>
          <w:kern w:val="0"/>
          <w:sz w:val="32"/>
          <w:szCs w:val="32"/>
          <w:lang w:val="en-US" w:eastAsia="zh-CN" w:bidi="zh-CN"/>
        </w:rPr>
        <w:t>从使用</w:t>
      </w:r>
      <w:r>
        <w:rPr>
          <w:rFonts w:hint="eastAsia" w:ascii="仿宋_GB2312" w:hAnsi="仿宋_GB2312" w:eastAsia="仿宋_GB2312" w:cs="仿宋_GB2312"/>
          <w:kern w:val="0"/>
          <w:sz w:val="32"/>
          <w:szCs w:val="32"/>
          <w:lang w:val="en-US" w:eastAsia="zh-CN" w:bidi="ar"/>
        </w:rPr>
        <w:t>主体、提交计划与样稿</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Times New Roman" w:hAnsi="Times New Roman" w:eastAsia="仿宋_GB2312" w:cs="Times New Roman"/>
          <w:b w:val="0"/>
          <w:bCs w:val="0"/>
          <w:kern w:val="0"/>
          <w:sz w:val="32"/>
          <w:szCs w:val="32"/>
          <w:lang w:val="en-US" w:eastAsia="zh-CN" w:bidi="zh-CN"/>
        </w:rPr>
        <w:t>、印制、禁止行为等方面规定“越韵农臻”农产品区域公用品牌的标识和包装的使用注意事项。</w:t>
      </w:r>
    </w:p>
    <w:p>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Times New Roman"/>
          <w:b/>
          <w:bCs/>
          <w:kern w:val="0"/>
          <w:sz w:val="32"/>
          <w:szCs w:val="32"/>
          <w:lang w:val="en-US" w:eastAsia="zh-CN" w:bidi="ar"/>
        </w:rPr>
        <w:t>品牌营销推介管理。</w:t>
      </w:r>
      <w:bookmarkStart w:id="8" w:name="OLE_LINK32"/>
      <w:r>
        <w:rPr>
          <w:rFonts w:hint="eastAsia" w:ascii="仿宋_GB2312" w:hAnsi="仿宋_GB2312" w:eastAsia="仿宋_GB2312" w:cs="仿宋_GB2312"/>
          <w:b w:val="0"/>
          <w:bCs w:val="0"/>
          <w:kern w:val="0"/>
          <w:sz w:val="32"/>
          <w:szCs w:val="32"/>
          <w:lang w:val="en-US" w:eastAsia="zh-CN" w:bidi="ar"/>
        </w:rPr>
        <w:t>坚持"政府主导、企业协同、文化赋能、数字驱动"原则</w:t>
      </w:r>
      <w:bookmarkEnd w:id="8"/>
      <w:r>
        <w:rPr>
          <w:rFonts w:hint="eastAsia" w:ascii="仿宋_GB2312" w:hAnsi="仿宋_GB2312" w:eastAsia="仿宋_GB2312" w:cs="仿宋_GB2312"/>
          <w:b w:val="0"/>
          <w:bCs w:val="0"/>
          <w:kern w:val="0"/>
          <w:sz w:val="32"/>
          <w:szCs w:val="32"/>
          <w:lang w:val="en-US" w:eastAsia="zh-CN" w:bidi="ar"/>
        </w:rPr>
        <w:t>，规定营销推介活动的主体、实施方式和登记备案制度。</w:t>
      </w:r>
    </w:p>
    <w:p>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仿宋_GB2312" w:hAnsi="仿宋_GB2312" w:eastAsia="仿宋_GB2312" w:cs="Times New Roman"/>
          <w:b w:val="0"/>
          <w:bCs w:val="0"/>
          <w:kern w:val="0"/>
          <w:sz w:val="32"/>
          <w:szCs w:val="32"/>
          <w:lang w:val="en-US" w:eastAsia="zh-CN" w:bidi="ar"/>
        </w:rPr>
      </w:pPr>
      <w:r>
        <w:rPr>
          <w:rFonts w:hint="eastAsia" w:ascii="仿宋_GB2312" w:hAnsi="仿宋_GB2312" w:eastAsia="仿宋_GB2312" w:cs="Times New Roman"/>
          <w:b/>
          <w:bCs/>
          <w:kern w:val="0"/>
          <w:sz w:val="32"/>
          <w:szCs w:val="32"/>
          <w:lang w:val="en-US" w:eastAsia="zh-CN" w:bidi="ar"/>
        </w:rPr>
        <w:t>公用品牌使用主体权利和义务。</w:t>
      </w:r>
      <w:r>
        <w:rPr>
          <w:rFonts w:hint="eastAsia" w:ascii="仿宋_GB2312" w:hAnsi="仿宋_GB2312" w:eastAsia="仿宋_GB2312" w:cs="Times New Roman"/>
          <w:b w:val="0"/>
          <w:bCs w:val="0"/>
          <w:kern w:val="0"/>
          <w:sz w:val="32"/>
          <w:szCs w:val="32"/>
          <w:lang w:val="en-US" w:eastAsia="zh-CN" w:bidi="ar"/>
        </w:rPr>
        <w:t>明确</w:t>
      </w:r>
      <w:bookmarkStart w:id="9" w:name="OLE_LINK6"/>
      <w:r>
        <w:rPr>
          <w:rFonts w:hint="eastAsia" w:ascii="Times New Roman" w:hAnsi="Times New Roman" w:eastAsia="仿宋_GB2312" w:cs="Times New Roman"/>
          <w:b w:val="0"/>
          <w:bCs w:val="0"/>
          <w:kern w:val="0"/>
          <w:sz w:val="32"/>
          <w:szCs w:val="32"/>
          <w:lang w:val="en-US" w:eastAsia="zh-CN" w:bidi="zh-CN"/>
        </w:rPr>
        <w:t>“越韵农臻”农产品区域公用品牌</w:t>
      </w:r>
      <w:bookmarkEnd w:id="9"/>
      <w:r>
        <w:rPr>
          <w:rFonts w:hint="eastAsia" w:ascii="Times New Roman" w:hAnsi="Times New Roman" w:eastAsia="仿宋_GB2312" w:cs="Times New Roman"/>
          <w:b w:val="0"/>
          <w:bCs w:val="0"/>
          <w:kern w:val="0"/>
          <w:sz w:val="32"/>
          <w:szCs w:val="32"/>
          <w:lang w:val="en-US" w:eastAsia="zh-CN" w:bidi="zh-CN"/>
        </w:rPr>
        <w:t>授权使用过程中可以享受的权利和需履行的义务。</w:t>
      </w:r>
    </w:p>
    <w:p>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黑体" w:hAnsi="黑体" w:eastAsia="黑体" w:cs="黑体"/>
          <w:b w:val="0"/>
          <w:bCs w:val="0"/>
          <w:kern w:val="0"/>
          <w:sz w:val="32"/>
          <w:szCs w:val="32"/>
          <w:lang w:val="en-US" w:eastAsia="zh-CN" w:bidi="ar"/>
        </w:rPr>
      </w:pPr>
      <w:r>
        <w:rPr>
          <w:rFonts w:hint="eastAsia" w:ascii="仿宋_GB2312" w:hAnsi="仿宋_GB2312" w:eastAsia="仿宋_GB2312" w:cs="Times New Roman"/>
          <w:b/>
          <w:bCs/>
          <w:kern w:val="0"/>
          <w:sz w:val="32"/>
          <w:szCs w:val="32"/>
          <w:lang w:val="en-US" w:eastAsia="zh-CN" w:bidi="ar"/>
        </w:rPr>
        <w:t>退出机制。</w:t>
      </w:r>
      <w:r>
        <w:rPr>
          <w:rFonts w:hint="eastAsia" w:ascii="Times New Roman" w:hAnsi="Times New Roman" w:eastAsia="仿宋_GB2312" w:cs="Times New Roman"/>
          <w:b w:val="0"/>
          <w:bCs w:val="0"/>
          <w:kern w:val="0"/>
          <w:sz w:val="32"/>
          <w:szCs w:val="32"/>
          <w:lang w:val="en-US" w:eastAsia="zh-CN" w:bidi="zh-CN"/>
        </w:rPr>
        <w:t>明确不适合继续使用</w:t>
      </w:r>
      <w:bookmarkStart w:id="10" w:name="OLE_LINK10"/>
      <w:r>
        <w:rPr>
          <w:rFonts w:hint="eastAsia" w:ascii="Times New Roman" w:hAnsi="Times New Roman" w:eastAsia="仿宋_GB2312" w:cs="Times New Roman"/>
          <w:b w:val="0"/>
          <w:bCs w:val="0"/>
          <w:kern w:val="0"/>
          <w:sz w:val="32"/>
          <w:szCs w:val="32"/>
          <w:lang w:val="en-US" w:eastAsia="zh-CN" w:bidi="zh-CN"/>
        </w:rPr>
        <w:t>“越韵农臻”农产品区域公用品牌</w:t>
      </w:r>
      <w:bookmarkEnd w:id="10"/>
      <w:r>
        <w:rPr>
          <w:rFonts w:hint="eastAsia" w:ascii="Times New Roman" w:hAnsi="Times New Roman" w:eastAsia="仿宋_GB2312" w:cs="Times New Roman"/>
          <w:b w:val="0"/>
          <w:bCs w:val="0"/>
          <w:kern w:val="0"/>
          <w:sz w:val="32"/>
          <w:szCs w:val="32"/>
          <w:lang w:val="en-US" w:eastAsia="zh-CN" w:bidi="zh-CN"/>
        </w:rPr>
        <w:t>的行为和整改退出方式。</w:t>
      </w:r>
    </w:p>
    <w:p>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仿宋_GB2312" w:hAnsi="仿宋_GB2312" w:eastAsia="仿宋_GB2312" w:cs="Times New Roman"/>
          <w:b/>
          <w:bCs/>
          <w:kern w:val="0"/>
          <w:sz w:val="32"/>
          <w:szCs w:val="32"/>
          <w:lang w:val="en-US" w:eastAsia="zh-CN" w:bidi="ar"/>
        </w:rPr>
      </w:pPr>
      <w:r>
        <w:rPr>
          <w:rFonts w:hint="eastAsia" w:ascii="仿宋_GB2312" w:hAnsi="仿宋_GB2312" w:eastAsia="仿宋_GB2312" w:cs="Times New Roman"/>
          <w:b/>
          <w:bCs/>
          <w:kern w:val="0"/>
          <w:sz w:val="32"/>
          <w:szCs w:val="32"/>
          <w:lang w:val="en-US" w:eastAsia="zh-CN" w:bidi="ar"/>
        </w:rPr>
        <w:t>监督和追诉。</w:t>
      </w:r>
      <w:r>
        <w:rPr>
          <w:rFonts w:hint="eastAsia" w:ascii="Times New Roman" w:hAnsi="Times New Roman" w:eastAsia="仿宋_GB2312" w:cs="Times New Roman"/>
          <w:b w:val="0"/>
          <w:bCs w:val="0"/>
          <w:kern w:val="0"/>
          <w:sz w:val="32"/>
          <w:szCs w:val="32"/>
          <w:lang w:val="en-US" w:eastAsia="zh-CN" w:bidi="zh-CN"/>
        </w:rPr>
        <w:t>明确对“越韵农臻”农产品区域公用品牌授权使用主体生产经营和品牌使用的监督管理制度。</w:t>
      </w:r>
    </w:p>
    <w:p>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2" w:firstLineChars="200"/>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仿宋_GB2312" w:hAnsi="仿宋_GB2312" w:eastAsia="仿宋_GB2312" w:cs="Times New Roman"/>
          <w:b/>
          <w:bCs/>
          <w:kern w:val="0"/>
          <w:sz w:val="32"/>
          <w:szCs w:val="32"/>
          <w:lang w:val="en-US" w:eastAsia="zh-CN" w:bidi="ar"/>
        </w:rPr>
        <w:t>附则。</w:t>
      </w:r>
      <w:r>
        <w:rPr>
          <w:rFonts w:hint="eastAsia" w:ascii="Times New Roman" w:hAnsi="Times New Roman" w:eastAsia="仿宋_GB2312" w:cs="Times New Roman"/>
          <w:b w:val="0"/>
          <w:bCs w:val="0"/>
          <w:kern w:val="0"/>
          <w:sz w:val="32"/>
          <w:szCs w:val="32"/>
          <w:lang w:val="en-US" w:eastAsia="zh-CN" w:bidi="zh-CN"/>
        </w:rPr>
        <w:t>明确《使用管理办法》实施期限和修订情况。</w:t>
      </w:r>
    </w:p>
    <w:p>
      <w:pPr>
        <w:numPr>
          <w:ilvl w:val="0"/>
          <w:numId w:val="3"/>
        </w:numPr>
        <w:spacing w:line="560" w:lineRule="exact"/>
        <w:ind w:firstLine="640" w:firstLineChars="200"/>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意见征求情况</w:t>
      </w:r>
    </w:p>
    <w:p>
      <w:pPr>
        <w:numPr>
          <w:ilvl w:val="0"/>
          <w:numId w:val="0"/>
        </w:numPr>
        <w:spacing w:line="560" w:lineRule="exact"/>
        <w:rPr>
          <w:rFonts w:hint="default" w:ascii="Times New Roman" w:hAnsi="Times New Roman" w:eastAsia="黑体"/>
          <w:color w:val="000000"/>
          <w:sz w:val="32"/>
          <w:szCs w:val="32"/>
          <w:lang w:eastAsia="zh-CN"/>
        </w:rPr>
      </w:pP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s="Times New Roman"/>
          <w:snapToGrid w:val="0"/>
          <w:color w:val="000000"/>
          <w:kern w:val="0"/>
          <w:sz w:val="32"/>
          <w:szCs w:val="32"/>
          <w:lang w:val="zh-CN"/>
        </w:rPr>
        <w:t>在</w:t>
      </w:r>
      <w:r>
        <w:rPr>
          <w:rFonts w:ascii="Times New Roman" w:hAnsi="Times New Roman" w:eastAsia="仿宋_GB2312" w:cs="Times New Roman"/>
          <w:sz w:val="32"/>
          <w:szCs w:val="32"/>
        </w:rPr>
        <w:t>《</w:t>
      </w:r>
      <w:bookmarkStart w:id="11" w:name="OLE_LINK8"/>
      <w:r>
        <w:rPr>
          <w:rFonts w:hint="eastAsia" w:ascii="Times New Roman" w:hAnsi="Times New Roman" w:eastAsia="仿宋_GB2312"/>
          <w:kern w:val="0"/>
          <w:sz w:val="32"/>
          <w:szCs w:val="32"/>
          <w:lang w:bidi="zh-CN"/>
        </w:rPr>
        <w:t>使用管理</w:t>
      </w:r>
      <w:bookmarkStart w:id="12" w:name="OLE_LINK9"/>
      <w:r>
        <w:rPr>
          <w:rFonts w:hint="eastAsia" w:ascii="Times New Roman" w:hAnsi="Times New Roman" w:eastAsia="仿宋_GB2312"/>
          <w:kern w:val="0"/>
          <w:sz w:val="32"/>
          <w:szCs w:val="32"/>
          <w:lang w:bidi="zh-CN"/>
        </w:rPr>
        <w:t>办法</w:t>
      </w:r>
      <w:bookmarkEnd w:id="11"/>
      <w:bookmarkEnd w:id="12"/>
      <w:r>
        <w:rPr>
          <w:rFonts w:ascii="Times New Roman" w:hAnsi="Times New Roman" w:eastAsia="仿宋_GB2312" w:cs="Times New Roman"/>
          <w:sz w:val="32"/>
          <w:szCs w:val="32"/>
        </w:rPr>
        <w:t>》</w:t>
      </w:r>
      <w:r>
        <w:rPr>
          <w:rFonts w:ascii="Times New Roman" w:hAnsi="Times New Roman" w:eastAsia="仿宋_GB2312" w:cs="Times New Roman"/>
          <w:snapToGrid w:val="0"/>
          <w:color w:val="000000"/>
          <w:kern w:val="0"/>
          <w:sz w:val="32"/>
          <w:szCs w:val="32"/>
        </w:rPr>
        <w:t>文本的</w:t>
      </w:r>
      <w:r>
        <w:rPr>
          <w:rFonts w:hint="eastAsia" w:ascii="Times New Roman" w:hAnsi="Times New Roman" w:eastAsia="仿宋_GB2312" w:cs="Times New Roman"/>
          <w:snapToGrid w:val="0"/>
          <w:color w:val="000000"/>
          <w:kern w:val="0"/>
          <w:sz w:val="32"/>
          <w:szCs w:val="32"/>
          <w:lang w:val="zh-CN"/>
        </w:rPr>
        <w:t>起草</w:t>
      </w:r>
      <w:r>
        <w:rPr>
          <w:rFonts w:ascii="Times New Roman" w:hAnsi="Times New Roman" w:eastAsia="仿宋_GB2312" w:cs="Times New Roman"/>
          <w:snapToGrid w:val="0"/>
          <w:color w:val="000000"/>
          <w:kern w:val="0"/>
          <w:sz w:val="32"/>
          <w:szCs w:val="32"/>
        </w:rPr>
        <w:t>过程</w:t>
      </w:r>
      <w:r>
        <w:rPr>
          <w:rFonts w:hint="eastAsia" w:ascii="Times New Roman" w:hAnsi="Times New Roman" w:eastAsia="仿宋_GB2312" w:cs="Times New Roman"/>
          <w:snapToGrid w:val="0"/>
          <w:color w:val="000000"/>
          <w:kern w:val="0"/>
          <w:sz w:val="32"/>
          <w:szCs w:val="32"/>
          <w:lang w:val="zh-CN"/>
        </w:rPr>
        <w:t>中，我局组织班子成员及各科室进行</w:t>
      </w:r>
      <w:r>
        <w:rPr>
          <w:rFonts w:ascii="Times New Roman" w:hAnsi="Times New Roman" w:eastAsia="仿宋_GB2312" w:cs="Times New Roman"/>
          <w:snapToGrid w:val="0"/>
          <w:color w:val="000000"/>
          <w:kern w:val="0"/>
          <w:sz w:val="32"/>
          <w:szCs w:val="32"/>
        </w:rPr>
        <w:t>多次</w:t>
      </w:r>
      <w:r>
        <w:rPr>
          <w:rFonts w:hint="eastAsia" w:ascii="Times New Roman" w:hAnsi="Times New Roman" w:eastAsia="仿宋_GB2312" w:cs="Times New Roman"/>
          <w:snapToGrid w:val="0"/>
          <w:color w:val="000000"/>
          <w:kern w:val="0"/>
          <w:sz w:val="32"/>
          <w:szCs w:val="32"/>
          <w:lang w:val="zh-CN"/>
        </w:rPr>
        <w:t>讨论，并按程序将</w:t>
      </w:r>
      <w:r>
        <w:rPr>
          <w:rFonts w:ascii="Times New Roman" w:hAnsi="Times New Roman" w:eastAsia="仿宋_GB2312" w:cs="Times New Roman"/>
          <w:sz w:val="32"/>
          <w:szCs w:val="32"/>
        </w:rPr>
        <w:t>《</w:t>
      </w:r>
      <w:r>
        <w:rPr>
          <w:rFonts w:hint="eastAsia" w:ascii="Times New Roman" w:hAnsi="Times New Roman" w:eastAsia="仿宋_GB2312"/>
          <w:kern w:val="0"/>
          <w:sz w:val="32"/>
          <w:szCs w:val="32"/>
          <w:lang w:bidi="zh-CN"/>
        </w:rPr>
        <w:t>使用管理办法</w:t>
      </w:r>
      <w:r>
        <w:rPr>
          <w:rFonts w:ascii="Times New Roman" w:hAnsi="Times New Roman" w:eastAsia="仿宋_GB2312" w:cs="Times New Roman"/>
          <w:sz w:val="32"/>
          <w:szCs w:val="32"/>
        </w:rPr>
        <w:t>》</w:t>
      </w:r>
      <w:r>
        <w:rPr>
          <w:rFonts w:hint="eastAsia" w:ascii="Times New Roman" w:hAnsi="Times New Roman" w:eastAsia="仿宋_GB2312" w:cs="Times New Roman"/>
          <w:snapToGrid w:val="0"/>
          <w:color w:val="000000"/>
          <w:kern w:val="0"/>
          <w:sz w:val="32"/>
          <w:szCs w:val="32"/>
          <w:lang w:val="zh-CN"/>
        </w:rPr>
        <w:t>征求</w:t>
      </w:r>
      <w:r>
        <w:rPr>
          <w:rFonts w:hint="default" w:ascii="Times New Roman" w:hAnsi="Times New Roman" w:eastAsia="仿宋_GB2312" w:cs="Times New Roman"/>
          <w:snapToGrid w:val="0"/>
          <w:color w:val="000000"/>
          <w:kern w:val="0"/>
          <w:sz w:val="32"/>
          <w:szCs w:val="32"/>
        </w:rPr>
        <w:t>社会公众</w:t>
      </w:r>
      <w:r>
        <w:rPr>
          <w:rFonts w:hint="eastAsia" w:ascii="Times New Roman" w:hAnsi="Times New Roman" w:eastAsia="仿宋_GB2312" w:cs="Times New Roman"/>
          <w:snapToGrid w:val="0"/>
          <w:color w:val="000000"/>
          <w:kern w:val="0"/>
          <w:sz w:val="32"/>
          <w:szCs w:val="32"/>
          <w:lang w:val="zh-CN" w:eastAsia="zh-CN"/>
        </w:rPr>
        <w:t>意见</w:t>
      </w:r>
      <w:r>
        <w:rPr>
          <w:rFonts w:hint="default" w:ascii="Times New Roman" w:hAnsi="Times New Roman" w:eastAsia="仿宋_GB2312" w:cs="Times New Roman"/>
          <w:snapToGrid w:val="0"/>
          <w:color w:val="000000"/>
          <w:kern w:val="0"/>
          <w:sz w:val="32"/>
          <w:szCs w:val="32"/>
          <w:lang w:eastAsia="zh-CN"/>
        </w:rPr>
        <w:t>。</w:t>
      </w:r>
    </w:p>
    <w:p>
      <w:pPr>
        <w:rPr>
          <w:rFonts w:hint="eastAsia"/>
          <w:lang w:eastAsia="zh-CN"/>
        </w:rPr>
      </w:pP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楷体_GB2312" w:hAnsi="楷体_GB2312" w:eastAsia="楷体_GB2312" w:cs="楷体_GB2312"/>
          <w:b w:val="0"/>
          <w:bCs w:val="0"/>
          <w:sz w:val="32"/>
          <w:szCs w:val="32"/>
          <w:lang w:eastAsia="zh-CN"/>
        </w:rPr>
      </w:pPr>
    </w:p>
    <w:p>
      <w:pPr>
        <w:ind w:firstLine="585"/>
        <w:rPr>
          <w:rFonts w:hint="default" w:ascii="仿宋_GB2312" w:hAnsi="仿宋_GB2312" w:eastAsia="仿宋_GB2312"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CB69B"/>
    <w:multiLevelType w:val="singleLevel"/>
    <w:tmpl w:val="8BFCB69B"/>
    <w:lvl w:ilvl="0" w:tentative="0">
      <w:start w:val="1"/>
      <w:numFmt w:val="chineseCounting"/>
      <w:suff w:val="nothing"/>
      <w:lvlText w:val="（%1）"/>
      <w:lvlJc w:val="left"/>
      <w:pPr>
        <w:ind w:left="-10"/>
      </w:pPr>
      <w:rPr>
        <w:rFonts w:hint="eastAsia"/>
        <w:b/>
        <w:bCs/>
      </w:rPr>
    </w:lvl>
  </w:abstractNum>
  <w:abstractNum w:abstractNumId="1">
    <w:nsid w:val="3DDF586A"/>
    <w:multiLevelType w:val="singleLevel"/>
    <w:tmpl w:val="3DDF586A"/>
    <w:lvl w:ilvl="0" w:tentative="0">
      <w:start w:val="3"/>
      <w:numFmt w:val="chineseCounting"/>
      <w:suff w:val="nothing"/>
      <w:lvlText w:val="%1、"/>
      <w:lvlJc w:val="left"/>
      <w:rPr>
        <w:rFonts w:hint="eastAsia"/>
      </w:rPr>
    </w:lvl>
  </w:abstractNum>
  <w:abstractNum w:abstractNumId="2">
    <w:nsid w:val="7F16A318"/>
    <w:multiLevelType w:val="singleLevel"/>
    <w:tmpl w:val="7F16A318"/>
    <w:lvl w:ilvl="0" w:tentative="0">
      <w:start w:val="5"/>
      <w:numFmt w:val="chineseCounting"/>
      <w:suff w:val="nothing"/>
      <w:lvlText w:val="（%1）"/>
      <w:lvlJc w:val="left"/>
      <w:rPr>
        <w:rFonts w:hint="eastAsia" w:ascii="仿宋_GB2312" w:hAnsi="仿宋_GB2312" w:eastAsia="仿宋_GB2312" w:cs="仿宋_GB2312"/>
        <w:b/>
        <w:bCs/>
        <w:sz w:val="32"/>
        <w:szCs w:val="3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333D"/>
    <w:rsid w:val="01006AA6"/>
    <w:rsid w:val="0E1A333D"/>
    <w:rsid w:val="11D46D88"/>
    <w:rsid w:val="32D2427B"/>
    <w:rsid w:val="36C14D7F"/>
    <w:rsid w:val="564E7F3C"/>
    <w:rsid w:val="77EBC281"/>
    <w:rsid w:val="77FB193E"/>
    <w:rsid w:val="7B3FD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1"/>
    <w:rPr>
      <w:sz w:val="30"/>
      <w:szCs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2025-04-23T23:44:00Z</dcterms:created>
  <dc:creator>Huahua</dc:creator>
  <cp:lastModifiedBy>user</cp:lastModifiedBy>
  <dcterms:modified xsi:type="dcterms:W3CDTF">2025-04-24T16:04:13Z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4E4C1F9300E2468981B2525E9F434D26</vt:lpwstr>
  </property>
</Properties>
</file>