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3"/>
        <w:rPr>
          <w:rFonts w:hint="eastAsia" w:ascii="Times New Roman" w:hAnsi="Times New Roman" w:eastAsia="SimHei" w:cs="Times New Roman"/>
          <w:sz w:val="31"/>
          <w:szCs w:val="31"/>
          <w:lang w:eastAsia="zh-CN"/>
        </w:rPr>
      </w:pPr>
      <w:r>
        <w:rPr>
          <w:rFonts w:ascii="SimHei" w:hAnsi="SimHei" w:eastAsia="SimHei" w:cs="SimHei"/>
          <w:spacing w:val="-12"/>
          <w:sz w:val="31"/>
          <w:szCs w:val="31"/>
        </w:rPr>
        <w:t>附件</w:t>
      </w:r>
      <w:r>
        <w:rPr>
          <w:rFonts w:hint="eastAsia" w:ascii="Times New Roman" w:hAnsi="Times New Roman" w:eastAsia="宋体" w:cs="Times New Roman"/>
          <w:spacing w:val="-12"/>
          <w:sz w:val="31"/>
          <w:szCs w:val="31"/>
          <w:lang w:val="en-US" w:eastAsia="zh-CN"/>
        </w:rPr>
        <w:t>4</w:t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185" w:line="185" w:lineRule="auto"/>
        <w:jc w:val="center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  <w:r>
        <w:rPr>
          <w:rFonts w:ascii="微软雅黑" w:hAnsi="微软雅黑" w:eastAsia="微软雅黑" w:cs="微软雅黑"/>
          <w:spacing w:val="-10"/>
          <w:sz w:val="43"/>
          <w:szCs w:val="43"/>
        </w:rPr>
        <w:t>不</w:t>
      </w:r>
      <w:r>
        <w:rPr>
          <w:rFonts w:ascii="微软雅黑" w:hAnsi="微软雅黑" w:eastAsia="微软雅黑" w:cs="微软雅黑"/>
          <w:spacing w:val="-6"/>
          <w:sz w:val="43"/>
          <w:szCs w:val="43"/>
        </w:rPr>
        <w:t>再</w:t>
      </w:r>
      <w:r>
        <w:rPr>
          <w:rFonts w:ascii="微软雅黑" w:hAnsi="微软雅黑" w:eastAsia="微软雅黑" w:cs="微软雅黑"/>
          <w:spacing w:val="-5"/>
          <w:sz w:val="43"/>
          <w:szCs w:val="43"/>
        </w:rPr>
        <w:t>纳入</w:t>
      </w:r>
      <w:r>
        <w:rPr>
          <w:rFonts w:hint="eastAsia" w:ascii="微软雅黑" w:hAnsi="微软雅黑" w:eastAsia="微软雅黑" w:cs="微软雅黑"/>
          <w:spacing w:val="-5"/>
          <w:sz w:val="43"/>
          <w:szCs w:val="43"/>
          <w:lang w:eastAsia="zh-CN"/>
        </w:rPr>
        <w:t>绍兴市综合行政执法</w:t>
      </w:r>
      <w:r>
        <w:rPr>
          <w:rFonts w:ascii="微软雅黑" w:hAnsi="微软雅黑" w:eastAsia="微软雅黑" w:cs="微软雅黑"/>
          <w:spacing w:val="-5"/>
          <w:sz w:val="43"/>
          <w:szCs w:val="43"/>
        </w:rPr>
        <w:t>统一目录的建设、水利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招投标相关行政处罚事项清单</w:t>
      </w:r>
    </w:p>
    <w:p>
      <w:pPr>
        <w:pStyle w:val="2"/>
        <w:jc w:val="center"/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pacing w:val="9"/>
          <w:sz w:val="32"/>
          <w:szCs w:val="32"/>
          <w:lang w:eastAsia="zh-CN"/>
        </w:rPr>
        <w:t>（征求意见稿）</w:t>
      </w:r>
    </w:p>
    <w:p/>
    <w:p>
      <w:pPr>
        <w:spacing w:line="86" w:lineRule="exact"/>
      </w:pPr>
    </w:p>
    <w:tbl>
      <w:tblPr>
        <w:tblStyle w:val="6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018"/>
        <w:gridCol w:w="6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5" w:type="dxa"/>
            <w:vAlign w:val="center"/>
          </w:tcPr>
          <w:p>
            <w:pPr>
              <w:spacing w:before="71" w:line="224" w:lineRule="auto"/>
              <w:ind w:left="297"/>
              <w:jc w:val="both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pacing w:val="-4"/>
                <w:sz w:val="22"/>
                <w:szCs w:val="22"/>
              </w:rPr>
              <w:t>序</w:t>
            </w:r>
            <w:r>
              <w:rPr>
                <w:rFonts w:ascii="SimHei" w:hAnsi="SimHei" w:eastAsia="SimHei" w:cs="SimHei"/>
                <w:spacing w:val="-3"/>
                <w:sz w:val="22"/>
                <w:szCs w:val="22"/>
              </w:rPr>
              <w:t>号</w:t>
            </w:r>
          </w:p>
        </w:tc>
        <w:tc>
          <w:tcPr>
            <w:tcW w:w="2018" w:type="dxa"/>
            <w:vAlign w:val="center"/>
          </w:tcPr>
          <w:p>
            <w:pPr>
              <w:spacing w:before="71" w:line="222" w:lineRule="auto"/>
              <w:ind w:left="578"/>
              <w:jc w:val="both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pacing w:val="-5"/>
                <w:sz w:val="22"/>
                <w:szCs w:val="22"/>
              </w:rPr>
              <w:t>事</w:t>
            </w:r>
            <w:r>
              <w:rPr>
                <w:rFonts w:ascii="SimHei" w:hAnsi="SimHei" w:eastAsia="SimHei" w:cs="SimHei"/>
                <w:spacing w:val="-3"/>
                <w:sz w:val="22"/>
                <w:szCs w:val="22"/>
              </w:rPr>
              <w:t>项代码</w:t>
            </w:r>
          </w:p>
        </w:tc>
        <w:tc>
          <w:tcPr>
            <w:tcW w:w="6016" w:type="dxa"/>
            <w:vAlign w:val="center"/>
          </w:tcPr>
          <w:p>
            <w:pPr>
              <w:spacing w:before="71" w:line="222" w:lineRule="auto"/>
              <w:ind w:left="2578"/>
              <w:jc w:val="both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pacing w:val="-5"/>
                <w:sz w:val="22"/>
                <w:szCs w:val="22"/>
              </w:rPr>
              <w:t>事</w:t>
            </w:r>
            <w:r>
              <w:rPr>
                <w:rFonts w:ascii="SimHei" w:hAnsi="SimHei" w:eastAsia="SimHei" w:cs="SimHei"/>
                <w:spacing w:val="-3"/>
                <w:sz w:val="22"/>
                <w:szCs w:val="22"/>
              </w:rPr>
              <w:t>项名称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059" w:type="dxa"/>
            <w:gridSpan w:val="3"/>
            <w:vAlign w:val="top"/>
          </w:tcPr>
          <w:p>
            <w:pPr>
              <w:spacing w:before="107" w:line="230" w:lineRule="auto"/>
              <w:ind w:left="121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pacing w:val="-6"/>
                <w:sz w:val="23"/>
                <w:szCs w:val="23"/>
              </w:rPr>
              <w:t>一</w:t>
            </w:r>
            <w:r>
              <w:rPr>
                <w:rFonts w:ascii="SimHei" w:hAnsi="SimHei" w:eastAsia="SimHei" w:cs="SimHei"/>
                <w:spacing w:val="-5"/>
                <w:sz w:val="23"/>
                <w:szCs w:val="23"/>
              </w:rPr>
              <w:t>、</w:t>
            </w:r>
            <w:r>
              <w:rPr>
                <w:rFonts w:ascii="SimHei" w:hAnsi="SimHei" w:eastAsia="SimHei" w:cs="SimHei"/>
                <w:spacing w:val="-3"/>
                <w:sz w:val="23"/>
                <w:szCs w:val="23"/>
              </w:rPr>
              <w:t>建设 (共 25 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4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对工程造价咨询企业同时接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受招标人和投标人或两个以上投 </w:t>
            </w: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标人对同一工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程项目的工程造价咨询业务的行政处罚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93000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对建设工程承包商以行贿等不正当手段谋取工程中标等的行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02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对依法必须进行招标的建筑工程项目招标人不招标，将必须 进行招标的项目化整为零或以其他任何方式规避招标的行政 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2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对建筑工程项目招标代理机构泄露应当保密的与招标投标活 动有关情况和资料，或与招标人、投标人串通损害国家利益、 社会公共利益或他人合法权益的行政处罚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2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4" w:line="186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对建筑工程项目招标人以不合理条件限制或排斥潜在投标  人，对潜在投标人实行歧视待遇，强制要求投标人组成联合 体共同投标，或限制投标人之间竞争的行政处罚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02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01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16000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对依法必须进行招标的建筑工程项目招标人向他人透露已获 取招标文件的潜在投标人的名称、数量或可能影响公平竞争 的有关招标投标其他情况，或泄露标底的行政处罚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25" w:type="dxa"/>
            <w:vAlign w:val="top"/>
          </w:tcPr>
          <w:p>
            <w:pPr>
              <w:spacing w:before="254" w:line="186" w:lineRule="auto"/>
              <w:ind w:left="4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018" w:type="dxa"/>
            <w:vAlign w:val="top"/>
          </w:tcPr>
          <w:p>
            <w:pPr>
              <w:spacing w:before="251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32000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对建筑工程项目投标人相互串通投标或与招标人串通投标， 投标人向招标人或评标委员会成员行贿谋取中标的行政处罚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25" w:type="dxa"/>
            <w:vAlign w:val="top"/>
          </w:tcPr>
          <w:p>
            <w:pPr>
              <w:spacing w:before="251" w:line="189" w:lineRule="auto"/>
              <w:ind w:left="4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spacing w:before="251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99000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对建筑工程项目投标人以他人名义投标或以其他方式弄虚作 假骗取中标的行政处罚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82000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对建筑工程项目招标人违反规定将依法必须招标的项目与投 标人进行谈判的行政处罚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0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4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对建筑工程项目评标委员会成员收受投标人的财物或其他好 处的行政处罚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2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98000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对建筑工程项目评标委员会成员或参加评标的有关工作人员 向他人透露对投标文件的评审和比较、中标候选人的推荐以 及与评标有关其他情况的行政处罚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2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2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对建筑工程项目招标人在评标委员会依法推荐的中标候选人 以外确定中标人，依法必须进行招标的项目在所有投标被评 标委员会否决后自行确定中标人的行政处罚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2"/>
            </w:pPr>
          </w:p>
          <w:p>
            <w:pPr>
              <w:spacing w:before="63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54000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对建筑工程项目招标人和中标人不按招标文件和中标人的投 标文件订立合同，合同主要条款与招标文件、中标人的投标 文件内容不一致，或订立背离合同实质性内容协议的； 中标 人不按与招标人订立的合同履行义务的行政处罚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tbl>
      <w:tblPr>
        <w:tblStyle w:val="6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018"/>
        <w:gridCol w:w="6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2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对建筑工程项目招标人不具备自行办理施工招标事宜条件而 自行招标的行政处罚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25" w:type="dxa"/>
            <w:vAlign w:val="top"/>
          </w:tcPr>
          <w:p>
            <w:pPr>
              <w:spacing w:before="28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spacing w:before="28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74000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对建筑工程项目依法应当公开招标而采用邀请招标的行政处 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2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6</w:t>
            </w:r>
          </w:p>
        </w:tc>
        <w:tc>
          <w:tcPr>
            <w:tcW w:w="2018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对建筑工程项目招标文件、资格预审文件的发售、澄清、修 改的时限，或确定的提交资格预审申请文件、投标文件的时 限不符合规定的行政处罚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2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7</w:t>
            </w:r>
          </w:p>
        </w:tc>
        <w:tc>
          <w:tcPr>
            <w:tcW w:w="201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81000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对建筑工程项目招标人接受未通过资格预审的单位或个人参 加投标的行政处罚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5" w:type="dxa"/>
            <w:vAlign w:val="center"/>
          </w:tcPr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18</w:t>
            </w:r>
          </w:p>
        </w:tc>
        <w:tc>
          <w:tcPr>
            <w:tcW w:w="2018" w:type="dxa"/>
            <w:vAlign w:val="center"/>
          </w:tcPr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330217679000</w:t>
            </w:r>
          </w:p>
        </w:tc>
        <w:tc>
          <w:tcPr>
            <w:tcW w:w="6016" w:type="dxa"/>
            <w:vAlign w:val="center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对建筑工程项目招标人接受应当拒收的投标文件的行政处罚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025" w:type="dxa"/>
            <w:vAlign w:val="center"/>
          </w:tcPr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19</w:t>
            </w:r>
          </w:p>
        </w:tc>
        <w:tc>
          <w:tcPr>
            <w:tcW w:w="2018" w:type="dxa"/>
            <w:vAlign w:val="center"/>
          </w:tcPr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330217036000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对建筑工程项目招标代理机构在所代理的招标项目中投标、 代理投标或向该项目投标人提供咨询，接受委托编制标底的 中介机构参加受托编制标底项目的投标或为该项目的投标人 编制投标文件、提供咨询的行政处罚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01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05000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对建筑工程项目招标人超过规定比例收取投标保证金、履约 保证金或不按规定退还投标保证金及银行同期存款利息的行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21</w:t>
            </w:r>
          </w:p>
        </w:tc>
        <w:tc>
          <w:tcPr>
            <w:tcW w:w="201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23000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对依法必须进行招标的建筑工程项目招标人不按规定组建评 标委员会，或确定、更换评标委员会成员违反规定的行政处 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22</w:t>
            </w:r>
          </w:p>
        </w:tc>
        <w:tc>
          <w:tcPr>
            <w:tcW w:w="2018" w:type="dxa"/>
            <w:vAlign w:val="top"/>
          </w:tcPr>
          <w:p>
            <w:pPr>
              <w:spacing w:before="253" w:line="189" w:lineRule="auto"/>
              <w:ind w:left="3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对建筑工程项目评标委员会成员不客观、不公正履行职务的 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23</w:t>
            </w:r>
          </w:p>
        </w:tc>
        <w:tc>
          <w:tcPr>
            <w:tcW w:w="2018" w:type="dxa"/>
            <w:vAlign w:val="top"/>
          </w:tcPr>
          <w:p>
            <w:pPr>
              <w:spacing w:before="25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对建筑工程项目招标人无正当理由不发出中标通知书等的行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02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201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01000</w:t>
            </w:r>
          </w:p>
        </w:tc>
        <w:tc>
          <w:tcPr>
            <w:tcW w:w="6016" w:type="dxa"/>
            <w:vAlign w:val="top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对建筑工程项目中标人无正当理由不与招标人订立合同，在 签订合同时向招标人提出附加条件，或不按招标文件要求提 交履约保证金的行政处罚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5" w:type="dxa"/>
            <w:vAlign w:val="top"/>
          </w:tcPr>
          <w:p>
            <w:pPr>
              <w:spacing w:before="160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2018" w:type="dxa"/>
            <w:vAlign w:val="top"/>
          </w:tcPr>
          <w:p>
            <w:pPr>
              <w:spacing w:before="160" w:line="189" w:lineRule="auto"/>
              <w:ind w:left="3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</w:t>
            </w:r>
          </w:p>
        </w:tc>
        <w:tc>
          <w:tcPr>
            <w:tcW w:w="6016" w:type="dxa"/>
            <w:vAlign w:val="center"/>
          </w:tcPr>
          <w:p>
            <w:pPr>
              <w:spacing w:before="52" w:line="243" w:lineRule="auto"/>
              <w:ind w:left="110" w:right="185" w:firstLine="6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对承包单位将承包的工程转包或违法分包的行政处罚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1906" w:h="16839"/>
          <w:pgMar w:top="400" w:right="1366" w:bottom="1592" w:left="1475" w:header="0" w:footer="1316" w:gutter="0"/>
          <w:pgNumType w:fmt="decimal" w:start="1"/>
          <w:cols w:space="720" w:num="1"/>
        </w:sectPr>
      </w:pPr>
    </w:p>
    <w:p/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018"/>
        <w:gridCol w:w="6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059" w:type="dxa"/>
            <w:gridSpan w:val="3"/>
            <w:vAlign w:val="top"/>
          </w:tcPr>
          <w:p>
            <w:pPr>
              <w:spacing w:before="113" w:line="230" w:lineRule="auto"/>
              <w:ind w:left="121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pacing w:val="-6"/>
                <w:sz w:val="23"/>
                <w:szCs w:val="23"/>
              </w:rPr>
              <w:t>二</w:t>
            </w:r>
            <w:r>
              <w:rPr>
                <w:rFonts w:ascii="SimHei" w:hAnsi="SimHei" w:eastAsia="SimHei" w:cs="SimHei"/>
                <w:spacing w:val="-5"/>
                <w:sz w:val="23"/>
                <w:szCs w:val="23"/>
              </w:rPr>
              <w:t>、</w:t>
            </w:r>
            <w:r>
              <w:rPr>
                <w:rFonts w:ascii="SimHei" w:hAnsi="SimHei" w:eastAsia="SimHei" w:cs="SimHei"/>
                <w:spacing w:val="-3"/>
                <w:sz w:val="23"/>
                <w:szCs w:val="23"/>
              </w:rPr>
              <w:t>水利 (共 78 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69000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对依法必须进行招标的水利工程建设项目的招标人不招标， 将必须进行招标的项目化整为零或以其他任何方式规避招标 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76000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对水利工程建设项目招标代理机构泄露应当保密的与招标投 标活动有关情况和资料，或与招标人、投标人串通损害国家 利益、社会公共利益或他人合法权益的行政处罚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0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86000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对水利工程建设项目招标代理机构在所代理的招标项目中投 标、代理投标或向该项目投标人提供咨询，接受委托编制标 底的中介机构参加受托编制标底项目的投标或为该项目的投 标人编制投标文件、提供咨询的行政处罚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89000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对水利工程建设项目招标人以不合理条件限制或排斥潜在投 标人，对潜在投标人实行歧视待遇，强制要求投标人组成联 合体共同投标，或限制投标人之间竞争的行政处罚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6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73000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对依法必须进行招标的水利建设项目招标人向他人透露已获 取招标文件的潜在投标人的名称、数量或可能影响公平竞争 的有关招标投标其他情况，或泄露标底的行政处罚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对水利工程建设项目投标人相互串通投标或与招标人串通投标，投标人向招标人或评标委员会成员行贿谋取中标的行政处罚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3" w:line="186" w:lineRule="auto"/>
              <w:ind w:left="4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018" w:type="dxa"/>
            <w:vAlign w:val="top"/>
          </w:tcPr>
          <w:p>
            <w:pPr>
              <w:spacing w:before="250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对水利工程建设项目投标人以他人名义投标或以其他方式弄 虚作假骗取中标的行政处罚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0" w:line="189" w:lineRule="auto"/>
              <w:ind w:left="4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spacing w:before="250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对水利工程建设项目招标人违反规定将依法必须招标的项目 与投标人进行谈判的行政处罚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0" w:line="189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018" w:type="dxa"/>
            <w:vAlign w:val="top"/>
          </w:tcPr>
          <w:p>
            <w:pPr>
              <w:spacing w:before="250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79000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对水利工程建设项目评标委员会成员收受投标人财物或其他 好处的行政处罚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0</w:t>
            </w:r>
          </w:p>
        </w:tc>
        <w:tc>
          <w:tcPr>
            <w:tcW w:w="201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对水利工程建设项目评标委员会成员或参加评标有关工作人 员向他人透露对投标文件的评审和比较、中标候选人的推荐 以及与评标有关的其他情况的行政处罚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02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对水利工程建设项目招标人在评标委员会依法推荐的中标候 选人以外确定中标人，依法必须进行招标的项目在所有投标 被评标委员会否决后自行确定中标人的行政处罚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02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97000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对水利工程建设项目中标人将中标项目转让给他人，将中标 项目肢解后分别转让给他人，违反规定将中标项目的部分主 体、关键性工作分包给他人，或分包人再次分包的行政处罚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02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90000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对水利工程建设项目招标人和中标人不按招标文件和中标人 的投标文件订立合同，合同主要条款与招标文件、中标人的 投标文件内容不一致，或订立背离合同实质性内容协议的行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81000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对水利工程建设项目勘察、设计、施工、监理单位超越本单 位资质等级承揽工程、未取得资质证书承揽工程、以欺骗手 段取得资质证书承揽工程的行政处罚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25" w:type="dxa"/>
            <w:vAlign w:val="top"/>
          </w:tcPr>
          <w:p>
            <w:pPr>
              <w:spacing w:before="247" w:line="189" w:lineRule="auto"/>
              <w:ind w:left="424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spacing w:before="247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87000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对水利工程勘察、设计、施工、监理单位转让、出借资质证 书或允许其他单位或个人以本单位名义承揽工程的行政处罚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018"/>
        <w:gridCol w:w="6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5" w:type="dxa"/>
            <w:vAlign w:val="top"/>
          </w:tcPr>
          <w:p>
            <w:pPr>
              <w:spacing w:before="247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6</w:t>
            </w:r>
          </w:p>
        </w:tc>
        <w:tc>
          <w:tcPr>
            <w:tcW w:w="2018" w:type="dxa"/>
            <w:vAlign w:val="top"/>
          </w:tcPr>
          <w:p>
            <w:pPr>
              <w:spacing w:before="247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对水利工程建设项目承包单位将承包工程转包和违法分包的 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7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37000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对水利工程建设项目依法应当公开招标而采用邀请招标的行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02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对水利工程建设项目招标文件、资格预审文件的发售、澄清、 修改的时限，或确定的提交资格预审申请文件、投标文件的 时限不符合规定的行政处罚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6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9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39000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对水利工程建设项目招标人接受未通过资格预审的单位或个 人参加投标的行政处罚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对水利工程建设项目招标人接受应当拒收的投标文件的行政 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21</w:t>
            </w:r>
          </w:p>
        </w:tc>
        <w:tc>
          <w:tcPr>
            <w:tcW w:w="201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对水利工程建设项目招标人超过规定比例收取投标保证金、 履约保证金或不按规定退还投标保证金及银行同期存款利息 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22</w:t>
            </w:r>
          </w:p>
        </w:tc>
        <w:tc>
          <w:tcPr>
            <w:tcW w:w="201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对依法必须进行招标的水利工程建设项目招标人不按规定组 建评标委员会，或确定、更换评标委员会成员违反规定的行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1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23</w:t>
            </w:r>
          </w:p>
        </w:tc>
        <w:tc>
          <w:tcPr>
            <w:tcW w:w="2018" w:type="dxa"/>
            <w:vAlign w:val="top"/>
          </w:tcPr>
          <w:p>
            <w:pPr>
              <w:spacing w:before="251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96000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对水利工程建设项目招标人无正当理由不发出中标通知书等 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2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201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71000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对水利工程建设项目中标人无正当理由不与招标人订立合  同，在签订合同时向招标人提出附加条件，或不按招标文件 要求提交履约保证金的行政处罚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对水利工程建设单位未将保证安全施工的措施或拆除工程有 关资料报送有关部门备案的行政处罚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26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对水利工程勘察、设计单位未按法律、法规和工程建设强制 性标准进行勘察、设计的行政处罚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0" w:hRule="atLeast"/>
        </w:trPr>
        <w:tc>
          <w:tcPr>
            <w:tcW w:w="102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27</w:t>
            </w:r>
          </w:p>
        </w:tc>
        <w:tc>
          <w:tcPr>
            <w:tcW w:w="201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41000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对水利工程建设单位将建设工程发包给不具有相应资质等级 的勘察、设计、施工单位或委托给不具有相应资质等级的工 程监理单位的行政处罚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25" w:type="dxa"/>
            <w:vAlign w:val="top"/>
          </w:tcPr>
          <w:p>
            <w:pPr>
              <w:spacing w:before="133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28</w:t>
            </w:r>
          </w:p>
        </w:tc>
        <w:tc>
          <w:tcPr>
            <w:tcW w:w="2018" w:type="dxa"/>
            <w:vAlign w:val="top"/>
          </w:tcPr>
          <w:p>
            <w:pPr>
              <w:spacing w:before="13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对水利工程建设单位将水利建设工程肢解发包的行政处罚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25" w:type="dxa"/>
            <w:vAlign w:val="top"/>
          </w:tcPr>
          <w:p>
            <w:pPr>
              <w:spacing w:before="254" w:line="189" w:lineRule="auto"/>
              <w:ind w:left="4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29</w:t>
            </w:r>
          </w:p>
        </w:tc>
        <w:tc>
          <w:tcPr>
            <w:tcW w:w="2018" w:type="dxa"/>
            <w:vAlign w:val="top"/>
          </w:tcPr>
          <w:p>
            <w:pPr>
              <w:spacing w:before="254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对水利工程建设单位迫使承包方以低于成本的价格竞标的行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25" w:type="dxa"/>
            <w:vAlign w:val="top"/>
          </w:tcPr>
          <w:p>
            <w:pPr>
              <w:spacing w:before="132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018" w:type="dxa"/>
            <w:vAlign w:val="top"/>
          </w:tcPr>
          <w:p>
            <w:pPr>
              <w:spacing w:before="13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43000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对水利工程建设单位任意压缩合理工期的行政处罚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6" w:hRule="atLeast"/>
        </w:trPr>
        <w:tc>
          <w:tcPr>
            <w:tcW w:w="1025" w:type="dxa"/>
            <w:vAlign w:val="top"/>
          </w:tcPr>
          <w:p>
            <w:pPr>
              <w:spacing w:before="251" w:line="189" w:lineRule="auto"/>
              <w:ind w:left="40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before="251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44000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对水利工程建设单位明示或暗示设计单位或施工单位违反工 程建设强制性标准降低工程质量的行政处罚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0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对施工图设计文件未经审查或审查不合格，水利工程建设单 位擅自施工的行政处罚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0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对必须实行工程监理的水利建设项目水利工程建设单位未实 行工程监理的行政处罚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center"/>
          </w:tcPr>
          <w:p>
            <w:pPr>
              <w:spacing w:before="88" w:line="189" w:lineRule="auto"/>
              <w:ind w:left="352" w:leftChars="0"/>
              <w:jc w:val="both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46000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对水利工程建设单位未按国家规定办理工程质量监督手续的 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6" w:hRule="atLeast"/>
        </w:trPr>
        <w:tc>
          <w:tcPr>
            <w:tcW w:w="1025" w:type="dxa"/>
            <w:vAlign w:val="top"/>
          </w:tcPr>
          <w:p>
            <w:pPr>
              <w:spacing w:before="247" w:line="189" w:lineRule="auto"/>
              <w:ind w:left="40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spacing w:before="247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47000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对水利工程建设单位明示或暗示施工单位使用不合格的建筑 材料、建筑构配件和设备的行政处罚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018"/>
        <w:gridCol w:w="6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47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018" w:type="dxa"/>
            <w:vAlign w:val="top"/>
          </w:tcPr>
          <w:p>
            <w:pPr>
              <w:spacing w:before="247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对水利工程建设单位未按国家规定将竣工验收报告、有关认 可文件或准许使用文件报送备案的行政处罚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25" w:type="dxa"/>
            <w:vAlign w:val="top"/>
          </w:tcPr>
          <w:p>
            <w:pPr>
              <w:spacing w:before="247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018" w:type="dxa"/>
            <w:vAlign w:val="top"/>
          </w:tcPr>
          <w:p>
            <w:pPr>
              <w:spacing w:before="247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49000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对水利工程建设单位未取得施工许可证或开工报告未经批准 擅自施工的行政处罚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对水利工程建设单位未组织竣工验收擅自交付使用的行政处 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25" w:type="dxa"/>
            <w:vAlign w:val="top"/>
          </w:tcPr>
          <w:p>
            <w:pPr>
              <w:spacing w:before="128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2018" w:type="dxa"/>
            <w:vAlign w:val="top"/>
          </w:tcPr>
          <w:p>
            <w:pPr>
              <w:spacing w:before="128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对水利工程建设单位验收不合格擅自交付使用的行政处罚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51000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对水利工程建设单位将不合格的建设工程按照合格工程验收 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25" w:type="dxa"/>
            <w:vAlign w:val="top"/>
          </w:tcPr>
          <w:p>
            <w:pPr>
              <w:spacing w:before="247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before="247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对水利建设工程竣工验收后，水利工程建设单位未向水利部 门移交建设项目档案的行政处罚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5" w:type="dxa"/>
            <w:vAlign w:val="top"/>
          </w:tcPr>
          <w:p>
            <w:pPr>
              <w:spacing w:before="127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spacing w:before="127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64000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对水利工程建设工程监理单位转让工程监理业务的行政处罚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25" w:type="dxa"/>
            <w:vAlign w:val="top"/>
          </w:tcPr>
          <w:p>
            <w:pPr>
              <w:spacing w:before="247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spacing w:before="247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93000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对水利工程勘察单位未按工程建设强制性标准进行勘察的行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63000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对水利工程设计单位未根据勘察成果文件进行工程设计的行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对水利工程设计单位指定建筑材料、建筑构配件的生产厂、 供应商的行政处罚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25" w:type="dxa"/>
            <w:vAlign w:val="top"/>
          </w:tcPr>
          <w:p>
            <w:pPr>
              <w:spacing w:before="250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6</w:t>
            </w:r>
          </w:p>
        </w:tc>
        <w:tc>
          <w:tcPr>
            <w:tcW w:w="2018" w:type="dxa"/>
            <w:vAlign w:val="top"/>
          </w:tcPr>
          <w:p>
            <w:pPr>
              <w:spacing w:before="250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61000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对水利工程设计单位未按工程建设强制性标准进行设计的行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2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7</w:t>
            </w:r>
          </w:p>
        </w:tc>
        <w:tc>
          <w:tcPr>
            <w:tcW w:w="201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对水利工程施工单位在施工中偷工减料，使用不合格的建筑 材料、建筑构配件和设备，或有不按工程设计图纸、施工技 术标准施工的其他行为的行政处罚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2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99000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对水利工程施工单位未对建筑材料、建筑构配件、设备和商 品混凝土进行检验，或未对涉及结构安全的试块、试件以及 有关材料取样检测的行政处罚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0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67000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对水利工程施工单位不履行保修义务或拖延履行保修义务的 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25" w:type="dxa"/>
            <w:vAlign w:val="top"/>
          </w:tcPr>
          <w:p>
            <w:pPr>
              <w:spacing w:before="131" w:line="189" w:lineRule="auto"/>
              <w:ind w:left="40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50</w:t>
            </w:r>
          </w:p>
        </w:tc>
        <w:tc>
          <w:tcPr>
            <w:tcW w:w="2018" w:type="dxa"/>
            <w:vAlign w:val="top"/>
          </w:tcPr>
          <w:p>
            <w:pPr>
              <w:spacing w:before="131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对水利工程监理单位与建设单位或施工单位串通，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0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51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对水利工程监理单位将不合格的建设工程、建筑材料、建筑 构配件和设备按合格签字的行政处罚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52</w:t>
            </w:r>
          </w:p>
        </w:tc>
        <w:tc>
          <w:tcPr>
            <w:tcW w:w="201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对水利工程监理单位与被监理工程的施工承包单位以及建筑 构配件和设备供应单位有隶属关系或其他利害关系承担该项 建设工程监理业务的行政处罚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53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对水利工程监理单位违规聘用人员、隐瞒有关情况和提供虚 假材料的行政处罚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2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54</w:t>
            </w:r>
          </w:p>
        </w:tc>
        <w:tc>
          <w:tcPr>
            <w:tcW w:w="201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对水利工程建设监理人员利用执(从)业上的便利索取或收受 项目法人、被监理单位以及建筑材料、建筑构配件和设备供 应单位财物的行政处罚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25" w:type="dxa"/>
            <w:vAlign w:val="top"/>
          </w:tcPr>
          <w:p>
            <w:pPr>
              <w:spacing w:before="253" w:line="186" w:lineRule="auto"/>
              <w:ind w:left="40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55</w:t>
            </w:r>
          </w:p>
        </w:tc>
        <w:tc>
          <w:tcPr>
            <w:tcW w:w="2018" w:type="dxa"/>
            <w:vAlign w:val="top"/>
          </w:tcPr>
          <w:p>
            <w:pPr>
              <w:spacing w:before="250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66000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对水利工程建设监理人员与被监理单位以及建筑材料、建筑 构配件和设备供应单位串通谋取不正当利益的行政处罚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25" w:type="dxa"/>
            <w:vAlign w:val="top"/>
          </w:tcPr>
          <w:p>
            <w:pPr>
              <w:spacing w:before="250" w:line="189" w:lineRule="auto"/>
              <w:ind w:left="409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56</w:t>
            </w:r>
          </w:p>
        </w:tc>
        <w:tc>
          <w:tcPr>
            <w:tcW w:w="2018" w:type="dxa"/>
            <w:vAlign w:val="top"/>
          </w:tcPr>
          <w:p>
            <w:pPr>
              <w:spacing w:before="250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对水利工程建设监理人员非法泄露执(从)业中应当保守的秘 密的行政处罚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400" w:right="1366" w:bottom="1589" w:left="1475" w:header="0" w:footer="1319" w:gutter="0"/>
          <w:pgNumType w:fmt="decimal"/>
          <w:cols w:space="720" w:num="1"/>
        </w:sectPr>
      </w:pPr>
    </w:p>
    <w:p/>
    <w:p/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018"/>
        <w:gridCol w:w="6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5" w:type="dxa"/>
            <w:vAlign w:val="top"/>
          </w:tcPr>
          <w:p>
            <w:pPr>
              <w:spacing w:before="134" w:line="186" w:lineRule="auto"/>
              <w:ind w:left="4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57</w:t>
            </w:r>
          </w:p>
        </w:tc>
        <w:tc>
          <w:tcPr>
            <w:tcW w:w="2018" w:type="dxa"/>
            <w:vAlign w:val="top"/>
          </w:tcPr>
          <w:p>
            <w:pPr>
              <w:spacing w:before="131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对水利工程施工单位违反工程建设强制性标准的行政处罚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58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对水利工程质量检测单位未取得相应的资质，擅自承担检测 业务的行政处罚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59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对水利工程质量检测单位隐瞒有关情况或提供虚假材料申请 资质的行政处罚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对水利工程质量检测单位以欺骗、贿赂等不正当手段取得《资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质等级证书》的行政处罚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25" w:type="dxa"/>
            <w:vAlign w:val="top"/>
          </w:tcPr>
          <w:p>
            <w:pPr>
              <w:spacing w:before="250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before="89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对水利工程质量检测单位超出资质等级范围从事检测活动的 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25" w:type="dxa"/>
            <w:vAlign w:val="top"/>
          </w:tcPr>
          <w:p>
            <w:pPr>
              <w:spacing w:before="250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spacing w:before="250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对水利工程质量检测单位涂改、倒卖、出租、出借或以其他 形式非法转让《资质等级证书》的行政处罚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51000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对水利工程质量检测单位使用不符合条件的检测人员的行政 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5" w:type="dxa"/>
            <w:vAlign w:val="top"/>
          </w:tcPr>
          <w:p>
            <w:pPr>
              <w:spacing w:before="250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top"/>
          </w:tcPr>
          <w:p>
            <w:pPr>
              <w:spacing w:before="250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46000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对水利工程质量检测单位未按规定上报发现的违法违规行为 和检测不合格事项的行政处罚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25" w:type="dxa"/>
            <w:vAlign w:val="top"/>
          </w:tcPr>
          <w:p>
            <w:pPr>
              <w:spacing w:before="251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spacing w:before="251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对水利工程质量检测单位未按规定在质量检测报告上签字盖 章的行政处罚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25" w:type="dxa"/>
            <w:vAlign w:val="top"/>
          </w:tcPr>
          <w:p>
            <w:pPr>
              <w:spacing w:before="251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018" w:type="dxa"/>
            <w:vAlign w:val="top"/>
          </w:tcPr>
          <w:p>
            <w:pPr>
              <w:spacing w:before="251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对水利工程质量检测单位未按国家和行业标准进行检测的行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45000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对水利工程质量检测单位档案资料管理混乱造成检测数据无 法追溯的行政处罚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025" w:type="dxa"/>
            <w:vAlign w:val="top"/>
          </w:tcPr>
          <w:p>
            <w:pPr>
              <w:spacing w:before="252" w:line="189" w:lineRule="auto"/>
              <w:ind w:left="4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spacing w:before="252" w:line="189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53000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对水利工程质量检测单位转包、违规分包检测业务的行政处 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25" w:type="dxa"/>
            <w:vAlign w:val="top"/>
          </w:tcPr>
          <w:p>
            <w:pPr>
              <w:spacing w:before="251" w:line="189" w:lineRule="auto"/>
              <w:ind w:left="408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2018" w:type="dxa"/>
            <w:vAlign w:val="top"/>
          </w:tcPr>
          <w:p>
            <w:pPr>
              <w:spacing w:before="251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49000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对水利工程质量检测单位伪造检测数据，出具虚假质量检测 报告的行政处罚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5" w:type="dxa"/>
            <w:vAlign w:val="top"/>
          </w:tcPr>
          <w:p>
            <w:pPr>
              <w:spacing w:before="248" w:line="189" w:lineRule="auto"/>
              <w:ind w:left="4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</w:t>
            </w:r>
          </w:p>
        </w:tc>
        <w:tc>
          <w:tcPr>
            <w:tcW w:w="2018" w:type="dxa"/>
            <w:vAlign w:val="top"/>
          </w:tcPr>
          <w:p>
            <w:pPr>
              <w:spacing w:before="248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74000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对水利工程建设项目委托未取得相应资质的检测单位进行检 测的行政处罚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53000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对水利工程建设项目明示或暗示检测单位出具虚假检测报 告，篡改或伪造检测报告的行政处罚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25" w:type="dxa"/>
            <w:vAlign w:val="top"/>
          </w:tcPr>
          <w:p>
            <w:pPr>
              <w:spacing w:before="131" w:line="189" w:lineRule="auto"/>
              <w:ind w:left="4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spacing w:before="131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54000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对水利工程建设项目送检试样弄虚作假的行政处罚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25" w:type="dxa"/>
            <w:vAlign w:val="top"/>
          </w:tcPr>
          <w:p>
            <w:pPr>
              <w:spacing w:before="249" w:line="189" w:lineRule="auto"/>
              <w:ind w:left="4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47000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对水利工程质量检测人员不如实记录，随意取舍检测数据的 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25" w:type="dxa"/>
            <w:vAlign w:val="center"/>
          </w:tcPr>
          <w:p>
            <w:pPr>
              <w:spacing w:before="129" w:line="189" w:lineRule="auto"/>
              <w:ind w:left="407" w:leftChars="0"/>
              <w:jc w:val="both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4</w:t>
            </w:r>
          </w:p>
        </w:tc>
        <w:tc>
          <w:tcPr>
            <w:tcW w:w="2018" w:type="dxa"/>
            <w:vAlign w:val="center"/>
          </w:tcPr>
          <w:p>
            <w:pPr>
              <w:spacing w:before="129" w:line="189" w:lineRule="auto"/>
              <w:ind w:left="352" w:leftChars="0"/>
              <w:jc w:val="both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54000</w:t>
            </w:r>
          </w:p>
        </w:tc>
        <w:tc>
          <w:tcPr>
            <w:tcW w:w="6016" w:type="dxa"/>
            <w:vAlign w:val="center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对水利工程质量检测人员弄虚作假、伪造数据的行政处罚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25" w:type="dxa"/>
            <w:vAlign w:val="top"/>
          </w:tcPr>
          <w:p>
            <w:pPr>
              <w:spacing w:before="252" w:line="186" w:lineRule="auto"/>
              <w:ind w:left="4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</w:t>
            </w:r>
          </w:p>
        </w:tc>
        <w:tc>
          <w:tcPr>
            <w:tcW w:w="2018" w:type="dxa"/>
            <w:vAlign w:val="top"/>
          </w:tcPr>
          <w:p>
            <w:pPr>
              <w:spacing w:before="249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93000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对水利工程质量检测人员未执行法律、法规和强制性标准的 行政处罚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0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</w:t>
            </w:r>
          </w:p>
        </w:tc>
        <w:tc>
          <w:tcPr>
            <w:tcW w:w="201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18000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对水利工程施工总承包单位未按规定开设或使用农民工工资 专用账户、未按规定存储工资保证金或未提供金融机构保函， 施工总承包单位、分包单位未实行劳动用工实名制管理的行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2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4" w:line="186" w:lineRule="auto"/>
              <w:ind w:left="4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7</w:t>
            </w:r>
          </w:p>
        </w:tc>
        <w:tc>
          <w:tcPr>
            <w:tcW w:w="201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17000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对水利工程施工总承包单位未对分包单位劳动用工实施监督 管理、未实行施工现场维权信息公示制度，分包单位未配合 施工总承包单位对其劳动用工进行监督管理或未按月考核农 民工工作量、编制工资支付表并经农民工本人签字确认的行 政处罚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2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40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</w:t>
            </w:r>
          </w:p>
        </w:tc>
        <w:tc>
          <w:tcPr>
            <w:tcW w:w="20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5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3302192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19000</w:t>
            </w:r>
          </w:p>
        </w:tc>
        <w:tc>
          <w:tcPr>
            <w:tcW w:w="6016" w:type="dxa"/>
            <w:vAlign w:val="top"/>
          </w:tcPr>
          <w:p>
            <w:pPr>
              <w:spacing w:before="51" w:line="251" w:lineRule="auto"/>
              <w:ind w:left="115" w:right="185" w:firstLine="1"/>
              <w:jc w:val="both"/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对水利工程建设单位未依法提供工程款支付担保、未按约定 及时足额向农民工工资专用账户拨付工程款中的人工费用， 建设单位或施工总承包单位拒不提供或无法提供工程施工合 同、农民工工资专用账户有关资料的行政处罚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49" w:line="272" w:lineRule="auto"/>
        <w:ind w:left="118" w:right="39" w:firstLine="228" w:firstLineChars="104"/>
        <w:rPr>
          <w:rFonts w:hint="eastAsia" w:ascii="仿宋_GB2312" w:hAnsi="仿宋_GB2312" w:eastAsia="仿宋_GB2312" w:cs="仿宋_GB2312"/>
          <w:spacing w:val="-1"/>
          <w:sz w:val="22"/>
          <w:szCs w:val="22"/>
          <w:lang w:val="en-US" w:eastAsia="zh-CN"/>
        </w:rPr>
      </w:pPr>
      <w:r>
        <w:rPr>
          <w:rFonts w:hint="eastAsia" w:ascii="FangSong" w:hAnsi="FangSong" w:eastAsia="FangSong" w:cs="FangSong"/>
          <w:sz w:val="22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22"/>
          <w:szCs w:val="22"/>
          <w:lang w:val="en-US" w:eastAsia="zh-CN"/>
        </w:rPr>
        <w:t>备注：《绍兴市人民政府关于公布绍兴市综合行政执法事项扩展目录的通告》（绍政发〔2022〕10号）涉及以上行政执法事项的动态调整。</w:t>
      </w:r>
    </w:p>
    <w:sectPr>
      <w:footerReference r:id="rId8" w:type="default"/>
      <w:pgSz w:w="11906" w:h="16839"/>
      <w:pgMar w:top="400" w:right="1366" w:bottom="1592" w:left="1475" w:header="0" w:footer="131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hint="eastAsia" w:ascii="Times New Roman" w:hAnsi="Times New Roman" w:eastAsia="宋体" w:cs="Times New Roman"/>
        <w:spacing w:val="-2"/>
        <w:sz w:val="28"/>
        <w:szCs w:val="28"/>
        <w:lang w:val="en-US" w:eastAsia="zh-CN"/>
      </w:rPr>
      <w:t>2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right="10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hint="eastAsia" w:ascii="Times New Roman" w:hAnsi="Times New Roman" w:eastAsia="宋体" w:cs="Times New Roman"/>
        <w:spacing w:val="-2"/>
        <w:sz w:val="28"/>
        <w:szCs w:val="28"/>
        <w:lang w:val="en-US" w:eastAsia="zh-CN"/>
      </w:rPr>
      <w:t>5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122" w:firstLine="8220" w:firstLineChars="30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hint="eastAsia" w:ascii="Times New Roman" w:hAnsi="Times New Roman" w:eastAsia="宋体" w:cs="Times New Roman"/>
        <w:spacing w:val="-2"/>
        <w:sz w:val="28"/>
        <w:szCs w:val="28"/>
        <w:lang w:val="en-US" w:eastAsia="zh-CN"/>
      </w:rPr>
      <w:t>7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CFB3C9F"/>
    <w:rsid w:val="67F724C6"/>
    <w:rsid w:val="755D2652"/>
    <w:rsid w:val="7FCDD0B4"/>
    <w:rsid w:val="9BFF9938"/>
    <w:rsid w:val="AEFEB4DF"/>
    <w:rsid w:val="DEFEE59B"/>
    <w:rsid w:val="F9BFD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outlineLvl w:val="0"/>
    </w:pPr>
    <w:rPr>
      <w:rFonts w:hint="eastAsia" w:ascii="黑体" w:hAnsi="黑体" w:eastAsia="黑体"/>
      <w:kern w:val="0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Office_11.8.2.1123_F1E327BC-269C-435d-A152-05C5408002CA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2025-03-12T02:01:00Z</dcterms:created>
  <dc:creator>陈俊伟</dc:creator>
  <cp:lastModifiedBy>sxszf</cp:lastModifiedBy>
  <dcterms:modified xsi:type="dcterms:W3CDTF">2025-06-03T14:24:22Z</dcterms:modified>
  <dc:title>浙江省司法厅文件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2025-05-30T10:12:12Z</vt:filetime>
  </property>
  <property fmtid="{D5CDD505-2E9C-101B-9397-08002B2CF9AE}" pid="4" name="KSOProductBuildVer">
    <vt:lpwstr>2052-11.8.2.1123</vt:lpwstr>
  </property>
  <property fmtid="{D5CDD505-2E9C-101B-9397-08002B2CF9AE}" pid="5" name="ICV">
    <vt:lpwstr>4C40D2DF5847876E6417396889E0D289</vt:lpwstr>
  </property>
</Properties>
</file>