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微软雅黑" w:cs="Times New Roman"/>
          <w:bCs/>
          <w:sz w:val="44"/>
          <w:szCs w:val="44"/>
        </w:rPr>
      </w:pPr>
      <w:bookmarkStart w:id="2" w:name="_GoBack"/>
      <w:bookmarkEnd w:id="2"/>
    </w:p>
    <w:p>
      <w:pPr>
        <w:spacing w:line="60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金华市工业控制线管理办法（试行）</w:t>
      </w:r>
    </w:p>
    <w:p>
      <w:pPr>
        <w:spacing w:line="600" w:lineRule="exact"/>
        <w:jc w:val="center"/>
        <w:rPr>
          <w:rFonts w:ascii="Times New Roman" w:hAnsi="Times New Roman" w:eastAsia="黑体" w:cs="Times New Roman"/>
          <w:bCs/>
          <w:sz w:val="32"/>
          <w:szCs w:val="36"/>
        </w:rPr>
      </w:pPr>
      <w:r>
        <w:rPr>
          <w:rFonts w:hint="eastAsia" w:ascii="Times New Roman" w:hAnsi="Times New Roman" w:eastAsia="楷体_GB2312" w:cs="Times New Roman"/>
          <w:bCs/>
          <w:sz w:val="32"/>
          <w:szCs w:val="32"/>
        </w:rPr>
        <w:t>（征求意见稿）</w:t>
      </w:r>
    </w:p>
    <w:p>
      <w:pPr>
        <w:spacing w:line="560" w:lineRule="exact"/>
        <w:ind w:firstLine="640" w:firstLineChars="200"/>
        <w:jc w:val="center"/>
        <w:rPr>
          <w:rFonts w:ascii="Times New Roman" w:hAnsi="Times New Roman" w:eastAsia="黑体" w:cs="Times New Roman"/>
          <w:bCs/>
          <w:sz w:val="32"/>
          <w:szCs w:val="36"/>
        </w:rPr>
      </w:pPr>
    </w:p>
    <w:p>
      <w:pPr>
        <w:spacing w:line="560" w:lineRule="exact"/>
        <w:ind w:firstLine="640" w:firstLineChars="200"/>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一、总则</w:t>
      </w:r>
    </w:p>
    <w:p>
      <w:pPr>
        <w:spacing w:line="560" w:lineRule="exact"/>
        <w:ind w:firstLine="640" w:firstLineChars="200"/>
        <w:rPr>
          <w:rFonts w:ascii="Times New Roman" w:hAnsi="Times New Roman" w:eastAsia="微软雅黑" w:cs="Times New Roman"/>
          <w:bCs/>
          <w:kern w:val="0"/>
          <w:szCs w:val="21"/>
        </w:rPr>
      </w:pPr>
      <w:r>
        <w:rPr>
          <w:rFonts w:hint="eastAsia" w:ascii="Times New Roman" w:hAnsi="Times New Roman" w:eastAsia="仿宋_GB2312" w:cs="Times New Roman"/>
          <w:bCs/>
          <w:sz w:val="32"/>
          <w:szCs w:val="32"/>
        </w:rPr>
        <w:t>为规范金华市工业控制线管理，保障工业发展空间，提高工业用地节约集约利用水平，促进产业转型升级，根据</w:t>
      </w:r>
      <w:r>
        <w:rPr>
          <w:rFonts w:ascii="Times New Roman" w:hAnsi="Times New Roman" w:eastAsia="仿宋_GB2312" w:cs="Times New Roman"/>
          <w:bCs/>
          <w:sz w:val="32"/>
          <w:szCs w:val="32"/>
        </w:rPr>
        <w:t>《</w:t>
      </w:r>
      <w:r>
        <w:rPr>
          <w:rFonts w:ascii="Times New Roman" w:hAnsi="Times New Roman" w:eastAsia="仿宋_GB2312" w:cs="Times New Roman"/>
          <w:color w:val="000000"/>
          <w:sz w:val="32"/>
          <w:szCs w:val="32"/>
          <w:shd w:val="clear" w:color="auto" w:fill="FFFFFF"/>
        </w:rPr>
        <w:t>浙江省新一轮制造业“腾笼换鸟、凤凰涅槃”攻坚行动方案（2021—2023</w:t>
      </w:r>
      <w:r>
        <w:rPr>
          <w:rFonts w:hint="eastAsia" w:ascii="Times New Roman" w:hAnsi="Times New Roman" w:eastAsia="仿宋_GB2312" w:cs="Times New Roman"/>
          <w:color w:val="000000"/>
          <w:sz w:val="32"/>
          <w:szCs w:val="32"/>
          <w:shd w:val="clear" w:color="auto" w:fill="FFFFFF"/>
        </w:rPr>
        <w:t>）</w:t>
      </w:r>
      <w:r>
        <w:rPr>
          <w:rFonts w:ascii="Times New Roman" w:hAnsi="Times New Roman" w:eastAsia="仿宋_GB2312" w:cs="Times New Roman"/>
          <w:color w:val="000000"/>
          <w:sz w:val="32"/>
          <w:szCs w:val="32"/>
          <w:shd w:val="clear" w:color="auto" w:fill="FFFFFF"/>
        </w:rPr>
        <w:t>年</w:t>
      </w:r>
      <w:r>
        <w:rPr>
          <w:rFonts w:ascii="Times New Roman" w:hAnsi="Times New Roman" w:eastAsia="仿宋_GB2312" w:cs="Times New Roman"/>
          <w:bCs/>
          <w:sz w:val="32"/>
          <w:szCs w:val="32"/>
        </w:rPr>
        <w:t>》（浙政发〔2021〕31号）</w:t>
      </w:r>
      <w:r>
        <w:rPr>
          <w:rFonts w:hint="eastAsia" w:ascii="Times New Roman" w:hAnsi="Times New Roman" w:eastAsia="仿宋_GB2312" w:cs="Times New Roman"/>
          <w:bCs/>
          <w:sz w:val="32"/>
          <w:szCs w:val="32"/>
        </w:rPr>
        <w:t>、《省发展改革委等12部门关于浙江省推动工业经济稳进提质行动方案的通知》（浙发改产业〔2022〕80号）</w:t>
      </w:r>
      <w:r>
        <w:rPr>
          <w:rFonts w:ascii="Times New Roman" w:hAnsi="Times New Roman" w:eastAsia="仿宋_GB2312" w:cs="Times New Roman"/>
          <w:bCs/>
          <w:sz w:val="32"/>
          <w:szCs w:val="32"/>
        </w:rPr>
        <w:t>以及工业用地规划和利用管</w:t>
      </w:r>
      <w:r>
        <w:rPr>
          <w:rFonts w:hint="eastAsia" w:ascii="Times New Roman" w:hAnsi="Times New Roman" w:eastAsia="仿宋_GB2312" w:cs="Times New Roman"/>
          <w:bCs/>
          <w:sz w:val="32"/>
          <w:szCs w:val="32"/>
        </w:rPr>
        <w:t>理有关规定，结合金华实际，制定本办法。</w:t>
      </w:r>
    </w:p>
    <w:p>
      <w:pPr>
        <w:spacing w:line="560" w:lineRule="exact"/>
        <w:ind w:firstLine="640" w:firstLineChars="200"/>
        <w:rPr>
          <w:rFonts w:ascii="Times New Roman" w:hAnsi="Times New Roman" w:eastAsia="微软雅黑" w:cs="Times New Roman"/>
          <w:bCs/>
          <w:kern w:val="0"/>
          <w:sz w:val="24"/>
          <w:szCs w:val="24"/>
        </w:rPr>
      </w:pPr>
      <w:r>
        <w:rPr>
          <w:rFonts w:ascii="Times New Roman" w:hAnsi="Times New Roman" w:eastAsia="黑体" w:cs="Times New Roman"/>
          <w:bCs/>
          <w:kern w:val="0"/>
          <w:sz w:val="32"/>
          <w:szCs w:val="32"/>
        </w:rPr>
        <w:t>二</w:t>
      </w:r>
      <w:r>
        <w:rPr>
          <w:rFonts w:hint="eastAsia" w:ascii="Times New Roman" w:hAnsi="Times New Roman" w:eastAsia="黑体" w:cs="Times New Roman"/>
          <w:bCs/>
          <w:kern w:val="0"/>
          <w:sz w:val="32"/>
          <w:szCs w:val="32"/>
        </w:rPr>
        <w:t>、定义和适用范围</w:t>
      </w:r>
    </w:p>
    <w:p>
      <w:p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本办法所称工业控制线是指经各级人民政府批准并公布的工业区块范围界线。</w:t>
      </w:r>
      <w:r>
        <w:rPr>
          <w:rFonts w:hint="eastAsia" w:ascii="Times New Roman" w:hAnsi="Times New Roman" w:eastAsia="仿宋_GB2312" w:cs="Times New Roman"/>
          <w:bCs/>
          <w:sz w:val="32"/>
          <w:szCs w:val="32"/>
          <w:lang w:eastAsia="zh-CN"/>
        </w:rPr>
        <w:t>单个</w:t>
      </w:r>
      <w:r>
        <w:rPr>
          <w:rFonts w:hint="eastAsia" w:ascii="Times New Roman" w:hAnsi="Times New Roman" w:eastAsia="仿宋_GB2312" w:cs="Times New Roman"/>
          <w:bCs/>
          <w:sz w:val="32"/>
          <w:szCs w:val="32"/>
        </w:rPr>
        <w:t>工业区块范围界线内</w:t>
      </w:r>
      <w:r>
        <w:rPr>
          <w:rFonts w:hint="eastAsia" w:ascii="Times New Roman" w:hAnsi="Times New Roman" w:eastAsia="仿宋_GB2312" w:cs="Times New Roman"/>
          <w:bCs/>
          <w:sz w:val="32"/>
          <w:szCs w:val="32"/>
          <w:lang w:eastAsia="zh-CN"/>
        </w:rPr>
        <w:t>的</w:t>
      </w:r>
      <w:r>
        <w:rPr>
          <w:rFonts w:hint="eastAsia" w:ascii="Times New Roman" w:hAnsi="Times New Roman" w:eastAsia="仿宋_GB2312" w:cs="Times New Roman"/>
          <w:bCs/>
          <w:sz w:val="32"/>
          <w:szCs w:val="32"/>
        </w:rPr>
        <w:t>工业用地面积</w:t>
      </w:r>
      <w:r>
        <w:rPr>
          <w:rFonts w:hint="eastAsia" w:ascii="Times New Roman" w:hAnsi="Times New Roman" w:eastAsia="仿宋_GB2312" w:cs="Times New Roman"/>
          <w:bCs/>
          <w:sz w:val="32"/>
          <w:szCs w:val="32"/>
          <w:lang w:eastAsia="zh-CN"/>
        </w:rPr>
        <w:t>不得低于该</w:t>
      </w:r>
      <w:r>
        <w:rPr>
          <w:rFonts w:hint="eastAsia" w:ascii="Times New Roman" w:hAnsi="Times New Roman" w:eastAsia="仿宋_GB2312" w:cs="Times New Roman"/>
          <w:bCs/>
          <w:sz w:val="32"/>
          <w:szCs w:val="32"/>
        </w:rPr>
        <w:t>区块总用地面积的</w:t>
      </w:r>
      <w:r>
        <w:rPr>
          <w:rFonts w:hint="eastAsia" w:ascii="Times New Roman" w:hAnsi="Times New Roman" w:eastAsia="仿宋_GB2312" w:cs="Times New Roman"/>
          <w:bCs/>
          <w:sz w:val="32"/>
          <w:szCs w:val="32"/>
          <w:lang w:val="en-US" w:eastAsia="zh-CN"/>
        </w:rPr>
        <w:t>60%</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本办法所称的工业用地包括工业用地M（含工业新业态用地M0）、物流仓储用地W。</w:t>
      </w:r>
    </w:p>
    <w:p>
      <w:pPr>
        <w:spacing w:line="560" w:lineRule="exact"/>
        <w:ind w:firstLine="640" w:firstLineChars="200"/>
        <w:rPr>
          <w:rFonts w:ascii="Times New Roman" w:hAnsi="Times New Roman" w:eastAsia="楷体_GB2312" w:cs="Times New Roman"/>
          <w:bCs/>
          <w:kern w:val="0"/>
          <w:sz w:val="32"/>
          <w:szCs w:val="32"/>
        </w:rPr>
      </w:pPr>
      <w:r>
        <w:rPr>
          <w:rFonts w:ascii="Times New Roman" w:hAnsi="Times New Roman" w:eastAsia="仿宋_GB2312" w:cs="Times New Roman"/>
          <w:bCs/>
          <w:kern w:val="0"/>
          <w:sz w:val="32"/>
          <w:szCs w:val="32"/>
        </w:rPr>
        <w:t>工业</w:t>
      </w:r>
      <w:r>
        <w:rPr>
          <w:rFonts w:ascii="Times New Roman" w:hAnsi="Times New Roman" w:eastAsia="仿宋_GB2312" w:cs="Times New Roman"/>
          <w:bCs/>
          <w:sz w:val="32"/>
          <w:szCs w:val="32"/>
        </w:rPr>
        <w:t>控</w:t>
      </w:r>
      <w:r>
        <w:rPr>
          <w:rFonts w:hint="eastAsia" w:ascii="Times New Roman" w:hAnsi="Times New Roman" w:eastAsia="仿宋_GB2312" w:cs="Times New Roman"/>
          <w:bCs/>
          <w:sz w:val="32"/>
          <w:szCs w:val="32"/>
        </w:rPr>
        <w:t xml:space="preserve">制线的划定、调整、管理适用本办法。 </w:t>
      </w:r>
      <w:r>
        <w:rPr>
          <w:rFonts w:ascii="Times New Roman" w:hAnsi="Times New Roman" w:eastAsia="仿宋_GB2312" w:cs="Times New Roman"/>
          <w:bCs/>
          <w:sz w:val="32"/>
          <w:szCs w:val="32"/>
        </w:rPr>
        <w:t xml:space="preserve"> </w:t>
      </w:r>
    </w:p>
    <w:p>
      <w:pPr>
        <w:spacing w:line="560" w:lineRule="exact"/>
        <w:ind w:firstLine="640" w:firstLineChars="200"/>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三、工业用地总量和规模分配</w:t>
      </w:r>
    </w:p>
    <w:p>
      <w:pPr>
        <w:spacing w:line="560" w:lineRule="exact"/>
        <w:ind w:firstLine="640" w:firstLineChars="200"/>
        <w:rPr>
          <w:rFonts w:ascii="Times New Roman" w:hAnsi="Times New Roman" w:eastAsia="黑体" w:cs="Times New Roman"/>
          <w:bCs/>
          <w:kern w:val="0"/>
          <w:sz w:val="32"/>
          <w:szCs w:val="32"/>
        </w:rPr>
      </w:pPr>
      <w:r>
        <w:rPr>
          <w:rFonts w:hint="eastAsia" w:ascii="Times New Roman" w:hAnsi="Times New Roman" w:eastAsia="仿宋_GB2312" w:cs="Times New Roman"/>
          <w:bCs/>
          <w:color w:val="000000" w:themeColor="text1"/>
          <w:sz w:val="32"/>
          <w:szCs w:val="32"/>
          <w14:textFill>
            <w14:solidFill>
              <w14:schemeClr w14:val="tx1"/>
            </w14:solidFill>
          </w14:textFill>
        </w:rPr>
        <w:t>全市工业用地总量不低于40万亩，其中</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金华市区工业用地总量不低于</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10万亩</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兰溪市不低于5.0万亩、东阳市不低于6.0万亩、义乌市不低于5.7万亩、永康市不低于6.1万亩、浦江县不低于2.1万亩、武义县不低于4.2万亩、磐安县不低于0.9万亩。</w:t>
      </w:r>
    </w:p>
    <w:p>
      <w:pPr>
        <w:spacing w:line="560" w:lineRule="exact"/>
        <w:ind w:firstLine="640" w:firstLineChars="200"/>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四、管控原则</w:t>
      </w:r>
    </w:p>
    <w:p>
      <w:pPr>
        <w:spacing w:line="560" w:lineRule="exact"/>
        <w:ind w:firstLine="640" w:firstLineChars="200"/>
        <w:rPr>
          <w:rFonts w:hint="eastAsia" w:ascii="Times New Roman" w:hAnsi="Times New Roman" w:eastAsia="仿宋_GB2312" w:cs="Times New Roman"/>
          <w:bCs/>
          <w:sz w:val="32"/>
          <w:szCs w:val="32"/>
          <w:lang w:val="en-US" w:eastAsia="zh-CN"/>
        </w:rPr>
      </w:pPr>
      <w:r>
        <w:rPr>
          <w:rFonts w:hint="eastAsia" w:ascii="Times New Roman" w:hAnsi="Times New Roman" w:eastAsia="仿宋_GB2312" w:cs="Times New Roman"/>
          <w:bCs/>
          <w:sz w:val="32"/>
          <w:szCs w:val="32"/>
        </w:rPr>
        <w:t>按照</w:t>
      </w:r>
      <w:r>
        <w:rPr>
          <w:rFonts w:hint="eastAsia" w:ascii="Times New Roman" w:hAnsi="Times New Roman" w:eastAsia="仿宋_GB2312" w:cs="Times New Roman"/>
          <w:bCs/>
          <w:color w:val="auto"/>
          <w:sz w:val="32"/>
          <w:szCs w:val="32"/>
        </w:rPr>
        <w:t>“规模总量不减少，产业布局更合理”</w:t>
      </w:r>
      <w:r>
        <w:rPr>
          <w:rFonts w:hint="eastAsia" w:ascii="Times New Roman" w:hAnsi="Times New Roman" w:eastAsia="仿宋_GB2312" w:cs="Times New Roman"/>
          <w:bCs/>
          <w:sz w:val="32"/>
          <w:szCs w:val="32"/>
        </w:rPr>
        <w:t>的原则，加强土地利用和产业项目的全过程管理，稳定工业用地总规模，提高工业用地产出效益。</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城镇开发边界外的</w:t>
      </w:r>
      <w:r>
        <w:rPr>
          <w:rFonts w:hint="eastAsia" w:ascii="Times New Roman" w:hAnsi="Times New Roman" w:eastAsia="仿宋_GB2312" w:cs="Times New Roman"/>
          <w:bCs/>
          <w:color w:val="000000" w:themeColor="text1"/>
          <w:sz w:val="32"/>
          <w:szCs w:val="32"/>
          <w14:textFill>
            <w14:solidFill>
              <w14:schemeClr w14:val="tx1"/>
            </w14:solidFill>
          </w14:textFill>
        </w:rPr>
        <w:t>工业用地</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应</w:t>
      </w:r>
      <w:r>
        <w:rPr>
          <w:rFonts w:hint="eastAsia" w:ascii="Times New Roman" w:hAnsi="Times New Roman" w:eastAsia="仿宋_GB2312" w:cs="Times New Roman"/>
          <w:bCs/>
          <w:color w:val="000000" w:themeColor="text1"/>
          <w:sz w:val="32"/>
          <w:szCs w:val="32"/>
          <w14:textFill>
            <w14:solidFill>
              <w14:schemeClr w14:val="tx1"/>
            </w14:solidFill>
          </w14:textFill>
        </w:rPr>
        <w:t>结合城市发展，逐步向城镇开发边界内集聚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560" w:lineRule="exact"/>
        <w:ind w:firstLine="640" w:firstLineChars="200"/>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五、部门职责</w:t>
      </w:r>
    </w:p>
    <w:p>
      <w:pPr>
        <w:spacing w:line="560" w:lineRule="exact"/>
        <w:ind w:firstLine="640" w:firstLineChars="200"/>
        <w:rPr>
          <w:rFonts w:hint="default" w:ascii="Times New Roman" w:hAnsi="Times New Roman" w:eastAsia="仿宋_GB2312" w:cs="Times New Roman"/>
          <w:bCs/>
          <w:color w:val="auto"/>
          <w:kern w:val="0"/>
          <w:sz w:val="32"/>
          <w:szCs w:val="32"/>
        </w:rPr>
      </w:pPr>
      <w:r>
        <w:rPr>
          <w:rFonts w:hint="eastAsia" w:ascii="Times New Roman" w:hAnsi="Times New Roman" w:eastAsia="仿宋_GB2312" w:cs="Times New Roman"/>
          <w:bCs/>
          <w:color w:val="auto"/>
          <w:kern w:val="0"/>
          <w:sz w:val="32"/>
          <w:szCs w:val="32"/>
          <w:lang w:eastAsia="zh-CN"/>
        </w:rPr>
        <w:t>金华</w:t>
      </w:r>
      <w:r>
        <w:rPr>
          <w:rFonts w:hint="default" w:ascii="Times New Roman" w:hAnsi="Times New Roman" w:eastAsia="仿宋_GB2312" w:cs="Times New Roman"/>
          <w:bCs/>
          <w:color w:val="auto"/>
          <w:kern w:val="0"/>
          <w:sz w:val="32"/>
          <w:szCs w:val="32"/>
        </w:rPr>
        <w:t>市自然资源主管部门会同</w:t>
      </w:r>
      <w:r>
        <w:rPr>
          <w:rFonts w:hint="eastAsia" w:ascii="Times New Roman" w:hAnsi="Times New Roman" w:eastAsia="仿宋_GB2312" w:cs="Times New Roman"/>
          <w:bCs/>
          <w:color w:val="auto"/>
          <w:kern w:val="0"/>
          <w:sz w:val="32"/>
          <w:szCs w:val="32"/>
          <w:lang w:eastAsia="zh-CN"/>
        </w:rPr>
        <w:t>金华</w:t>
      </w:r>
      <w:r>
        <w:rPr>
          <w:rFonts w:hint="default" w:ascii="Times New Roman" w:hAnsi="Times New Roman" w:eastAsia="仿宋_GB2312" w:cs="Times New Roman"/>
          <w:bCs/>
          <w:color w:val="auto"/>
          <w:kern w:val="0"/>
          <w:sz w:val="32"/>
          <w:szCs w:val="32"/>
        </w:rPr>
        <w:t>市工业和信息化主管部门负责全市工业控制线划定和调整工作的统筹管理，并纳入国土空间规划“一张图”系统动态管理。</w:t>
      </w:r>
      <w:r>
        <w:rPr>
          <w:rFonts w:hint="eastAsia" w:ascii="Times New Roman" w:hAnsi="Times New Roman" w:eastAsia="仿宋_GB2312" w:cs="Times New Roman"/>
          <w:bCs/>
          <w:color w:val="auto"/>
          <w:kern w:val="0"/>
          <w:sz w:val="32"/>
          <w:szCs w:val="32"/>
          <w:lang w:eastAsia="zh-CN"/>
        </w:rPr>
        <w:t>金华</w:t>
      </w:r>
      <w:r>
        <w:rPr>
          <w:rFonts w:hint="default" w:ascii="Times New Roman" w:hAnsi="Times New Roman" w:eastAsia="仿宋_GB2312" w:cs="Times New Roman"/>
          <w:bCs/>
          <w:color w:val="auto"/>
          <w:kern w:val="0"/>
          <w:sz w:val="32"/>
          <w:szCs w:val="32"/>
        </w:rPr>
        <w:t>市其他相关部门按照各自职责做好服务和监管工作。</w:t>
      </w:r>
    </w:p>
    <w:p>
      <w:pPr>
        <w:spacing w:line="560" w:lineRule="exact"/>
        <w:ind w:firstLine="640" w:firstLineChars="200"/>
        <w:rPr>
          <w:rFonts w:ascii="Times New Roman" w:hAnsi="Times New Roman" w:eastAsia="黑体" w:cs="Times New Roman"/>
          <w:bCs/>
          <w:color w:val="FF0000"/>
          <w:kern w:val="0"/>
          <w:sz w:val="32"/>
          <w:szCs w:val="32"/>
        </w:rPr>
      </w:pPr>
      <w:r>
        <w:rPr>
          <w:rFonts w:hint="default" w:ascii="Times New Roman" w:hAnsi="Times New Roman" w:eastAsia="仿宋_GB2312" w:cs="Times New Roman"/>
          <w:bCs/>
          <w:color w:val="auto"/>
          <w:kern w:val="0"/>
          <w:sz w:val="32"/>
          <w:szCs w:val="32"/>
        </w:rPr>
        <w:t>各县</w:t>
      </w:r>
      <w:r>
        <w:rPr>
          <w:rFonts w:hint="eastAsia"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rPr>
        <w:t>市、区</w:t>
      </w:r>
      <w:r>
        <w:rPr>
          <w:rFonts w:hint="eastAsia"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rPr>
        <w:t>人民政府</w:t>
      </w:r>
      <w:r>
        <w:rPr>
          <w:rFonts w:hint="default" w:ascii="Times New Roman" w:hAnsi="Times New Roman" w:eastAsia="仿宋_GB2312" w:cs="Times New Roman"/>
          <w:bCs/>
          <w:color w:val="auto"/>
          <w:kern w:val="0"/>
          <w:sz w:val="32"/>
          <w:szCs w:val="32"/>
          <w:lang w:eastAsia="zh-CN"/>
        </w:rPr>
        <w:t>、</w:t>
      </w:r>
      <w:r>
        <w:rPr>
          <w:rFonts w:hint="default" w:ascii="Times New Roman" w:hAnsi="Times New Roman" w:eastAsia="仿宋_GB2312" w:cs="Times New Roman"/>
          <w:bCs/>
          <w:color w:val="auto"/>
          <w:kern w:val="0"/>
          <w:sz w:val="32"/>
          <w:szCs w:val="32"/>
        </w:rPr>
        <w:t>金华开发区管委会负责承担辖区内工业控制线的具体划定</w:t>
      </w:r>
      <w:r>
        <w:rPr>
          <w:rFonts w:hint="eastAsia" w:ascii="Times New Roman" w:hAnsi="Times New Roman" w:eastAsia="仿宋_GB2312" w:cs="Times New Roman"/>
          <w:bCs/>
          <w:color w:val="auto"/>
          <w:kern w:val="0"/>
          <w:sz w:val="32"/>
          <w:szCs w:val="32"/>
          <w:lang w:eastAsia="zh-CN"/>
        </w:rPr>
        <w:t>、调整</w:t>
      </w:r>
      <w:r>
        <w:rPr>
          <w:rFonts w:hint="default" w:ascii="Times New Roman" w:hAnsi="Times New Roman" w:eastAsia="仿宋_GB2312" w:cs="Times New Roman"/>
          <w:bCs/>
          <w:color w:val="auto"/>
          <w:kern w:val="0"/>
          <w:sz w:val="32"/>
          <w:szCs w:val="32"/>
        </w:rPr>
        <w:t>和管理工作。</w:t>
      </w:r>
    </w:p>
    <w:p>
      <w:pPr>
        <w:spacing w:line="560" w:lineRule="exact"/>
        <w:ind w:firstLine="640" w:firstLineChars="200"/>
        <w:jc w:val="left"/>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ascii="Times New Roman" w:hAnsi="Times New Roman" w:eastAsia="黑体" w:cs="Times New Roman"/>
          <w:bCs/>
          <w:kern w:val="0"/>
          <w:sz w:val="32"/>
          <w:szCs w:val="32"/>
        </w:rPr>
        <w:t xml:space="preserve"> </w:t>
      </w:r>
      <w:bookmarkStart w:id="0" w:name="_Hlk69986577"/>
      <w:bookmarkStart w:id="1" w:name="_Hlk69986197"/>
      <w:r>
        <w:rPr>
          <w:rFonts w:hint="eastAsia" w:ascii="Times New Roman" w:hAnsi="Times New Roman" w:eastAsia="黑体" w:cs="Times New Roman"/>
          <w:bCs/>
          <w:color w:val="000000" w:themeColor="text1"/>
          <w:kern w:val="0"/>
          <w:sz w:val="32"/>
          <w:szCs w:val="32"/>
          <w14:textFill>
            <w14:solidFill>
              <w14:schemeClr w14:val="tx1"/>
            </w14:solidFill>
          </w14:textFill>
        </w:rPr>
        <w:t>六、管控方式</w:t>
      </w:r>
    </w:p>
    <w:p>
      <w:pPr>
        <w:spacing w:line="56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14:textFill>
            <w14:solidFill>
              <w14:schemeClr w14:val="tx1"/>
            </w14:solidFill>
          </w14:textFill>
        </w:rPr>
        <w:t>工业控制线采用分级管控方式，分为一级控制线和二级控制线：</w:t>
      </w:r>
    </w:p>
    <w:p>
      <w:pPr>
        <w:spacing w:line="56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14:textFill>
            <w14:solidFill>
              <w14:schemeClr w14:val="tx1"/>
            </w14:solidFill>
          </w14:textFill>
        </w:rPr>
        <w:t>（一）一级控制线是位于城镇开发边界内，保障工业用地底线空间和工业经济长远发展，应严格保护的工业区块范围界线，原则上不得调整。</w:t>
      </w:r>
    </w:p>
    <w:p>
      <w:pPr>
        <w:spacing w:line="56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14:textFill>
            <w14:solidFill>
              <w14:schemeClr w14:val="tx1"/>
            </w14:solidFill>
          </w14:textFill>
        </w:rPr>
        <w:t>（二）二级控制线</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作为一级控制线的补充，</w:t>
      </w:r>
      <w:r>
        <w:rPr>
          <w:rFonts w:hint="eastAsia" w:ascii="Times New Roman" w:hAnsi="Times New Roman" w:eastAsia="仿宋_GB2312" w:cs="Times New Roman"/>
          <w:bCs/>
          <w:color w:val="000000" w:themeColor="text1"/>
          <w:sz w:val="32"/>
          <w:szCs w:val="32"/>
          <w14:textFill>
            <w14:solidFill>
              <w14:schemeClr w14:val="tx1"/>
            </w14:solidFill>
          </w14:textFill>
        </w:rPr>
        <w:t>是</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为</w:t>
      </w:r>
      <w:r>
        <w:rPr>
          <w:rFonts w:hint="eastAsia" w:ascii="Times New Roman" w:hAnsi="Times New Roman" w:eastAsia="仿宋_GB2312" w:cs="Times New Roman"/>
          <w:bCs/>
          <w:color w:val="000000" w:themeColor="text1"/>
          <w:sz w:val="32"/>
          <w:szCs w:val="32"/>
          <w14:textFill>
            <w14:solidFill>
              <w14:schemeClr w14:val="tx1"/>
            </w14:solidFill>
          </w14:textFill>
        </w:rPr>
        <w:t>稳定城市一定时期现状工业用地总规模</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而划定的</w:t>
      </w:r>
      <w:r>
        <w:rPr>
          <w:rFonts w:hint="eastAsia" w:ascii="Times New Roman" w:hAnsi="Times New Roman" w:eastAsia="仿宋_GB2312" w:cs="Times New Roman"/>
          <w:bCs/>
          <w:color w:val="000000" w:themeColor="text1"/>
          <w:sz w:val="32"/>
          <w:szCs w:val="32"/>
          <w14:textFill>
            <w14:solidFill>
              <w14:schemeClr w14:val="tx1"/>
            </w14:solidFill>
          </w14:textFill>
        </w:rPr>
        <w:t>工业区块范围界线。</w:t>
      </w:r>
    </w:p>
    <w:bookmarkEnd w:id="0"/>
    <w:bookmarkEnd w:id="1"/>
    <w:p>
      <w:pPr>
        <w:spacing w:line="560" w:lineRule="exact"/>
        <w:ind w:firstLine="640" w:firstLineChars="200"/>
        <w:rPr>
          <w:rFonts w:hint="eastAsia" w:ascii="Times New Roman" w:hAnsi="Times New Roman" w:eastAsia="仿宋_GB2312" w:cs="Times New Roman"/>
          <w:bCs/>
          <w:kern w:val="0"/>
          <w:sz w:val="32"/>
          <w:szCs w:val="32"/>
          <w:highlight w:val="none"/>
          <w:lang w:eastAsia="zh-CN"/>
        </w:rPr>
      </w:pP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（三）一级控制线内工业用地</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的总规模</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不低于</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辖区</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工业控制线</w:t>
      </w:r>
      <w:r>
        <w:rPr>
          <w:rFonts w:hint="eastAsia" w:ascii="Times New Roman" w:hAnsi="Times New Roman" w:eastAsia="仿宋_GB2312" w:cs="Times New Roman"/>
          <w:bCs/>
          <w:color w:val="000000" w:themeColor="text1"/>
          <w:sz w:val="32"/>
          <w:szCs w:val="32"/>
          <w:highlight w:val="none"/>
          <w:lang w:eastAsia="zh-CN"/>
          <w14:textFill>
            <w14:solidFill>
              <w14:schemeClr w14:val="tx1"/>
            </w14:solidFill>
          </w14:textFill>
        </w:rPr>
        <w:t>内</w:t>
      </w:r>
      <w:r>
        <w:rPr>
          <w:rFonts w:hint="eastAsia" w:ascii="Times New Roman" w:hAnsi="Times New Roman" w:eastAsia="仿宋_GB2312" w:cs="Times New Roman"/>
          <w:bCs/>
          <w:color w:val="000000" w:themeColor="text1"/>
          <w:sz w:val="32"/>
          <w:szCs w:val="32"/>
          <w:highlight w:val="none"/>
          <w14:textFill>
            <w14:solidFill>
              <w14:schemeClr w14:val="tx1"/>
            </w14:solidFill>
          </w14:textFill>
        </w:rPr>
        <w:t>工业用地总规模的80%。</w:t>
      </w:r>
    </w:p>
    <w:p>
      <w:pPr>
        <w:spacing w:line="560" w:lineRule="exact"/>
        <w:ind w:firstLine="640" w:firstLineChars="200"/>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rPr>
        <w:t>七、划定原则</w:t>
      </w:r>
    </w:p>
    <w:p>
      <w:p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原则上，以下情况可划入一级控制线范围：</w:t>
      </w:r>
    </w:p>
    <w:p>
      <w:p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（一）现状亩产效益较好、集中连片的工业用地；</w:t>
      </w:r>
    </w:p>
    <w:p>
      <w:p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（二）</w:t>
      </w:r>
      <w:r>
        <w:rPr>
          <w:rFonts w:hint="eastAsia" w:ascii="Times New Roman" w:hAnsi="Times New Roman" w:eastAsia="仿宋_GB2312" w:cs="Times New Roman"/>
          <w:bCs/>
          <w:sz w:val="32"/>
          <w:szCs w:val="32"/>
          <w:lang w:eastAsia="zh-CN"/>
        </w:rPr>
        <w:t>符合法定</w:t>
      </w:r>
      <w:r>
        <w:rPr>
          <w:rFonts w:hint="eastAsia" w:ascii="Times New Roman" w:hAnsi="Times New Roman" w:eastAsia="仿宋_GB2312" w:cs="Times New Roman"/>
          <w:bCs/>
          <w:sz w:val="32"/>
          <w:szCs w:val="32"/>
        </w:rPr>
        <w:t>规划的</w:t>
      </w:r>
      <w:r>
        <w:rPr>
          <w:rFonts w:hint="eastAsia" w:ascii="Times New Roman" w:hAnsi="Times New Roman" w:eastAsia="仿宋_GB2312" w:cs="Times New Roman"/>
          <w:bCs/>
          <w:sz w:val="32"/>
          <w:szCs w:val="32"/>
          <w:lang w:eastAsia="zh-CN"/>
        </w:rPr>
        <w:t>规划</w:t>
      </w:r>
      <w:r>
        <w:rPr>
          <w:rFonts w:hint="eastAsia" w:ascii="Times New Roman" w:hAnsi="Times New Roman" w:eastAsia="仿宋_GB2312" w:cs="Times New Roman"/>
          <w:bCs/>
          <w:sz w:val="32"/>
          <w:szCs w:val="32"/>
        </w:rPr>
        <w:t>工业用地；</w:t>
      </w:r>
    </w:p>
    <w:p>
      <w:p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（三）其它需要划入一级控制线范围的工业用地。</w:t>
      </w:r>
    </w:p>
    <w:p>
      <w:p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原则上，以下情况可划入二级控制线范围：</w:t>
      </w:r>
    </w:p>
    <w:p>
      <w:pPr>
        <w:spacing w:line="560" w:lineRule="exact"/>
        <w:ind w:firstLine="640" w:firstLineChars="200"/>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（一）现状基础较好，</w:t>
      </w:r>
      <w:r>
        <w:rPr>
          <w:rFonts w:hint="eastAsia" w:ascii="Times New Roman" w:hAnsi="Times New Roman" w:eastAsia="仿宋_GB2312" w:cs="Times New Roman"/>
          <w:bCs/>
          <w:sz w:val="32"/>
          <w:szCs w:val="32"/>
          <w:lang w:eastAsia="zh-CN"/>
        </w:rPr>
        <w:t>近期</w:t>
      </w:r>
      <w:r>
        <w:rPr>
          <w:rFonts w:hint="eastAsia" w:ascii="Times New Roman" w:hAnsi="Times New Roman" w:eastAsia="仿宋_GB2312" w:cs="Times New Roman"/>
          <w:bCs/>
          <w:sz w:val="32"/>
          <w:szCs w:val="32"/>
        </w:rPr>
        <w:t>需保留的工业用地；</w:t>
      </w:r>
    </w:p>
    <w:p>
      <w:pPr>
        <w:spacing w:line="560" w:lineRule="exact"/>
        <w:ind w:firstLine="640" w:firstLineChars="200"/>
        <w:rPr>
          <w:rFonts w:ascii="Times New Roman" w:hAnsi="Times New Roman" w:eastAsia="楷体_GB2312" w:cs="Times New Roman"/>
          <w:bCs/>
          <w:color w:val="000000" w:themeColor="text1"/>
          <w:kern w:val="0"/>
          <w:sz w:val="32"/>
          <w:szCs w:val="32"/>
          <w14:textFill>
            <w14:solidFill>
              <w14:schemeClr w14:val="tx1"/>
            </w14:solidFill>
          </w14:textFill>
        </w:rPr>
      </w:pPr>
      <w:r>
        <w:rPr>
          <w:rFonts w:hint="eastAsia" w:ascii="Times New Roman" w:hAnsi="Times New Roman" w:eastAsia="仿宋_GB2312" w:cs="Times New Roman"/>
          <w:bCs/>
          <w:sz w:val="32"/>
          <w:szCs w:val="32"/>
        </w:rPr>
        <w:t>（二）其它需要划入二级控制线范围的工业用地。</w:t>
      </w:r>
    </w:p>
    <w:p>
      <w:pPr>
        <w:spacing w:line="560" w:lineRule="exact"/>
        <w:ind w:firstLine="640" w:firstLineChars="200"/>
        <w:rPr>
          <w:rFonts w:ascii="Times New Roman" w:hAnsi="Times New Roman" w:eastAsia="黑体" w:cs="Times New Roman"/>
          <w:bCs/>
          <w:color w:val="000000" w:themeColor="text1"/>
          <w:kern w:val="0"/>
          <w:sz w:val="32"/>
          <w:szCs w:val="32"/>
          <w14:textFill>
            <w14:solidFill>
              <w14:schemeClr w14:val="tx1"/>
            </w14:solidFill>
          </w14:textFill>
        </w:rPr>
      </w:pPr>
      <w:r>
        <w:rPr>
          <w:rFonts w:hint="eastAsia" w:ascii="Times New Roman" w:hAnsi="Times New Roman" w:eastAsia="黑体" w:cs="Times New Roman"/>
          <w:bCs/>
          <w:color w:val="000000" w:themeColor="text1"/>
          <w:kern w:val="0"/>
          <w:sz w:val="32"/>
          <w:szCs w:val="32"/>
          <w14:textFill>
            <w14:solidFill>
              <w14:schemeClr w14:val="tx1"/>
            </w14:solidFill>
          </w14:textFill>
        </w:rPr>
        <w:t>八、划定程序</w:t>
      </w:r>
    </w:p>
    <w:p>
      <w:pPr>
        <w:spacing w:line="560" w:lineRule="exact"/>
        <w:ind w:firstLine="640" w:firstLineChars="200"/>
        <w:rPr>
          <w:rFonts w:hint="eastAsia" w:ascii="Times New Roman" w:hAnsi="Times New Roman" w:eastAsia="仿宋_GB2312" w:cs="Times New Roman"/>
          <w:bCs/>
          <w:sz w:val="32"/>
          <w:szCs w:val="32"/>
          <w:lang w:eastAsia="zh-CN"/>
        </w:rPr>
      </w:pPr>
      <w:r>
        <w:rPr>
          <w:rFonts w:hint="eastAsia" w:ascii="Times New Roman" w:hAnsi="Times New Roman" w:eastAsia="仿宋_GB2312" w:cs="Times New Roman"/>
          <w:bCs/>
          <w:sz w:val="32"/>
          <w:szCs w:val="32"/>
          <w:lang w:eastAsia="zh-CN"/>
        </w:rPr>
        <w:t>（一）</w:t>
      </w:r>
      <w:r>
        <w:rPr>
          <w:rFonts w:hint="eastAsia" w:ascii="Times New Roman" w:hAnsi="Times New Roman" w:eastAsia="仿宋_GB2312" w:cs="Times New Roman"/>
          <w:bCs/>
          <w:sz w:val="32"/>
          <w:szCs w:val="32"/>
        </w:rPr>
        <w:t>各县（市、区）人民政府</w:t>
      </w:r>
      <w:r>
        <w:rPr>
          <w:rFonts w:hint="eastAsia" w:ascii="Times New Roman" w:hAnsi="Times New Roman" w:eastAsia="仿宋_GB2312" w:cs="Times New Roman"/>
          <w:bCs/>
          <w:sz w:val="32"/>
          <w:szCs w:val="32"/>
          <w:lang w:eastAsia="zh-CN"/>
        </w:rPr>
        <w:t>、金华开发区管委会</w:t>
      </w:r>
      <w:r>
        <w:rPr>
          <w:rFonts w:hint="eastAsia" w:ascii="Times New Roman" w:hAnsi="Times New Roman" w:eastAsia="仿宋_GB2312" w:cs="Times New Roman"/>
          <w:bCs/>
          <w:sz w:val="32"/>
          <w:szCs w:val="32"/>
        </w:rPr>
        <w:t>根据辖区工业用地总量规模，组织编制工业控制线专项规划，提出工业控制线划定方案</w:t>
      </w:r>
      <w:r>
        <w:rPr>
          <w:rFonts w:hint="eastAsia" w:ascii="Times New Roman" w:hAnsi="Times New Roman" w:eastAsia="仿宋_GB2312" w:cs="Times New Roman"/>
          <w:bCs/>
          <w:sz w:val="32"/>
          <w:szCs w:val="32"/>
          <w:lang w:eastAsia="zh-CN"/>
        </w:rPr>
        <w:t>。</w:t>
      </w:r>
    </w:p>
    <w:p>
      <w:pPr>
        <w:spacing w:line="56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（二）</w:t>
      </w:r>
      <w:r>
        <w:rPr>
          <w:rFonts w:hint="eastAsia" w:ascii="Times New Roman" w:hAnsi="Times New Roman" w:eastAsia="仿宋_GB2312" w:cs="Times New Roman"/>
          <w:bCs/>
          <w:color w:val="000000" w:themeColor="text1"/>
          <w:sz w:val="32"/>
          <w:szCs w:val="32"/>
          <w14:textFill>
            <w14:solidFill>
              <w14:schemeClr w14:val="tx1"/>
            </w14:solidFill>
          </w14:textFill>
        </w:rPr>
        <w:t>工业控制线专项规划和工业控制线划定方案</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由金华</w:t>
      </w:r>
      <w:r>
        <w:rPr>
          <w:rFonts w:hint="eastAsia" w:ascii="Times New Roman" w:hAnsi="Times New Roman" w:eastAsia="仿宋_GB2312" w:cs="Times New Roman"/>
          <w:bCs/>
          <w:color w:val="000000" w:themeColor="text1"/>
          <w:sz w:val="32"/>
          <w:szCs w:val="32"/>
          <w14:textFill>
            <w14:solidFill>
              <w14:schemeClr w14:val="tx1"/>
            </w14:solidFill>
          </w14:textFill>
        </w:rPr>
        <w:t>市自然资源主管部门会同</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金华</w:t>
      </w:r>
      <w:r>
        <w:rPr>
          <w:rFonts w:hint="eastAsia" w:ascii="Times New Roman" w:hAnsi="Times New Roman" w:eastAsia="仿宋_GB2312" w:cs="Times New Roman"/>
          <w:bCs/>
          <w:color w:val="000000" w:themeColor="text1"/>
          <w:sz w:val="32"/>
          <w:szCs w:val="32"/>
          <w14:textFill>
            <w14:solidFill>
              <w14:schemeClr w14:val="tx1"/>
            </w14:solidFill>
          </w14:textFill>
        </w:rPr>
        <w:t>市</w:t>
      </w:r>
      <w:r>
        <w:rPr>
          <w:rFonts w:hint="eastAsia" w:ascii="Times New Roman" w:hAnsi="Times New Roman" w:eastAsia="仿宋_GB2312" w:cs="Times New Roman"/>
          <w:sz w:val="32"/>
          <w:szCs w:val="32"/>
        </w:rPr>
        <w:t>工业和信息化</w:t>
      </w:r>
      <w:r>
        <w:rPr>
          <w:rFonts w:hint="eastAsia" w:ascii="Times New Roman" w:hAnsi="Times New Roman" w:eastAsia="仿宋_GB2312" w:cs="Times New Roman"/>
          <w:bCs/>
          <w:color w:val="000000" w:themeColor="text1"/>
          <w:sz w:val="32"/>
          <w:szCs w:val="32"/>
          <w14:textFill>
            <w14:solidFill>
              <w14:schemeClr w14:val="tx1"/>
            </w14:solidFill>
          </w14:textFill>
        </w:rPr>
        <w:t>主管部门审查</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（三）</w:t>
      </w:r>
      <w:r>
        <w:rPr>
          <w:rFonts w:hint="eastAsia" w:ascii="Times New Roman" w:hAnsi="Times New Roman" w:eastAsia="仿宋_GB2312" w:cs="Times New Roman"/>
          <w:bCs/>
          <w:color w:val="000000" w:themeColor="text1"/>
          <w:sz w:val="32"/>
          <w:szCs w:val="32"/>
          <w14:textFill>
            <w14:solidFill>
              <w14:schemeClr w14:val="tx1"/>
            </w14:solidFill>
          </w14:textFill>
        </w:rPr>
        <w:t>金华市区范围工业控制线专项规划和工业控制线划定方案由各区人民政府、金华开发区管委会报</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金华</w:t>
      </w:r>
      <w:r>
        <w:rPr>
          <w:rFonts w:hint="eastAsia" w:ascii="Times New Roman" w:hAnsi="Times New Roman" w:eastAsia="仿宋_GB2312" w:cs="Times New Roman"/>
          <w:bCs/>
          <w:color w:val="000000" w:themeColor="text1"/>
          <w:sz w:val="32"/>
          <w:szCs w:val="32"/>
          <w14:textFill>
            <w14:solidFill>
              <w14:schemeClr w14:val="tx1"/>
            </w14:solidFill>
          </w14:textFill>
        </w:rPr>
        <w:t>市</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人民</w:t>
      </w:r>
      <w:r>
        <w:rPr>
          <w:rFonts w:hint="eastAsia" w:ascii="Times New Roman" w:hAnsi="Times New Roman" w:eastAsia="仿宋_GB2312" w:cs="Times New Roman"/>
          <w:bCs/>
          <w:color w:val="000000" w:themeColor="text1"/>
          <w:sz w:val="32"/>
          <w:szCs w:val="32"/>
          <w14:textFill>
            <w14:solidFill>
              <w14:schemeClr w14:val="tx1"/>
            </w14:solidFill>
          </w14:textFill>
        </w:rPr>
        <w:t>政府批准</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后，纳入</w:t>
      </w:r>
      <w:r>
        <w:rPr>
          <w:rFonts w:hint="default" w:ascii="Times New Roman" w:hAnsi="Times New Roman" w:eastAsia="仿宋_GB2312" w:cs="Times New Roman"/>
          <w:bCs/>
          <w:color w:val="auto"/>
          <w:kern w:val="0"/>
          <w:sz w:val="32"/>
          <w:szCs w:val="32"/>
        </w:rPr>
        <w:t>国土空间规划“一张图”系统动态管理</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（四）</w:t>
      </w:r>
      <w:r>
        <w:rPr>
          <w:rFonts w:hint="eastAsia" w:ascii="Times New Roman" w:hAnsi="Times New Roman" w:eastAsia="仿宋_GB2312" w:cs="Times New Roman"/>
          <w:bCs/>
          <w:color w:val="000000" w:themeColor="text1"/>
          <w:sz w:val="32"/>
          <w:szCs w:val="32"/>
          <w14:textFill>
            <w14:solidFill>
              <w14:schemeClr w14:val="tx1"/>
            </w14:solidFill>
          </w14:textFill>
        </w:rPr>
        <w:t>各县（市）工业控制线划定方案</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经金华市人民政府同意后，随工业控制线专项规划报</w:t>
      </w:r>
      <w:r>
        <w:rPr>
          <w:rFonts w:hint="eastAsia" w:ascii="Times New Roman" w:hAnsi="Times New Roman" w:eastAsia="仿宋_GB2312" w:cs="Times New Roman"/>
          <w:bCs/>
          <w:color w:val="000000" w:themeColor="text1"/>
          <w:sz w:val="32"/>
          <w:szCs w:val="32"/>
          <w14:textFill>
            <w14:solidFill>
              <w14:schemeClr w14:val="tx1"/>
            </w14:solidFill>
          </w14:textFill>
        </w:rPr>
        <w:t>本级人民政府批准，</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并</w:t>
      </w:r>
      <w:r>
        <w:rPr>
          <w:rFonts w:hint="eastAsia" w:ascii="Times New Roman" w:hAnsi="Times New Roman" w:eastAsia="仿宋_GB2312" w:cs="Times New Roman"/>
          <w:bCs/>
          <w:color w:val="000000" w:themeColor="text1"/>
          <w:sz w:val="32"/>
          <w:szCs w:val="32"/>
          <w14:textFill>
            <w14:solidFill>
              <w14:schemeClr w14:val="tx1"/>
            </w14:solidFill>
          </w14:textFill>
        </w:rPr>
        <w:t>报</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金华市人民政府</w:t>
      </w:r>
      <w:r>
        <w:rPr>
          <w:rFonts w:hint="eastAsia" w:ascii="Times New Roman" w:hAnsi="Times New Roman" w:eastAsia="仿宋_GB2312" w:cs="Times New Roman"/>
          <w:bCs/>
          <w:color w:val="000000" w:themeColor="text1"/>
          <w:sz w:val="32"/>
          <w:szCs w:val="32"/>
          <w14:textFill>
            <w14:solidFill>
              <w14:schemeClr w14:val="tx1"/>
            </w14:solidFill>
          </w14:textFill>
        </w:rPr>
        <w:t>备案</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，纳入</w:t>
      </w:r>
      <w:r>
        <w:rPr>
          <w:rFonts w:hint="default" w:ascii="Times New Roman" w:hAnsi="Times New Roman" w:eastAsia="仿宋_GB2312" w:cs="Times New Roman"/>
          <w:bCs/>
          <w:color w:val="auto"/>
          <w:kern w:val="0"/>
          <w:sz w:val="32"/>
          <w:szCs w:val="32"/>
        </w:rPr>
        <w:t>国土空间规划“一张图”系统动态管理</w:t>
      </w:r>
      <w:r>
        <w:rPr>
          <w:rFonts w:hint="eastAsia" w:ascii="Times New Roman" w:hAnsi="Times New Roman" w:eastAsia="仿宋_GB2312" w:cs="Times New Roman"/>
          <w:bCs/>
          <w:color w:val="000000" w:themeColor="text1"/>
          <w:sz w:val="32"/>
          <w:szCs w:val="32"/>
          <w14:textFill>
            <w14:solidFill>
              <w14:schemeClr w14:val="tx1"/>
            </w14:solidFill>
          </w14:textFill>
        </w:rPr>
        <w:t>。</w:t>
      </w:r>
    </w:p>
    <w:p>
      <w:pPr>
        <w:spacing w:line="560" w:lineRule="exact"/>
        <w:ind w:firstLine="640" w:firstLineChars="200"/>
        <w:rPr>
          <w:rFonts w:hint="eastAsia"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（五）</w:t>
      </w:r>
      <w:r>
        <w:rPr>
          <w:rFonts w:hint="eastAsia" w:ascii="Times New Roman" w:hAnsi="Times New Roman" w:eastAsia="仿宋_GB2312" w:cs="Times New Roman"/>
          <w:bCs/>
          <w:color w:val="000000" w:themeColor="text1"/>
          <w:sz w:val="32"/>
          <w:szCs w:val="32"/>
          <w14:textFill>
            <w14:solidFill>
              <w14:schemeClr w14:val="tx1"/>
            </w14:solidFill>
          </w14:textFill>
        </w:rPr>
        <w:t>工业控制线专项规划和工业控制线划定方案报</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送审批前，应在县（市、区）人民政府、金华开发区管委会门户网站予以公告，公告期限不少于</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10日。</w:t>
      </w:r>
      <w:r>
        <w:rPr>
          <w:rFonts w:hint="default" w:ascii="Times New Roman" w:hAnsi="Times New Roman" w:eastAsia="仿宋_GB2312" w:cs="Times New Roman"/>
          <w:bCs/>
          <w:color w:val="auto"/>
          <w:sz w:val="32"/>
          <w:szCs w:val="32"/>
        </w:rPr>
        <w:t>各</w:t>
      </w:r>
      <w:r>
        <w:rPr>
          <w:rFonts w:hint="eastAsia" w:ascii="Times New Roman" w:hAnsi="Times New Roman" w:eastAsia="仿宋_GB2312" w:cs="Times New Roman"/>
          <w:bCs/>
          <w:sz w:val="32"/>
          <w:szCs w:val="32"/>
        </w:rPr>
        <w:t>县（市、区）</w:t>
      </w:r>
      <w:r>
        <w:rPr>
          <w:rFonts w:hint="default" w:ascii="Times New Roman" w:hAnsi="Times New Roman" w:eastAsia="仿宋_GB2312" w:cs="Times New Roman"/>
          <w:bCs/>
          <w:color w:val="auto"/>
          <w:sz w:val="32"/>
          <w:szCs w:val="32"/>
        </w:rPr>
        <w:t>人民政府、金华开发区管委会</w:t>
      </w:r>
      <w:r>
        <w:rPr>
          <w:rFonts w:hint="eastAsia" w:ascii="Times New Roman" w:hAnsi="Times New Roman" w:eastAsia="仿宋_GB2312" w:cs="Times New Roman"/>
          <w:bCs/>
          <w:color w:val="auto"/>
          <w:sz w:val="32"/>
          <w:szCs w:val="32"/>
          <w:lang w:eastAsia="zh-CN"/>
        </w:rPr>
        <w:t>应当自</w:t>
      </w:r>
      <w:r>
        <w:rPr>
          <w:rFonts w:hint="eastAsia" w:ascii="Times New Roman" w:hAnsi="Times New Roman" w:eastAsia="仿宋_GB2312" w:cs="Times New Roman"/>
          <w:bCs/>
          <w:color w:val="000000" w:themeColor="text1"/>
          <w:sz w:val="32"/>
          <w:szCs w:val="32"/>
          <w14:textFill>
            <w14:solidFill>
              <w14:schemeClr w14:val="tx1"/>
            </w14:solidFill>
          </w14:textFill>
        </w:rPr>
        <w:t>工业控制线专项规划和工业控制线划定方案</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经</w:t>
      </w:r>
      <w:r>
        <w:rPr>
          <w:rFonts w:hint="default" w:ascii="Times New Roman" w:hAnsi="Times New Roman" w:eastAsia="仿宋_GB2312" w:cs="Times New Roman"/>
          <w:bCs/>
          <w:color w:val="auto"/>
          <w:sz w:val="32"/>
          <w:szCs w:val="32"/>
        </w:rPr>
        <w:t>批准</w:t>
      </w:r>
      <w:r>
        <w:rPr>
          <w:rFonts w:hint="eastAsia" w:ascii="Times New Roman" w:hAnsi="Times New Roman" w:eastAsia="仿宋_GB2312" w:cs="Times New Roman"/>
          <w:bCs/>
          <w:color w:val="auto"/>
          <w:sz w:val="32"/>
          <w:szCs w:val="32"/>
          <w:lang w:eastAsia="zh-CN"/>
        </w:rPr>
        <w:t>之日起</w:t>
      </w:r>
      <w:r>
        <w:rPr>
          <w:rFonts w:hint="default" w:ascii="Times New Roman" w:hAnsi="Times New Roman" w:eastAsia="仿宋_GB2312" w:cs="Times New Roman"/>
          <w:bCs/>
          <w:color w:val="auto"/>
          <w:sz w:val="32"/>
          <w:szCs w:val="32"/>
        </w:rPr>
        <w:t>30日内，</w:t>
      </w:r>
      <w:r>
        <w:rPr>
          <w:rFonts w:hint="eastAsia" w:ascii="Times New Roman" w:hAnsi="Times New Roman" w:eastAsia="仿宋_GB2312" w:cs="Times New Roman"/>
          <w:bCs/>
          <w:color w:val="auto"/>
          <w:sz w:val="32"/>
          <w:szCs w:val="32"/>
          <w:lang w:eastAsia="zh-CN"/>
        </w:rPr>
        <w:t>将有关内容在</w:t>
      </w:r>
      <w:r>
        <w:rPr>
          <w:rFonts w:hint="eastAsia" w:ascii="Times New Roman" w:hAnsi="Times New Roman" w:eastAsia="仿宋_GB2312" w:cs="Times New Roman"/>
          <w:bCs/>
          <w:sz w:val="32"/>
          <w:szCs w:val="32"/>
        </w:rPr>
        <w:t>县（市、区）</w:t>
      </w:r>
      <w:r>
        <w:rPr>
          <w:rFonts w:hint="default" w:ascii="Times New Roman" w:hAnsi="Times New Roman" w:eastAsia="仿宋_GB2312" w:cs="Times New Roman"/>
          <w:bCs/>
          <w:color w:val="auto"/>
          <w:sz w:val="32"/>
          <w:szCs w:val="32"/>
        </w:rPr>
        <w:t>人民政府、金华开发区管委会门户网站</w:t>
      </w:r>
      <w:r>
        <w:rPr>
          <w:rFonts w:hint="eastAsia" w:ascii="Times New Roman" w:hAnsi="Times New Roman" w:eastAsia="仿宋_GB2312" w:cs="Times New Roman"/>
          <w:bCs/>
          <w:color w:val="auto"/>
          <w:sz w:val="32"/>
          <w:szCs w:val="32"/>
          <w:lang w:eastAsia="zh-CN"/>
        </w:rPr>
        <w:t>向社会</w:t>
      </w:r>
      <w:r>
        <w:rPr>
          <w:rFonts w:hint="default" w:ascii="Times New Roman" w:hAnsi="Times New Roman" w:eastAsia="仿宋_GB2312" w:cs="Times New Roman"/>
          <w:bCs/>
          <w:color w:val="auto"/>
          <w:sz w:val="32"/>
          <w:szCs w:val="32"/>
        </w:rPr>
        <w:t>公布</w:t>
      </w:r>
      <w:r>
        <w:rPr>
          <w:rFonts w:hint="eastAsia" w:ascii="Times New Roman" w:hAnsi="Times New Roman" w:eastAsia="仿宋_GB2312" w:cs="Times New Roman"/>
          <w:bCs/>
          <w:color w:val="auto"/>
          <w:sz w:val="32"/>
          <w:szCs w:val="32"/>
          <w:lang w:eastAsia="zh-CN"/>
        </w:rPr>
        <w:t>。</w:t>
      </w:r>
    </w:p>
    <w:p>
      <w:pPr>
        <w:spacing w:line="560" w:lineRule="exact"/>
        <w:ind w:firstLine="640" w:firstLineChars="200"/>
        <w:rPr>
          <w:rFonts w:ascii="Times New Roman" w:hAnsi="Times New Roman" w:eastAsia="黑体" w:cs="Times New Roman"/>
          <w:bCs/>
          <w:color w:val="000000" w:themeColor="text1"/>
          <w:kern w:val="0"/>
          <w:sz w:val="32"/>
          <w:szCs w:val="32"/>
          <w14:textFill>
            <w14:solidFill>
              <w14:schemeClr w14:val="tx1"/>
            </w14:solidFill>
          </w14:textFill>
        </w:rPr>
      </w:pPr>
      <w:r>
        <w:rPr>
          <w:rFonts w:hint="eastAsia" w:ascii="Times New Roman" w:hAnsi="Times New Roman" w:eastAsia="黑体" w:cs="Times New Roman"/>
          <w:bCs/>
          <w:color w:val="000000" w:themeColor="text1"/>
          <w:kern w:val="0"/>
          <w:sz w:val="32"/>
          <w:szCs w:val="32"/>
          <w14:textFill>
            <w14:solidFill>
              <w14:schemeClr w14:val="tx1"/>
            </w14:solidFill>
          </w14:textFill>
        </w:rPr>
        <w:t>九、调整要求</w:t>
      </w:r>
    </w:p>
    <w:p>
      <w:pPr>
        <w:spacing w:line="56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（一）</w:t>
      </w:r>
      <w:r>
        <w:rPr>
          <w:rFonts w:hint="eastAsia" w:ascii="Times New Roman" w:hAnsi="Times New Roman" w:eastAsia="仿宋_GB2312" w:cs="Times New Roman"/>
          <w:bCs/>
          <w:color w:val="000000" w:themeColor="text1"/>
          <w:sz w:val="32"/>
          <w:szCs w:val="32"/>
          <w14:textFill>
            <w14:solidFill>
              <w14:schemeClr w14:val="tx1"/>
            </w14:solidFill>
          </w14:textFill>
        </w:rPr>
        <w:t>一级控制线原则上不得调整，</w:t>
      </w:r>
      <w:r>
        <w:rPr>
          <w:rFonts w:ascii="Times New Roman" w:hAnsi="Times New Roman" w:eastAsia="仿宋_GB2312" w:cs="Times New Roman"/>
          <w:bCs/>
          <w:color w:val="000000" w:themeColor="text1"/>
          <w:sz w:val="32"/>
          <w:szCs w:val="32"/>
          <w14:textFill>
            <w14:solidFill>
              <w14:schemeClr w14:val="tx1"/>
            </w14:solidFill>
          </w14:textFill>
        </w:rPr>
        <w:t>确因</w:t>
      </w:r>
      <w:r>
        <w:rPr>
          <w:rFonts w:hint="eastAsia" w:ascii="Times New Roman" w:hAnsi="Times New Roman" w:eastAsia="仿宋_GB2312" w:cs="Times New Roman"/>
          <w:bCs/>
          <w:color w:val="000000" w:themeColor="text1"/>
          <w:sz w:val="32"/>
          <w:szCs w:val="32"/>
          <w14:textFill>
            <w14:solidFill>
              <w14:schemeClr w14:val="tx1"/>
            </w14:solidFill>
          </w14:textFill>
        </w:rPr>
        <w:t>上位规划变化或公共利益需要，</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需</w:t>
      </w:r>
      <w:r>
        <w:rPr>
          <w:rFonts w:hint="eastAsia" w:ascii="Times New Roman" w:hAnsi="Times New Roman" w:eastAsia="仿宋_GB2312" w:cs="Times New Roman"/>
          <w:bCs/>
          <w:color w:val="000000" w:themeColor="text1"/>
          <w:sz w:val="32"/>
          <w:szCs w:val="32"/>
          <w14:textFill>
            <w14:solidFill>
              <w14:schemeClr w14:val="tx1"/>
            </w14:solidFill>
          </w14:textFill>
        </w:rPr>
        <w:t>对一级控制线进行局部调整</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的</w:t>
      </w:r>
      <w:r>
        <w:rPr>
          <w:rFonts w:hint="eastAsia" w:ascii="Times New Roman" w:hAnsi="Times New Roman" w:eastAsia="仿宋_GB2312" w:cs="Times New Roman"/>
          <w:bCs/>
          <w:color w:val="000000" w:themeColor="text1"/>
          <w:sz w:val="32"/>
          <w:szCs w:val="32"/>
          <w14:textFill>
            <w14:solidFill>
              <w14:schemeClr w14:val="tx1"/>
            </w14:solidFill>
          </w14:textFill>
        </w:rPr>
        <w:t>，</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应</w:t>
      </w:r>
      <w:r>
        <w:rPr>
          <w:rFonts w:hint="eastAsia" w:ascii="Times New Roman" w:hAnsi="Times New Roman" w:eastAsia="仿宋_GB2312" w:cs="Times New Roman"/>
          <w:bCs/>
          <w:color w:val="000000" w:themeColor="text1"/>
          <w:sz w:val="32"/>
          <w:szCs w:val="32"/>
          <w14:textFill>
            <w14:solidFill>
              <w14:schemeClr w14:val="tx1"/>
            </w14:solidFill>
          </w14:textFill>
        </w:rPr>
        <w:t>严格落实“先补后占、占补平衡”要求</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sz w:val="32"/>
          <w:szCs w:val="32"/>
        </w:rPr>
        <w:t>调整后</w:t>
      </w:r>
      <w:r>
        <w:rPr>
          <w:rFonts w:hint="eastAsia" w:ascii="Times New Roman" w:hAnsi="Times New Roman" w:eastAsia="仿宋_GB2312" w:cs="Times New Roman"/>
          <w:sz w:val="32"/>
          <w:szCs w:val="32"/>
          <w:lang w:eastAsia="zh-CN"/>
        </w:rPr>
        <w:t>，工业控制线内</w:t>
      </w:r>
      <w:r>
        <w:rPr>
          <w:rFonts w:hint="eastAsia" w:ascii="Times New Roman" w:hAnsi="Times New Roman" w:eastAsia="仿宋_GB2312" w:cs="Times New Roman"/>
          <w:sz w:val="32"/>
          <w:szCs w:val="32"/>
        </w:rPr>
        <w:t>工业用地规模不得减少</w:t>
      </w:r>
      <w:r>
        <w:rPr>
          <w:rFonts w:hint="eastAsia" w:ascii="Times New Roman" w:hAnsi="Times New Roman" w:eastAsia="仿宋_GB2312" w:cs="Times New Roman"/>
          <w:bCs/>
          <w:color w:val="000000" w:themeColor="text1"/>
          <w:sz w:val="32"/>
          <w:szCs w:val="32"/>
          <w14:textFill>
            <w14:solidFill>
              <w14:schemeClr w14:val="tx1"/>
            </w14:solidFill>
          </w14:textFill>
        </w:rPr>
        <w:t>。</w:t>
      </w:r>
    </w:p>
    <w:p>
      <w:pPr>
        <w:spacing w:line="560" w:lineRule="exact"/>
        <w:ind w:firstLine="640" w:firstLineChars="200"/>
        <w:rPr>
          <w:rFonts w:hint="eastAsia"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（二）</w:t>
      </w:r>
      <w:r>
        <w:rPr>
          <w:rFonts w:hint="eastAsia" w:ascii="Times New Roman" w:hAnsi="Times New Roman" w:eastAsia="仿宋_GB2312" w:cs="Times New Roman"/>
          <w:bCs/>
          <w:color w:val="000000" w:themeColor="text1"/>
          <w:sz w:val="32"/>
          <w:szCs w:val="32"/>
          <w14:textFill>
            <w14:solidFill>
              <w14:schemeClr w14:val="tx1"/>
            </w14:solidFill>
          </w14:textFill>
        </w:rPr>
        <w:t>二级控制线不得随意调整，确需调整的，严格落实“</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占一补一</w:t>
      </w:r>
      <w:r>
        <w:rPr>
          <w:rFonts w:hint="eastAsia" w:ascii="Times New Roman" w:hAnsi="Times New Roman" w:eastAsia="仿宋_GB2312" w:cs="Times New Roman"/>
          <w:bCs/>
          <w:color w:val="000000" w:themeColor="text1"/>
          <w:sz w:val="32"/>
          <w:szCs w:val="32"/>
          <w14:textFill>
            <w14:solidFill>
              <w14:schemeClr w14:val="tx1"/>
            </w14:solidFill>
          </w14:textFill>
        </w:rPr>
        <w:t>、占补平衡”要求</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sz w:val="32"/>
          <w:szCs w:val="32"/>
        </w:rPr>
        <w:t>调整后</w:t>
      </w:r>
      <w:r>
        <w:rPr>
          <w:rFonts w:hint="eastAsia" w:ascii="Times New Roman" w:hAnsi="Times New Roman" w:eastAsia="仿宋_GB2312" w:cs="Times New Roman"/>
          <w:sz w:val="32"/>
          <w:szCs w:val="32"/>
          <w:lang w:eastAsia="zh-CN"/>
        </w:rPr>
        <w:t>，工业控制线内</w:t>
      </w:r>
      <w:r>
        <w:rPr>
          <w:rFonts w:hint="eastAsia" w:ascii="Times New Roman" w:hAnsi="Times New Roman" w:eastAsia="仿宋_GB2312" w:cs="Times New Roman"/>
          <w:sz w:val="32"/>
          <w:szCs w:val="32"/>
        </w:rPr>
        <w:t>工业用地规模不得减少</w:t>
      </w:r>
      <w:r>
        <w:rPr>
          <w:rFonts w:hint="eastAsia" w:ascii="Times New Roman" w:hAnsi="Times New Roman" w:eastAsia="仿宋_GB2312" w:cs="Times New Roman"/>
          <w:bCs/>
          <w:color w:val="000000" w:themeColor="text1"/>
          <w:sz w:val="32"/>
          <w:szCs w:val="32"/>
          <w14:textFill>
            <w14:solidFill>
              <w14:schemeClr w14:val="tx1"/>
            </w14:solidFill>
          </w14:textFill>
        </w:rPr>
        <w:t>。</w:t>
      </w:r>
    </w:p>
    <w:p>
      <w:pPr>
        <w:spacing w:line="560" w:lineRule="exact"/>
        <w:ind w:firstLine="640" w:firstLineChars="200"/>
        <w:rPr>
          <w:rFonts w:hint="eastAsia" w:ascii="Times New Roman" w:hAnsi="Times New Roman" w:eastAsia="仿宋_GB2312" w:cs="Times New Roman"/>
          <w:bCs/>
          <w:color w:val="000000" w:themeColor="text1"/>
          <w:sz w:val="32"/>
          <w:szCs w:val="32"/>
          <w:lang w:eastAsia="zh-CN"/>
          <w14:textFill>
            <w14:solidFill>
              <w14:schemeClr w14:val="tx1"/>
            </w14:solidFill>
          </w14:textFill>
        </w:rPr>
      </w:pP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（三）涉及现状工业用地（含控制线外现状工业用地）退出的，应严格落实先在控制线内补足的要求。调整后，现状工业用地规模不得减少。</w:t>
      </w:r>
    </w:p>
    <w:p>
      <w:pPr>
        <w:spacing w:line="560" w:lineRule="exact"/>
        <w:ind w:firstLine="640" w:firstLineChars="200"/>
        <w:rPr>
          <w:rFonts w:ascii="Times New Roman" w:hAnsi="Times New Roman" w:eastAsia="黑体" w:cs="Times New Roman"/>
          <w:bCs/>
          <w:color w:val="000000" w:themeColor="text1"/>
          <w:kern w:val="0"/>
          <w:sz w:val="32"/>
          <w:szCs w:val="32"/>
          <w14:textFill>
            <w14:solidFill>
              <w14:schemeClr w14:val="tx1"/>
            </w14:solidFill>
          </w14:textFill>
        </w:rPr>
      </w:pPr>
      <w:r>
        <w:rPr>
          <w:rFonts w:ascii="Times New Roman" w:hAnsi="Times New Roman" w:eastAsia="黑体" w:cs="Times New Roman"/>
          <w:bCs/>
          <w:color w:val="000000" w:themeColor="text1"/>
          <w:kern w:val="0"/>
          <w:sz w:val="32"/>
          <w:szCs w:val="32"/>
          <w14:textFill>
            <w14:solidFill>
              <w14:schemeClr w14:val="tx1"/>
            </w14:solidFill>
          </w14:textFill>
        </w:rPr>
        <w:t>十</w:t>
      </w:r>
      <w:r>
        <w:rPr>
          <w:rFonts w:hint="eastAsia" w:ascii="Times New Roman" w:hAnsi="Times New Roman" w:eastAsia="黑体" w:cs="Times New Roman"/>
          <w:bCs/>
          <w:color w:val="000000" w:themeColor="text1"/>
          <w:kern w:val="0"/>
          <w:sz w:val="32"/>
          <w:szCs w:val="32"/>
          <w14:textFill>
            <w14:solidFill>
              <w14:schemeClr w14:val="tx1"/>
            </w14:solidFill>
          </w14:textFill>
        </w:rPr>
        <w:t>、调整程序</w:t>
      </w:r>
    </w:p>
    <w:p>
      <w:pPr>
        <w:numPr>
          <w:ilvl w:val="255"/>
          <w:numId w:val="0"/>
        </w:numPr>
        <w:spacing w:line="560" w:lineRule="exact"/>
        <w:ind w:firstLine="640" w:firstLineChars="200"/>
        <w:rPr>
          <w:rFonts w:hint="eastAsia" w:ascii="Times New Roman" w:hAnsi="Times New Roman" w:eastAsia="仿宋_GB2312" w:cs="Times New Roman"/>
          <w:bCs/>
          <w:sz w:val="32"/>
          <w:szCs w:val="32"/>
          <w:lang w:eastAsia="zh-CN"/>
        </w:rPr>
      </w:pPr>
      <w:r>
        <w:rPr>
          <w:rFonts w:hint="eastAsia" w:ascii="Times New Roman" w:hAnsi="Times New Roman" w:eastAsia="仿宋_GB2312" w:cs="Times New Roman"/>
          <w:bCs/>
          <w:color w:val="auto"/>
          <w:sz w:val="32"/>
          <w:szCs w:val="32"/>
          <w:lang w:eastAsia="zh-CN"/>
        </w:rPr>
        <w:t>（一）</w:t>
      </w:r>
      <w:r>
        <w:rPr>
          <w:rFonts w:hint="eastAsia" w:ascii="Times New Roman" w:hAnsi="Times New Roman" w:eastAsia="仿宋_GB2312" w:cs="Times New Roman"/>
          <w:bCs/>
          <w:sz w:val="32"/>
          <w:szCs w:val="32"/>
          <w:lang w:eastAsia="zh-CN"/>
        </w:rPr>
        <w:t>一级控制线调整：</w:t>
      </w:r>
    </w:p>
    <w:p>
      <w:pPr>
        <w:numPr>
          <w:ilvl w:val="255"/>
          <w:numId w:val="0"/>
        </w:numPr>
        <w:spacing w:line="560" w:lineRule="exact"/>
        <w:ind w:firstLine="640" w:firstLineChars="200"/>
        <w:rPr>
          <w:rFonts w:hint="eastAsia" w:ascii="Times New Roman" w:hAnsi="Times New Roman" w:eastAsia="仿宋_GB2312" w:cs="Times New Roman"/>
          <w:bCs/>
          <w:color w:val="auto"/>
          <w:sz w:val="32"/>
          <w:szCs w:val="32"/>
          <w:lang w:eastAsia="zh-CN"/>
        </w:rPr>
      </w:pPr>
      <w:r>
        <w:rPr>
          <w:rFonts w:hint="eastAsia"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color w:val="auto"/>
          <w:sz w:val="32"/>
          <w:szCs w:val="32"/>
        </w:rPr>
        <w:t>各</w:t>
      </w:r>
      <w:r>
        <w:rPr>
          <w:rFonts w:hint="eastAsia" w:ascii="Times New Roman" w:hAnsi="Times New Roman" w:eastAsia="仿宋_GB2312" w:cs="Times New Roman"/>
          <w:bCs/>
          <w:sz w:val="32"/>
          <w:szCs w:val="32"/>
        </w:rPr>
        <w:t>县（市、区）</w:t>
      </w:r>
      <w:r>
        <w:rPr>
          <w:rFonts w:hint="default" w:ascii="Times New Roman" w:hAnsi="Times New Roman" w:eastAsia="仿宋_GB2312" w:cs="Times New Roman"/>
          <w:bCs/>
          <w:color w:val="auto"/>
          <w:sz w:val="32"/>
          <w:szCs w:val="32"/>
        </w:rPr>
        <w:t>人民政府、金华开发区管委会</w:t>
      </w:r>
      <w:r>
        <w:rPr>
          <w:rFonts w:hint="eastAsia" w:ascii="Times New Roman" w:hAnsi="Times New Roman" w:eastAsia="仿宋_GB2312" w:cs="Times New Roman"/>
          <w:bCs/>
          <w:color w:val="auto"/>
          <w:sz w:val="32"/>
          <w:szCs w:val="32"/>
          <w:lang w:eastAsia="zh-CN"/>
        </w:rPr>
        <w:t>提出工业控制线</w:t>
      </w:r>
      <w:r>
        <w:rPr>
          <w:rFonts w:hint="default" w:ascii="Times New Roman" w:hAnsi="Times New Roman" w:eastAsia="仿宋_GB2312" w:cs="Times New Roman"/>
          <w:bCs/>
          <w:color w:val="auto"/>
          <w:sz w:val="32"/>
          <w:szCs w:val="32"/>
        </w:rPr>
        <w:t>调整方案</w:t>
      </w:r>
      <w:r>
        <w:rPr>
          <w:rFonts w:hint="eastAsia" w:ascii="Times New Roman" w:hAnsi="Times New Roman" w:eastAsia="仿宋_GB2312" w:cs="Times New Roman"/>
          <w:bCs/>
          <w:color w:val="auto"/>
          <w:sz w:val="32"/>
          <w:szCs w:val="32"/>
          <w:lang w:eastAsia="zh-CN"/>
        </w:rPr>
        <w:t>。</w:t>
      </w:r>
    </w:p>
    <w:p>
      <w:pPr>
        <w:numPr>
          <w:ilvl w:val="255"/>
          <w:numId w:val="0"/>
        </w:numPr>
        <w:spacing w:line="560" w:lineRule="exact"/>
        <w:ind w:firstLine="640" w:firstLineChars="200"/>
        <w:rPr>
          <w:rFonts w:hint="eastAsia" w:ascii="Times New Roman" w:hAnsi="Times New Roman" w:eastAsia="仿宋_GB2312" w:cs="Times New Roman"/>
          <w:bCs/>
          <w:color w:val="auto"/>
          <w:sz w:val="32"/>
          <w:szCs w:val="32"/>
          <w:lang w:eastAsia="zh-CN"/>
        </w:rPr>
      </w:pPr>
      <w:r>
        <w:rPr>
          <w:rFonts w:hint="eastAsia" w:ascii="Times New Roman" w:hAnsi="Times New Roman" w:eastAsia="仿宋_GB2312" w:cs="Times New Roman"/>
          <w:bCs/>
          <w:color w:val="auto"/>
          <w:sz w:val="32"/>
          <w:szCs w:val="32"/>
          <w:lang w:val="en-US" w:eastAsia="zh-CN"/>
        </w:rPr>
        <w:t>2.</w:t>
      </w:r>
      <w:r>
        <w:rPr>
          <w:rFonts w:hint="default" w:ascii="Times New Roman" w:hAnsi="Times New Roman" w:eastAsia="仿宋_GB2312" w:cs="Times New Roman"/>
          <w:bCs/>
          <w:color w:val="auto"/>
          <w:sz w:val="32"/>
          <w:szCs w:val="32"/>
        </w:rPr>
        <w:t>调整方案</w:t>
      </w:r>
      <w:r>
        <w:rPr>
          <w:rFonts w:hint="eastAsia" w:ascii="Times New Roman" w:hAnsi="Times New Roman" w:eastAsia="仿宋_GB2312" w:cs="Times New Roman"/>
          <w:bCs/>
          <w:color w:val="auto"/>
          <w:sz w:val="32"/>
          <w:szCs w:val="32"/>
          <w:lang w:eastAsia="zh-CN"/>
        </w:rPr>
        <w:t>由金华</w:t>
      </w:r>
      <w:r>
        <w:rPr>
          <w:rFonts w:hint="default" w:ascii="Times New Roman" w:hAnsi="Times New Roman" w:eastAsia="仿宋_GB2312" w:cs="Times New Roman"/>
          <w:bCs/>
          <w:color w:val="auto"/>
          <w:sz w:val="32"/>
          <w:szCs w:val="32"/>
        </w:rPr>
        <w:t>市自然资源主管部门</w:t>
      </w:r>
      <w:r>
        <w:rPr>
          <w:rFonts w:hint="eastAsia" w:ascii="Times New Roman" w:hAnsi="Times New Roman" w:eastAsia="仿宋_GB2312" w:cs="Times New Roman"/>
          <w:bCs/>
          <w:color w:val="auto"/>
          <w:sz w:val="32"/>
          <w:szCs w:val="32"/>
          <w:lang w:eastAsia="zh-CN"/>
        </w:rPr>
        <w:t>会同金华</w:t>
      </w:r>
      <w:r>
        <w:rPr>
          <w:rFonts w:hint="default" w:ascii="Times New Roman" w:hAnsi="Times New Roman" w:eastAsia="仿宋_GB2312" w:cs="Times New Roman"/>
          <w:bCs/>
          <w:color w:val="auto"/>
          <w:sz w:val="32"/>
          <w:szCs w:val="32"/>
          <w:lang w:eastAsia="zh-CN"/>
        </w:rPr>
        <w:t>市</w:t>
      </w:r>
      <w:r>
        <w:rPr>
          <w:rFonts w:hint="default" w:ascii="Times New Roman" w:hAnsi="Times New Roman" w:eastAsia="仿宋_GB2312" w:cs="Times New Roman"/>
          <w:bCs/>
          <w:color w:val="auto"/>
          <w:sz w:val="32"/>
          <w:szCs w:val="32"/>
        </w:rPr>
        <w:t>工业和信息化主管部门审查</w:t>
      </w:r>
      <w:r>
        <w:rPr>
          <w:rFonts w:hint="eastAsia" w:ascii="Times New Roman" w:hAnsi="Times New Roman" w:eastAsia="仿宋_GB2312" w:cs="Times New Roman"/>
          <w:bCs/>
          <w:color w:val="auto"/>
          <w:sz w:val="32"/>
          <w:szCs w:val="32"/>
          <w:lang w:eastAsia="zh-CN"/>
        </w:rPr>
        <w:t>。</w:t>
      </w:r>
    </w:p>
    <w:p>
      <w:pPr>
        <w:numPr>
          <w:ilvl w:val="255"/>
          <w:numId w:val="0"/>
        </w:numPr>
        <w:spacing w:line="560" w:lineRule="exact"/>
        <w:ind w:firstLine="640" w:firstLineChars="200"/>
        <w:rPr>
          <w:rFonts w:hint="eastAsia"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auto"/>
          <w:sz w:val="32"/>
          <w:szCs w:val="32"/>
          <w:lang w:val="en-US" w:eastAsia="zh-CN"/>
        </w:rPr>
        <w:t>3.</w:t>
      </w:r>
      <w:r>
        <w:rPr>
          <w:rFonts w:hint="eastAsia" w:ascii="Times New Roman" w:hAnsi="Times New Roman" w:eastAsia="仿宋_GB2312" w:cs="Times New Roman"/>
          <w:bCs/>
          <w:color w:val="000000" w:themeColor="text1"/>
          <w:sz w:val="32"/>
          <w:szCs w:val="32"/>
          <w14:textFill>
            <w14:solidFill>
              <w14:schemeClr w14:val="tx1"/>
            </w14:solidFill>
          </w14:textFill>
        </w:rPr>
        <w:t>各</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县（市、</w:t>
      </w:r>
      <w:r>
        <w:rPr>
          <w:rFonts w:hint="eastAsia" w:ascii="Times New Roman" w:hAnsi="Times New Roman" w:eastAsia="仿宋_GB2312" w:cs="Times New Roman"/>
          <w:bCs/>
          <w:color w:val="000000" w:themeColor="text1"/>
          <w:sz w:val="32"/>
          <w:szCs w:val="32"/>
          <w14:textFill>
            <w14:solidFill>
              <w14:schemeClr w14:val="tx1"/>
            </w14:solidFill>
          </w14:textFill>
        </w:rPr>
        <w:t>区</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人民政府、金华开发区管委会</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将经审查同意后的调整</w:t>
      </w:r>
      <w:r>
        <w:rPr>
          <w:rFonts w:hint="eastAsia" w:ascii="Times New Roman" w:hAnsi="Times New Roman" w:eastAsia="仿宋_GB2312" w:cs="Times New Roman"/>
          <w:bCs/>
          <w:color w:val="000000" w:themeColor="text1"/>
          <w:sz w:val="32"/>
          <w:szCs w:val="32"/>
          <w14:textFill>
            <w14:solidFill>
              <w14:schemeClr w14:val="tx1"/>
            </w14:solidFill>
          </w14:textFill>
        </w:rPr>
        <w:t>方案报</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金华</w:t>
      </w:r>
      <w:r>
        <w:rPr>
          <w:rFonts w:hint="eastAsia" w:ascii="Times New Roman" w:hAnsi="Times New Roman" w:eastAsia="仿宋_GB2312" w:cs="Times New Roman"/>
          <w:bCs/>
          <w:color w:val="000000" w:themeColor="text1"/>
          <w:sz w:val="32"/>
          <w:szCs w:val="32"/>
          <w14:textFill>
            <w14:solidFill>
              <w14:schemeClr w14:val="tx1"/>
            </w14:solidFill>
          </w14:textFill>
        </w:rPr>
        <w:t>市</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人民</w:t>
      </w:r>
      <w:r>
        <w:rPr>
          <w:rFonts w:hint="eastAsia" w:ascii="Times New Roman" w:hAnsi="Times New Roman" w:eastAsia="仿宋_GB2312" w:cs="Times New Roman"/>
          <w:bCs/>
          <w:color w:val="000000" w:themeColor="text1"/>
          <w:sz w:val="32"/>
          <w:szCs w:val="32"/>
          <w14:textFill>
            <w14:solidFill>
              <w14:schemeClr w14:val="tx1"/>
            </w14:solidFill>
          </w14:textFill>
        </w:rPr>
        <w:t>政府批准</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，并纳入</w:t>
      </w:r>
      <w:r>
        <w:rPr>
          <w:rFonts w:hint="default" w:ascii="Times New Roman" w:hAnsi="Times New Roman" w:eastAsia="仿宋_GB2312" w:cs="Times New Roman"/>
          <w:bCs/>
          <w:color w:val="auto"/>
          <w:kern w:val="0"/>
          <w:sz w:val="32"/>
          <w:szCs w:val="32"/>
        </w:rPr>
        <w:t>国土空间规划“一张图”系统动态管理</w:t>
      </w:r>
      <w:r>
        <w:rPr>
          <w:rFonts w:hint="eastAsia" w:ascii="Times New Roman" w:hAnsi="Times New Roman" w:eastAsia="仿宋_GB2312" w:cs="Times New Roman"/>
          <w:bCs/>
          <w:color w:val="000000" w:themeColor="text1"/>
          <w:sz w:val="32"/>
          <w:szCs w:val="32"/>
          <w14:textFill>
            <w14:solidFill>
              <w14:schemeClr w14:val="tx1"/>
            </w14:solidFill>
          </w14:textFill>
        </w:rPr>
        <w:t>。</w:t>
      </w:r>
    </w:p>
    <w:p>
      <w:pPr>
        <w:numPr>
          <w:ilvl w:val="255"/>
          <w:numId w:val="0"/>
        </w:numPr>
        <w:spacing w:line="560" w:lineRule="exact"/>
        <w:ind w:firstLine="640" w:firstLineChars="200"/>
        <w:rPr>
          <w:rFonts w:hint="eastAsia" w:ascii="Times New Roman" w:hAnsi="Times New Roman" w:eastAsia="仿宋_GB2312" w:cs="Times New Roman"/>
          <w:bCs/>
          <w:color w:val="auto"/>
          <w:sz w:val="32"/>
          <w:szCs w:val="32"/>
          <w:lang w:eastAsia="zh-CN"/>
        </w:rPr>
      </w:pP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4.</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调整</w:t>
      </w:r>
      <w:r>
        <w:rPr>
          <w:rFonts w:hint="eastAsia" w:ascii="Times New Roman" w:hAnsi="Times New Roman" w:eastAsia="仿宋_GB2312" w:cs="Times New Roman"/>
          <w:bCs/>
          <w:color w:val="000000" w:themeColor="text1"/>
          <w:sz w:val="32"/>
          <w:szCs w:val="32"/>
          <w14:textFill>
            <w14:solidFill>
              <w14:schemeClr w14:val="tx1"/>
            </w14:solidFill>
          </w14:textFill>
        </w:rPr>
        <w:t>方案报</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送审批前，应将草案在相应县（市、区）人民政府、金华开发区管委会门户网站予以公告，公告期限不少于</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10日。</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调整</w:t>
      </w:r>
      <w:r>
        <w:rPr>
          <w:rFonts w:hint="eastAsia" w:ascii="Times New Roman" w:hAnsi="Times New Roman" w:eastAsia="仿宋_GB2312" w:cs="Times New Roman"/>
          <w:bCs/>
          <w:color w:val="000000" w:themeColor="text1"/>
          <w:sz w:val="32"/>
          <w:szCs w:val="32"/>
          <w14:textFill>
            <w14:solidFill>
              <w14:schemeClr w14:val="tx1"/>
            </w14:solidFill>
          </w14:textFill>
        </w:rPr>
        <w:t>方案</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经</w:t>
      </w:r>
      <w:r>
        <w:rPr>
          <w:rFonts w:hint="default" w:ascii="Times New Roman" w:hAnsi="Times New Roman" w:eastAsia="仿宋_GB2312" w:cs="Times New Roman"/>
          <w:bCs/>
          <w:color w:val="auto"/>
          <w:sz w:val="32"/>
          <w:szCs w:val="32"/>
        </w:rPr>
        <w:t>批准</w:t>
      </w:r>
      <w:r>
        <w:rPr>
          <w:rFonts w:hint="eastAsia" w:ascii="Times New Roman" w:hAnsi="Times New Roman" w:eastAsia="仿宋_GB2312" w:cs="Times New Roman"/>
          <w:bCs/>
          <w:color w:val="auto"/>
          <w:sz w:val="32"/>
          <w:szCs w:val="32"/>
          <w:lang w:eastAsia="zh-CN"/>
        </w:rPr>
        <w:t>之日起</w:t>
      </w:r>
      <w:r>
        <w:rPr>
          <w:rFonts w:hint="default" w:ascii="Times New Roman" w:hAnsi="Times New Roman" w:eastAsia="仿宋_GB2312" w:cs="Times New Roman"/>
          <w:bCs/>
          <w:color w:val="auto"/>
          <w:sz w:val="32"/>
          <w:szCs w:val="32"/>
        </w:rPr>
        <w:t>30日内，</w:t>
      </w:r>
      <w:r>
        <w:rPr>
          <w:rFonts w:hint="eastAsia" w:ascii="Times New Roman" w:hAnsi="Times New Roman" w:eastAsia="仿宋_GB2312" w:cs="Times New Roman"/>
          <w:bCs/>
          <w:color w:val="auto"/>
          <w:sz w:val="32"/>
          <w:szCs w:val="32"/>
          <w:lang w:eastAsia="zh-CN"/>
        </w:rPr>
        <w:t>将有关内容在相应</w:t>
      </w:r>
      <w:r>
        <w:rPr>
          <w:rFonts w:hint="eastAsia" w:ascii="Times New Roman" w:hAnsi="Times New Roman" w:eastAsia="仿宋_GB2312" w:cs="Times New Roman"/>
          <w:bCs/>
          <w:sz w:val="32"/>
          <w:szCs w:val="32"/>
        </w:rPr>
        <w:t>县（市、区）</w:t>
      </w:r>
      <w:r>
        <w:rPr>
          <w:rFonts w:hint="default" w:ascii="Times New Roman" w:hAnsi="Times New Roman" w:eastAsia="仿宋_GB2312" w:cs="Times New Roman"/>
          <w:bCs/>
          <w:color w:val="auto"/>
          <w:sz w:val="32"/>
          <w:szCs w:val="32"/>
        </w:rPr>
        <w:t>人民政府、金华开发区管委会门户网站</w:t>
      </w:r>
      <w:r>
        <w:rPr>
          <w:rFonts w:hint="eastAsia" w:ascii="Times New Roman" w:hAnsi="Times New Roman" w:eastAsia="仿宋_GB2312" w:cs="Times New Roman"/>
          <w:bCs/>
          <w:color w:val="auto"/>
          <w:sz w:val="32"/>
          <w:szCs w:val="32"/>
          <w:lang w:eastAsia="zh-CN"/>
        </w:rPr>
        <w:t>向社会</w:t>
      </w:r>
      <w:r>
        <w:rPr>
          <w:rFonts w:hint="default" w:ascii="Times New Roman" w:hAnsi="Times New Roman" w:eastAsia="仿宋_GB2312" w:cs="Times New Roman"/>
          <w:bCs/>
          <w:color w:val="auto"/>
          <w:sz w:val="32"/>
          <w:szCs w:val="32"/>
        </w:rPr>
        <w:t>公布</w:t>
      </w:r>
      <w:r>
        <w:rPr>
          <w:rFonts w:hint="eastAsia" w:ascii="Times New Roman" w:hAnsi="Times New Roman" w:eastAsia="仿宋_GB2312" w:cs="Times New Roman"/>
          <w:bCs/>
          <w:color w:val="auto"/>
          <w:sz w:val="32"/>
          <w:szCs w:val="32"/>
          <w:lang w:eastAsia="zh-CN"/>
        </w:rPr>
        <w:t>。</w:t>
      </w:r>
    </w:p>
    <w:p>
      <w:pPr>
        <w:numPr>
          <w:ilvl w:val="255"/>
          <w:numId w:val="0"/>
        </w:numPr>
        <w:spacing w:line="560" w:lineRule="exact"/>
        <w:ind w:firstLine="640" w:firstLineChars="200"/>
        <w:rPr>
          <w:rFonts w:hint="eastAsia" w:ascii="Times New Roman" w:hAnsi="Times New Roman" w:eastAsia="仿宋_GB2312" w:cs="Times New Roman"/>
          <w:bCs/>
          <w:sz w:val="32"/>
          <w:szCs w:val="32"/>
          <w:lang w:eastAsia="zh-CN"/>
        </w:rPr>
      </w:pPr>
      <w:r>
        <w:rPr>
          <w:rFonts w:hint="eastAsia" w:ascii="Times New Roman" w:hAnsi="Times New Roman" w:eastAsia="仿宋_GB2312" w:cs="Times New Roman"/>
          <w:bCs/>
          <w:sz w:val="32"/>
          <w:szCs w:val="32"/>
          <w:lang w:eastAsia="zh-CN"/>
        </w:rPr>
        <w:t>（二）二级控制线调整：</w:t>
      </w:r>
    </w:p>
    <w:p>
      <w:pPr>
        <w:numPr>
          <w:ilvl w:val="255"/>
          <w:numId w:val="0"/>
        </w:numPr>
        <w:spacing w:line="560" w:lineRule="exact"/>
        <w:ind w:firstLine="640" w:firstLineChars="200"/>
        <w:rPr>
          <w:rFonts w:hint="eastAsia" w:ascii="Times New Roman" w:hAnsi="Times New Roman" w:eastAsia="仿宋_GB2312" w:cs="Times New Roman"/>
          <w:bCs/>
          <w:color w:val="auto"/>
          <w:sz w:val="32"/>
          <w:szCs w:val="32"/>
          <w:lang w:eastAsia="zh-CN"/>
        </w:rPr>
      </w:pPr>
      <w:r>
        <w:rPr>
          <w:rFonts w:hint="eastAsia" w:ascii="Times New Roman" w:hAnsi="Times New Roman" w:eastAsia="仿宋_GB2312" w:cs="Times New Roman"/>
          <w:bCs/>
          <w:sz w:val="32"/>
          <w:szCs w:val="32"/>
          <w:lang w:val="en-US" w:eastAsia="zh-CN"/>
        </w:rPr>
        <w:t>1.</w:t>
      </w:r>
      <w:r>
        <w:rPr>
          <w:rFonts w:hint="default" w:ascii="Times New Roman" w:hAnsi="Times New Roman" w:eastAsia="仿宋_GB2312" w:cs="Times New Roman"/>
          <w:bCs/>
          <w:color w:val="auto"/>
          <w:sz w:val="32"/>
          <w:szCs w:val="32"/>
        </w:rPr>
        <w:t>调整方案</w:t>
      </w:r>
      <w:r>
        <w:rPr>
          <w:rFonts w:hint="eastAsia" w:ascii="Times New Roman" w:hAnsi="Times New Roman" w:eastAsia="仿宋_GB2312" w:cs="Times New Roman"/>
          <w:bCs/>
          <w:color w:val="auto"/>
          <w:sz w:val="32"/>
          <w:szCs w:val="32"/>
          <w:lang w:eastAsia="zh-CN"/>
        </w:rPr>
        <w:t>由</w:t>
      </w:r>
      <w:r>
        <w:rPr>
          <w:rFonts w:hint="default" w:ascii="Times New Roman" w:hAnsi="Times New Roman" w:eastAsia="仿宋_GB2312" w:cs="Times New Roman"/>
          <w:bCs/>
          <w:color w:val="auto"/>
          <w:sz w:val="32"/>
          <w:szCs w:val="32"/>
        </w:rPr>
        <w:t>各</w:t>
      </w:r>
      <w:r>
        <w:rPr>
          <w:rFonts w:hint="eastAsia" w:ascii="Times New Roman" w:hAnsi="Times New Roman" w:eastAsia="仿宋_GB2312" w:cs="Times New Roman"/>
          <w:bCs/>
          <w:sz w:val="32"/>
          <w:szCs w:val="32"/>
        </w:rPr>
        <w:t>县（市、区）</w:t>
      </w:r>
      <w:r>
        <w:rPr>
          <w:rFonts w:hint="default" w:ascii="Times New Roman" w:hAnsi="Times New Roman" w:eastAsia="仿宋_GB2312" w:cs="Times New Roman"/>
          <w:bCs/>
          <w:color w:val="auto"/>
          <w:sz w:val="32"/>
          <w:szCs w:val="32"/>
        </w:rPr>
        <w:t>人民政府、金华开发区管委会</w:t>
      </w:r>
      <w:r>
        <w:rPr>
          <w:rFonts w:hint="eastAsia" w:ascii="Times New Roman" w:hAnsi="Times New Roman" w:eastAsia="仿宋_GB2312" w:cs="Times New Roman"/>
          <w:bCs/>
          <w:color w:val="auto"/>
          <w:sz w:val="32"/>
          <w:szCs w:val="32"/>
          <w:lang w:eastAsia="zh-CN"/>
        </w:rPr>
        <w:t>批准</w:t>
      </w:r>
      <w:r>
        <w:rPr>
          <w:rFonts w:hint="eastAsia" w:ascii="Times New Roman" w:hAnsi="Times New Roman" w:eastAsia="仿宋_GB2312" w:cs="Times New Roman"/>
          <w:bCs/>
          <w:color w:val="auto"/>
          <w:sz w:val="32"/>
          <w:szCs w:val="32"/>
          <w:lang w:val="en-US" w:eastAsia="zh-CN"/>
        </w:rPr>
        <w:t>，</w:t>
      </w:r>
      <w:r>
        <w:rPr>
          <w:rFonts w:hint="eastAsia" w:ascii="Times New Roman" w:hAnsi="Times New Roman" w:eastAsia="仿宋_GB2312" w:cs="Times New Roman"/>
          <w:bCs/>
          <w:color w:val="auto"/>
          <w:sz w:val="32"/>
          <w:szCs w:val="32"/>
          <w:lang w:eastAsia="zh-CN"/>
        </w:rPr>
        <w:t>报金华市人民政府备案</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，并纳入</w:t>
      </w:r>
      <w:r>
        <w:rPr>
          <w:rFonts w:hint="default" w:ascii="Times New Roman" w:hAnsi="Times New Roman" w:eastAsia="仿宋_GB2312" w:cs="Times New Roman"/>
          <w:bCs/>
          <w:color w:val="auto"/>
          <w:kern w:val="0"/>
          <w:sz w:val="32"/>
          <w:szCs w:val="32"/>
        </w:rPr>
        <w:t>国土空间规划“一张图”系统动态管理</w:t>
      </w:r>
      <w:r>
        <w:rPr>
          <w:rFonts w:hint="eastAsia" w:ascii="Times New Roman" w:hAnsi="Times New Roman" w:eastAsia="仿宋_GB2312" w:cs="Times New Roman"/>
          <w:bCs/>
          <w:color w:val="auto"/>
          <w:sz w:val="32"/>
          <w:szCs w:val="32"/>
          <w:lang w:eastAsia="zh-CN"/>
        </w:rPr>
        <w:t>。</w:t>
      </w:r>
    </w:p>
    <w:p>
      <w:pPr>
        <w:numPr>
          <w:ilvl w:val="255"/>
          <w:numId w:val="0"/>
        </w:numPr>
        <w:spacing w:line="560" w:lineRule="exact"/>
        <w:ind w:firstLine="640" w:firstLineChars="200"/>
        <w:rPr>
          <w:rFonts w:ascii="Times New Roman" w:hAnsi="Times New Roman" w:eastAsia="黑体" w:cs="Times New Roman"/>
          <w:bCs/>
          <w:color w:val="000000" w:themeColor="text1"/>
          <w:kern w:val="0"/>
          <w:sz w:val="32"/>
          <w:szCs w:val="32"/>
          <w14:textFill>
            <w14:solidFill>
              <w14:schemeClr w14:val="tx1"/>
            </w14:solidFill>
          </w14:textFill>
        </w:rPr>
      </w:pPr>
      <w:r>
        <w:rPr>
          <w:rFonts w:hint="eastAsia" w:ascii="Times New Roman" w:hAnsi="Times New Roman" w:eastAsia="仿宋_GB2312" w:cs="Times New Roman"/>
          <w:bCs/>
          <w:color w:val="auto"/>
          <w:sz w:val="32"/>
          <w:szCs w:val="32"/>
          <w:lang w:val="en-US" w:eastAsia="zh-CN"/>
        </w:rPr>
        <w:t>2.</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调整</w:t>
      </w:r>
      <w:r>
        <w:rPr>
          <w:rFonts w:hint="eastAsia" w:ascii="Times New Roman" w:hAnsi="Times New Roman" w:eastAsia="仿宋_GB2312" w:cs="Times New Roman"/>
          <w:bCs/>
          <w:color w:val="000000" w:themeColor="text1"/>
          <w:sz w:val="32"/>
          <w:szCs w:val="32"/>
          <w14:textFill>
            <w14:solidFill>
              <w14:schemeClr w14:val="tx1"/>
            </w14:solidFill>
          </w14:textFill>
        </w:rPr>
        <w:t>方案报</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送审批前，应将草案在相应县（市、区）人民政府、金华开发区管委会门户网站予以公告，公告期限不少于</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10日。</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调整</w:t>
      </w:r>
      <w:r>
        <w:rPr>
          <w:rFonts w:hint="eastAsia" w:ascii="Times New Roman" w:hAnsi="Times New Roman" w:eastAsia="仿宋_GB2312" w:cs="Times New Roman"/>
          <w:bCs/>
          <w:color w:val="000000" w:themeColor="text1"/>
          <w:sz w:val="32"/>
          <w:szCs w:val="32"/>
          <w14:textFill>
            <w14:solidFill>
              <w14:schemeClr w14:val="tx1"/>
            </w14:solidFill>
          </w14:textFill>
        </w:rPr>
        <w:t>方案</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经</w:t>
      </w:r>
      <w:r>
        <w:rPr>
          <w:rFonts w:hint="default" w:ascii="Times New Roman" w:hAnsi="Times New Roman" w:eastAsia="仿宋_GB2312" w:cs="Times New Roman"/>
          <w:bCs/>
          <w:color w:val="auto"/>
          <w:sz w:val="32"/>
          <w:szCs w:val="32"/>
        </w:rPr>
        <w:t>批准</w:t>
      </w:r>
      <w:r>
        <w:rPr>
          <w:rFonts w:hint="eastAsia" w:ascii="Times New Roman" w:hAnsi="Times New Roman" w:eastAsia="仿宋_GB2312" w:cs="Times New Roman"/>
          <w:bCs/>
          <w:color w:val="auto"/>
          <w:sz w:val="32"/>
          <w:szCs w:val="32"/>
          <w:lang w:eastAsia="zh-CN"/>
        </w:rPr>
        <w:t>之日起</w:t>
      </w:r>
      <w:r>
        <w:rPr>
          <w:rFonts w:hint="default" w:ascii="Times New Roman" w:hAnsi="Times New Roman" w:eastAsia="仿宋_GB2312" w:cs="Times New Roman"/>
          <w:bCs/>
          <w:color w:val="auto"/>
          <w:sz w:val="32"/>
          <w:szCs w:val="32"/>
        </w:rPr>
        <w:t>30日内，</w:t>
      </w:r>
      <w:r>
        <w:rPr>
          <w:rFonts w:hint="eastAsia" w:ascii="Times New Roman" w:hAnsi="Times New Roman" w:eastAsia="仿宋_GB2312" w:cs="Times New Roman"/>
          <w:bCs/>
          <w:color w:val="auto"/>
          <w:sz w:val="32"/>
          <w:szCs w:val="32"/>
          <w:lang w:eastAsia="zh-CN"/>
        </w:rPr>
        <w:t>将有关内容在相应</w:t>
      </w:r>
      <w:r>
        <w:rPr>
          <w:rFonts w:hint="eastAsia" w:ascii="Times New Roman" w:hAnsi="Times New Roman" w:eastAsia="仿宋_GB2312" w:cs="Times New Roman"/>
          <w:bCs/>
          <w:sz w:val="32"/>
          <w:szCs w:val="32"/>
        </w:rPr>
        <w:t>县（市、区）</w:t>
      </w:r>
      <w:r>
        <w:rPr>
          <w:rFonts w:hint="default" w:ascii="Times New Roman" w:hAnsi="Times New Roman" w:eastAsia="仿宋_GB2312" w:cs="Times New Roman"/>
          <w:bCs/>
          <w:color w:val="auto"/>
          <w:sz w:val="32"/>
          <w:szCs w:val="32"/>
        </w:rPr>
        <w:t>人民政府、金华开发区管委会门户网站</w:t>
      </w:r>
      <w:r>
        <w:rPr>
          <w:rFonts w:hint="eastAsia" w:ascii="Times New Roman" w:hAnsi="Times New Roman" w:eastAsia="仿宋_GB2312" w:cs="Times New Roman"/>
          <w:bCs/>
          <w:color w:val="auto"/>
          <w:sz w:val="32"/>
          <w:szCs w:val="32"/>
          <w:lang w:eastAsia="zh-CN"/>
        </w:rPr>
        <w:t>向社会</w:t>
      </w:r>
      <w:r>
        <w:rPr>
          <w:rFonts w:hint="default" w:ascii="Times New Roman" w:hAnsi="Times New Roman" w:eastAsia="仿宋_GB2312" w:cs="Times New Roman"/>
          <w:bCs/>
          <w:color w:val="auto"/>
          <w:sz w:val="32"/>
          <w:szCs w:val="32"/>
        </w:rPr>
        <w:t>公布</w:t>
      </w:r>
      <w:r>
        <w:rPr>
          <w:rFonts w:hint="eastAsia" w:ascii="Times New Roman" w:hAnsi="Times New Roman" w:eastAsia="仿宋_GB2312" w:cs="Times New Roman"/>
          <w:bCs/>
          <w:color w:val="auto"/>
          <w:sz w:val="32"/>
          <w:szCs w:val="32"/>
          <w:lang w:eastAsia="zh-CN"/>
        </w:rPr>
        <w:t>。</w:t>
      </w:r>
    </w:p>
    <w:p>
      <w:pPr>
        <w:spacing w:line="560" w:lineRule="exact"/>
        <w:ind w:firstLine="640" w:firstLineChars="200"/>
        <w:rPr>
          <w:rFonts w:ascii="Times New Roman" w:hAnsi="Times New Roman" w:eastAsia="黑体" w:cs="Times New Roman"/>
          <w:bCs/>
          <w:color w:val="000000" w:themeColor="text1"/>
          <w:kern w:val="0"/>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（三）控制线内工业用地腾挪的，应及时在</w:t>
      </w:r>
      <w:r>
        <w:rPr>
          <w:rFonts w:hint="default" w:ascii="Times New Roman" w:hAnsi="Times New Roman" w:eastAsia="仿宋_GB2312" w:cs="Times New Roman"/>
          <w:bCs/>
          <w:color w:val="auto"/>
          <w:kern w:val="0"/>
          <w:sz w:val="32"/>
          <w:szCs w:val="32"/>
        </w:rPr>
        <w:t>国土空间规划“一张图”系统</w:t>
      </w:r>
      <w:r>
        <w:rPr>
          <w:rFonts w:hint="eastAsia" w:ascii="Times New Roman" w:hAnsi="Times New Roman" w:eastAsia="仿宋_GB2312" w:cs="Times New Roman"/>
          <w:bCs/>
          <w:color w:val="auto"/>
          <w:kern w:val="0"/>
          <w:sz w:val="32"/>
          <w:szCs w:val="32"/>
          <w:lang w:eastAsia="zh-CN"/>
        </w:rPr>
        <w:t>中</w:t>
      </w:r>
      <w:r>
        <w:rPr>
          <w:rFonts w:hint="default" w:ascii="Times New Roman" w:hAnsi="Times New Roman" w:eastAsia="仿宋_GB2312" w:cs="Times New Roman"/>
          <w:bCs/>
          <w:color w:val="auto"/>
          <w:kern w:val="0"/>
          <w:sz w:val="32"/>
          <w:szCs w:val="32"/>
        </w:rPr>
        <w:t>动态</w:t>
      </w:r>
      <w:r>
        <w:rPr>
          <w:rFonts w:hint="eastAsia" w:ascii="Times New Roman" w:hAnsi="Times New Roman" w:eastAsia="仿宋_GB2312" w:cs="Times New Roman"/>
          <w:bCs/>
          <w:color w:val="auto"/>
          <w:kern w:val="0"/>
          <w:sz w:val="32"/>
          <w:szCs w:val="32"/>
          <w:lang w:eastAsia="zh-CN"/>
        </w:rPr>
        <w:t>更新</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Times New Roman" w:hAnsi="Times New Roman" w:eastAsia="黑体" w:cs="Times New Roman"/>
          <w:kern w:val="0"/>
          <w:sz w:val="32"/>
          <w:szCs w:val="32"/>
          <w:lang w:eastAsia="zh-CN"/>
        </w:rPr>
      </w:pPr>
      <w:r>
        <w:rPr>
          <w:rFonts w:ascii="Times New Roman" w:hAnsi="Times New Roman" w:eastAsia="黑体" w:cs="Times New Roman"/>
          <w:kern w:val="0"/>
          <w:sz w:val="32"/>
          <w:szCs w:val="32"/>
        </w:rPr>
        <w:t>十</w:t>
      </w:r>
      <w:r>
        <w:rPr>
          <w:rFonts w:hint="eastAsia" w:ascii="Times New Roman" w:hAnsi="Times New Roman" w:eastAsia="黑体" w:cs="Times New Roman"/>
          <w:kern w:val="0"/>
          <w:sz w:val="32"/>
          <w:szCs w:val="32"/>
          <w:lang w:eastAsia="zh-CN"/>
        </w:rPr>
        <w:t>一</w:t>
      </w:r>
      <w:r>
        <w:rPr>
          <w:rFonts w:hint="eastAsia" w:ascii="Times New Roman" w:hAnsi="Times New Roman" w:eastAsia="黑体" w:cs="Times New Roman"/>
          <w:kern w:val="0"/>
          <w:sz w:val="32"/>
          <w:szCs w:val="32"/>
        </w:rPr>
        <w:t>、监督</w:t>
      </w:r>
      <w:r>
        <w:rPr>
          <w:rFonts w:hint="eastAsia" w:ascii="Times New Roman" w:hAnsi="Times New Roman" w:eastAsia="黑体" w:cs="Times New Roman"/>
          <w:kern w:val="0"/>
          <w:sz w:val="32"/>
          <w:szCs w:val="32"/>
          <w:lang w:eastAsia="zh-CN"/>
        </w:rPr>
        <w:t>考核</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金华</w:t>
      </w:r>
      <w:r>
        <w:rPr>
          <w:rFonts w:hint="eastAsia" w:ascii="Times New Roman" w:hAnsi="Times New Roman" w:eastAsia="仿宋_GB2312" w:cs="Times New Roman"/>
          <w:sz w:val="32"/>
          <w:szCs w:val="32"/>
        </w:rPr>
        <w:t>市自然资源主管部门会同</w:t>
      </w:r>
      <w:r>
        <w:rPr>
          <w:rFonts w:hint="eastAsia" w:ascii="Times New Roman" w:hAnsi="Times New Roman" w:eastAsia="仿宋_GB2312" w:cs="Times New Roman"/>
          <w:sz w:val="32"/>
          <w:szCs w:val="32"/>
          <w:lang w:eastAsia="zh-CN"/>
        </w:rPr>
        <w:t>金华</w:t>
      </w:r>
      <w:r>
        <w:rPr>
          <w:rFonts w:hint="eastAsia" w:ascii="Times New Roman" w:hAnsi="Times New Roman" w:eastAsia="仿宋_GB2312" w:cs="Times New Roman"/>
          <w:sz w:val="32"/>
          <w:szCs w:val="32"/>
        </w:rPr>
        <w:t>市工业和信息化主管部门</w:t>
      </w:r>
      <w:r>
        <w:rPr>
          <w:rFonts w:ascii="Times New Roman" w:hAnsi="Times New Roman" w:eastAsia="仿宋_GB2312" w:cs="Times New Roman"/>
          <w:sz w:val="32"/>
          <w:szCs w:val="32"/>
        </w:rPr>
        <w:t>每年对</w:t>
      </w:r>
      <w:r>
        <w:rPr>
          <w:rFonts w:hint="eastAsia" w:ascii="Times New Roman" w:hAnsi="Times New Roman" w:eastAsia="仿宋_GB2312" w:cs="Times New Roman"/>
          <w:sz w:val="32"/>
          <w:szCs w:val="32"/>
          <w:lang w:eastAsia="zh-CN"/>
        </w:rPr>
        <w:t>工业控制线管理工作</w:t>
      </w:r>
      <w:r>
        <w:rPr>
          <w:rFonts w:ascii="Times New Roman" w:hAnsi="Times New Roman" w:eastAsia="仿宋_GB2312" w:cs="Times New Roman"/>
          <w:sz w:val="32"/>
          <w:szCs w:val="32"/>
        </w:rPr>
        <w:t>进行</w:t>
      </w:r>
      <w:r>
        <w:rPr>
          <w:rFonts w:hint="eastAsia" w:ascii="Times New Roman" w:hAnsi="Times New Roman" w:eastAsia="仿宋_GB2312" w:cs="Times New Roman"/>
          <w:sz w:val="32"/>
          <w:szCs w:val="32"/>
          <w:lang w:eastAsia="zh-CN"/>
        </w:rPr>
        <w:t>考核，</w:t>
      </w:r>
      <w:r>
        <w:rPr>
          <w:rFonts w:hint="eastAsia" w:ascii="Times New Roman" w:hAnsi="Times New Roman" w:eastAsia="仿宋_GB2312" w:cs="Times New Roman"/>
          <w:bCs/>
          <w:color w:val="000000" w:themeColor="text1"/>
          <w:sz w:val="32"/>
          <w:szCs w:val="32"/>
          <w14:textFill>
            <w14:solidFill>
              <w14:schemeClr w14:val="tx1"/>
            </w14:solidFill>
          </w14:textFill>
        </w:rPr>
        <w:t>各</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县（市、</w:t>
      </w:r>
      <w:r>
        <w:rPr>
          <w:rFonts w:hint="eastAsia" w:ascii="Times New Roman" w:hAnsi="Times New Roman" w:eastAsia="仿宋_GB2312" w:cs="Times New Roman"/>
          <w:bCs/>
          <w:color w:val="000000" w:themeColor="text1"/>
          <w:sz w:val="32"/>
          <w:szCs w:val="32"/>
          <w14:textFill>
            <w14:solidFill>
              <w14:schemeClr w14:val="tx1"/>
            </w14:solidFill>
          </w14:textFill>
        </w:rPr>
        <w:t>区</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、金华开发区</w:t>
      </w:r>
      <w:r>
        <w:rPr>
          <w:rFonts w:hint="eastAsia" w:ascii="Times New Roman" w:hAnsi="Times New Roman" w:eastAsia="仿宋_GB2312" w:cs="Times New Roman"/>
          <w:bCs/>
          <w:color w:val="000000" w:themeColor="text1"/>
          <w:sz w:val="32"/>
          <w:szCs w:val="32"/>
          <w:lang w:eastAsia="zh-CN"/>
          <w14:textFill>
            <w14:solidFill>
              <w14:schemeClr w14:val="tx1"/>
            </w14:solidFill>
          </w14:textFill>
        </w:rPr>
        <w:t>应</w:t>
      </w:r>
      <w:r>
        <w:rPr>
          <w:rFonts w:hint="eastAsia" w:ascii="Times New Roman" w:hAnsi="Times New Roman" w:eastAsia="仿宋_GB2312" w:cs="Times New Roman"/>
          <w:sz w:val="32"/>
          <w:szCs w:val="32"/>
        </w:rPr>
        <w:t>对</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工业用地总量、分布情况，</w:t>
      </w:r>
      <w:r>
        <w:rPr>
          <w:rFonts w:hint="eastAsia" w:ascii="Times New Roman" w:hAnsi="Times New Roman" w:eastAsia="仿宋_GB2312" w:cs="Times New Roman"/>
          <w:sz w:val="32"/>
          <w:szCs w:val="32"/>
        </w:rPr>
        <w:t>工业用地调整</w:t>
      </w:r>
      <w:r>
        <w:rPr>
          <w:rFonts w:hint="eastAsia" w:ascii="Times New Roman" w:hAnsi="Times New Roman" w:eastAsia="仿宋_GB2312" w:cs="Times New Roman"/>
          <w:sz w:val="32"/>
          <w:szCs w:val="32"/>
          <w:lang w:eastAsia="zh-CN"/>
        </w:rPr>
        <w:t>腾挪</w:t>
      </w:r>
      <w:r>
        <w:rPr>
          <w:rFonts w:hint="eastAsia" w:ascii="Times New Roman" w:hAnsi="Times New Roman" w:eastAsia="仿宋_GB2312" w:cs="Times New Roman"/>
          <w:sz w:val="32"/>
          <w:szCs w:val="32"/>
        </w:rPr>
        <w:t>情况、占</w:t>
      </w:r>
      <w:r>
        <w:rPr>
          <w:rFonts w:hint="eastAsia" w:ascii="Times New Roman" w:hAnsi="Times New Roman" w:eastAsia="仿宋_GB2312" w:cs="Times New Roman"/>
          <w:sz w:val="32"/>
          <w:szCs w:val="32"/>
          <w:lang w:eastAsia="zh-CN"/>
        </w:rPr>
        <w:t>补</w:t>
      </w:r>
      <w:r>
        <w:rPr>
          <w:rFonts w:hint="eastAsia" w:ascii="Times New Roman" w:hAnsi="Times New Roman" w:eastAsia="仿宋_GB2312" w:cs="Times New Roman"/>
          <w:sz w:val="32"/>
          <w:szCs w:val="32"/>
        </w:rPr>
        <w:t>平衡等情况进行</w:t>
      </w:r>
      <w:r>
        <w:rPr>
          <w:rFonts w:hint="eastAsia" w:ascii="Times New Roman" w:hAnsi="Times New Roman" w:eastAsia="仿宋_GB2312" w:cs="Times New Roman"/>
          <w:sz w:val="32"/>
          <w:szCs w:val="32"/>
          <w:lang w:eastAsia="zh-CN"/>
        </w:rPr>
        <w:t>分析评价</w:t>
      </w:r>
      <w:r>
        <w:rPr>
          <w:rFonts w:hint="eastAsia" w:ascii="Times New Roman" w:hAnsi="Times New Roman" w:eastAsia="仿宋_GB2312" w:cs="Times New Roman"/>
          <w:sz w:val="32"/>
          <w:szCs w:val="32"/>
        </w:rPr>
        <w:t>，形成年度</w:t>
      </w:r>
      <w:r>
        <w:rPr>
          <w:rFonts w:hint="eastAsia" w:ascii="Times New Roman" w:hAnsi="Times New Roman" w:eastAsia="仿宋_GB2312" w:cs="Times New Roman"/>
          <w:sz w:val="32"/>
          <w:szCs w:val="32"/>
          <w:lang w:eastAsia="zh-CN"/>
        </w:rPr>
        <w:t>自评</w:t>
      </w:r>
      <w:r>
        <w:rPr>
          <w:rFonts w:hint="eastAsia" w:ascii="Times New Roman" w:hAnsi="Times New Roman" w:eastAsia="仿宋_GB2312" w:cs="Times New Roman"/>
          <w:sz w:val="32"/>
          <w:szCs w:val="32"/>
        </w:rPr>
        <w:t>报告。</w:t>
      </w:r>
    </w:p>
    <w:p>
      <w:pPr>
        <w:spacing w:line="56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各县（市、区）、金华开发区对工业控制线管理不力，造成控制线内工业用地总量减少的，由金华市人民政府下达整改通知，由属地政府、管委会在规定时间内补足工业用地。在未补足工业用地之前，各县（市、区）人民政府不得审批工业控制线调整事项，金华市人民政府不予审批工业控制线调整事项。</w:t>
      </w:r>
    </w:p>
    <w:p>
      <w:pPr>
        <w:spacing w:line="560" w:lineRule="exact"/>
        <w:ind w:firstLine="640" w:firstLineChars="200"/>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lang w:val="en-US" w:eastAsia="zh-CN"/>
        </w:rPr>
        <w:t>对于整改不力，没有按规定时间补足工业用地的</w:t>
      </w:r>
      <w:r>
        <w:rPr>
          <w:rFonts w:hint="eastAsia" w:ascii="Times New Roman" w:hAnsi="Times New Roman" w:eastAsia="仿宋_GB2312" w:cs="Times New Roman"/>
          <w:sz w:val="32"/>
          <w:szCs w:val="32"/>
          <w:highlight w:val="none"/>
          <w:lang w:eastAsia="zh-CN"/>
        </w:rPr>
        <w:t>县（市、区）人民政府、管委会，暂停</w:t>
      </w:r>
      <w:r>
        <w:rPr>
          <w:rFonts w:hint="eastAsia" w:ascii="Times New Roman" w:hAnsi="Times New Roman" w:eastAsia="仿宋_GB2312" w:cs="Times New Roman"/>
          <w:sz w:val="32"/>
          <w:szCs w:val="32"/>
          <w:highlight w:val="none"/>
          <w:lang w:val="en-US" w:eastAsia="zh-CN"/>
        </w:rPr>
        <w:t>规划额度审批、</w:t>
      </w:r>
      <w:r>
        <w:rPr>
          <w:rFonts w:hint="eastAsia" w:ascii="Times New Roman" w:hAnsi="Times New Roman" w:eastAsia="仿宋_GB2312" w:cs="Times New Roman"/>
          <w:sz w:val="32"/>
          <w:szCs w:val="32"/>
          <w:highlight w:val="none"/>
          <w:lang w:eastAsia="zh-CN"/>
        </w:rPr>
        <w:t>耕地占补平衡指标调剂和建设项目用地报批。</w:t>
      </w:r>
    </w:p>
    <w:p>
      <w:pPr>
        <w:spacing w:line="560" w:lineRule="exact"/>
        <w:ind w:firstLine="640" w:firstLineChars="200"/>
        <w:rPr>
          <w:rFonts w:ascii="Times New Roman" w:hAnsi="Times New Roman" w:eastAsia="黑体" w:cs="Times New Roman"/>
          <w:bCs/>
          <w:color w:val="000000" w:themeColor="text1"/>
          <w:kern w:val="0"/>
          <w:sz w:val="32"/>
          <w:szCs w:val="32"/>
          <w14:textFill>
            <w14:solidFill>
              <w14:schemeClr w14:val="tx1"/>
            </w14:solidFill>
          </w14:textFill>
        </w:rPr>
      </w:pPr>
      <w:r>
        <w:rPr>
          <w:rFonts w:ascii="Times New Roman" w:hAnsi="Times New Roman" w:eastAsia="黑体" w:cs="Times New Roman"/>
          <w:bCs/>
          <w:color w:val="000000" w:themeColor="text1"/>
          <w:kern w:val="0"/>
          <w:sz w:val="32"/>
          <w:szCs w:val="32"/>
          <w14:textFill>
            <w14:solidFill>
              <w14:schemeClr w14:val="tx1"/>
            </w14:solidFill>
          </w14:textFill>
        </w:rPr>
        <w:t>十</w:t>
      </w:r>
      <w:r>
        <w:rPr>
          <w:rFonts w:hint="eastAsia" w:ascii="Times New Roman" w:hAnsi="Times New Roman" w:eastAsia="黑体" w:cs="Times New Roman"/>
          <w:bCs/>
          <w:color w:val="000000" w:themeColor="text1"/>
          <w:kern w:val="0"/>
          <w:sz w:val="32"/>
          <w:szCs w:val="32"/>
          <w:lang w:eastAsia="zh-CN"/>
          <w14:textFill>
            <w14:solidFill>
              <w14:schemeClr w14:val="tx1"/>
            </w14:solidFill>
          </w14:textFill>
        </w:rPr>
        <w:t>二</w:t>
      </w:r>
      <w:r>
        <w:rPr>
          <w:rFonts w:hint="eastAsia" w:ascii="Times New Roman" w:hAnsi="Times New Roman" w:eastAsia="黑体" w:cs="Times New Roman"/>
          <w:bCs/>
          <w:color w:val="000000" w:themeColor="text1"/>
          <w:kern w:val="0"/>
          <w:sz w:val="32"/>
          <w:szCs w:val="32"/>
          <w14:textFill>
            <w14:solidFill>
              <w14:schemeClr w14:val="tx1"/>
            </w14:solidFill>
          </w14:textFill>
        </w:rPr>
        <w:t>、评估备案</w:t>
      </w:r>
    </w:p>
    <w:p>
      <w:pPr>
        <w:spacing w:line="560" w:lineRule="exact"/>
        <w:ind w:firstLine="640" w:firstLineChars="200"/>
        <w:rPr>
          <w:rFonts w:ascii="Times New Roman" w:hAnsi="Times New Roman" w:eastAsia="黑体" w:cs="Times New Roman"/>
          <w:kern w:val="0"/>
          <w:sz w:val="32"/>
          <w:szCs w:val="32"/>
        </w:rPr>
      </w:pPr>
      <w:r>
        <w:rPr>
          <w:rFonts w:hint="eastAsia" w:ascii="Times New Roman" w:hAnsi="Times New Roman" w:eastAsia="仿宋_GB2312" w:cs="Times New Roman"/>
          <w:bCs/>
          <w:color w:val="000000" w:themeColor="text1"/>
          <w:kern w:val="0"/>
          <w:sz w:val="32"/>
          <w:szCs w:val="32"/>
          <w14:textFill>
            <w14:solidFill>
              <w14:schemeClr w14:val="tx1"/>
            </w14:solidFill>
          </w14:textFill>
        </w:rPr>
        <w:t>各县（市、区）人民政府、金华开发区管委会</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应每三年</w:t>
      </w:r>
      <w:r>
        <w:rPr>
          <w:rFonts w:ascii="Times New Roman" w:hAnsi="Times New Roman" w:eastAsia="仿宋_GB2312" w:cs="Times New Roman"/>
          <w:bCs/>
          <w:color w:val="000000" w:themeColor="text1"/>
          <w:kern w:val="0"/>
          <w:sz w:val="32"/>
          <w:szCs w:val="32"/>
          <w14:textFill>
            <w14:solidFill>
              <w14:schemeClr w14:val="tx1"/>
            </w14:solidFill>
          </w14:textFill>
        </w:rPr>
        <w:t>对工业控制线管理工作进行整体评估</w:t>
      </w:r>
      <w:r>
        <w:rPr>
          <w:rFonts w:hint="eastAsia" w:ascii="Times New Roman" w:hAnsi="Times New Roman" w:eastAsia="仿宋_GB2312" w:cs="Times New Roman"/>
          <w:sz w:val="32"/>
          <w:szCs w:val="32"/>
        </w:rPr>
        <w:t>，</w:t>
      </w:r>
      <w:r>
        <w:rPr>
          <w:rFonts w:hint="eastAsia" w:ascii="Times New Roman" w:hAnsi="Times New Roman" w:eastAsia="仿宋_GB2312" w:cs="Times New Roman"/>
          <w:bCs/>
          <w:color w:val="000000" w:themeColor="text1"/>
          <w:kern w:val="0"/>
          <w:sz w:val="32"/>
          <w:szCs w:val="32"/>
          <w14:textFill>
            <w14:solidFill>
              <w14:schemeClr w14:val="tx1"/>
            </w14:solidFill>
          </w14:textFill>
        </w:rPr>
        <w:t>形成评估报告，</w:t>
      </w:r>
      <w:r>
        <w:rPr>
          <w:rFonts w:hint="eastAsia" w:ascii="Times New Roman" w:hAnsi="Times New Roman" w:eastAsia="仿宋_GB2312" w:cs="Times New Roman"/>
          <w:sz w:val="32"/>
          <w:szCs w:val="32"/>
        </w:rPr>
        <w:t>报</w:t>
      </w:r>
      <w:r>
        <w:rPr>
          <w:rFonts w:hint="eastAsia" w:ascii="Times New Roman" w:hAnsi="Times New Roman" w:eastAsia="仿宋_GB2312" w:cs="Times New Roman"/>
          <w:sz w:val="32"/>
          <w:szCs w:val="32"/>
          <w:lang w:eastAsia="zh-CN"/>
        </w:rPr>
        <w:t>金华</w:t>
      </w:r>
      <w:r>
        <w:rPr>
          <w:rFonts w:hint="eastAsia" w:ascii="Times New Roman" w:hAnsi="Times New Roman" w:eastAsia="仿宋_GB2312" w:cs="Times New Roman"/>
          <w:sz w:val="32"/>
          <w:szCs w:val="32"/>
        </w:rPr>
        <w:t>市自然资源主管部门</w:t>
      </w:r>
      <w:r>
        <w:rPr>
          <w:rFonts w:hint="eastAsia" w:ascii="Times New Roman" w:hAnsi="Times New Roman" w:eastAsia="仿宋_GB2312" w:cs="Times New Roman"/>
          <w:sz w:val="32"/>
          <w:szCs w:val="32"/>
          <w:lang w:eastAsia="zh-CN"/>
        </w:rPr>
        <w:t>、金华</w:t>
      </w:r>
      <w:r>
        <w:rPr>
          <w:rFonts w:hint="eastAsia" w:ascii="Times New Roman" w:hAnsi="Times New Roman" w:eastAsia="仿宋_GB2312" w:cs="Times New Roman"/>
          <w:sz w:val="32"/>
          <w:szCs w:val="32"/>
        </w:rPr>
        <w:t>市工业和信息化主管部门备案。</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根据评估结果，结合</w:t>
      </w:r>
      <w:r>
        <w:rPr>
          <w:rFonts w:ascii="Times New Roman" w:hAnsi="Times New Roman" w:eastAsia="仿宋_GB2312" w:cs="Times New Roman"/>
          <w:bCs/>
          <w:color w:val="000000" w:themeColor="text1"/>
          <w:kern w:val="0"/>
          <w:sz w:val="32"/>
          <w:szCs w:val="32"/>
          <w14:textFill>
            <w14:solidFill>
              <w14:schemeClr w14:val="tx1"/>
            </w14:solidFill>
          </w14:textFill>
        </w:rPr>
        <w:t>国民经济和社会发展规划</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、产业发展规划等要求</w:t>
      </w:r>
      <w:r>
        <w:rPr>
          <w:rFonts w:ascii="Times New Roman" w:hAnsi="Times New Roman" w:eastAsia="仿宋_GB2312" w:cs="Times New Roman"/>
          <w:bCs/>
          <w:color w:val="000000" w:themeColor="text1"/>
          <w:kern w:val="0"/>
          <w:sz w:val="32"/>
          <w:szCs w:val="32"/>
          <w14:textFill>
            <w14:solidFill>
              <w14:schemeClr w14:val="tx1"/>
            </w14:solidFill>
          </w14:textFill>
        </w:rPr>
        <w:t>，</w:t>
      </w:r>
      <w:r>
        <w:rPr>
          <w:rFonts w:hint="eastAsia" w:ascii="Times New Roman" w:hAnsi="Times New Roman" w:eastAsia="仿宋_GB2312" w:cs="Times New Roman"/>
          <w:bCs/>
          <w:color w:val="000000" w:themeColor="text1"/>
          <w:kern w:val="0"/>
          <w:sz w:val="32"/>
          <w:szCs w:val="32"/>
          <w:lang w:eastAsia="zh-CN"/>
          <w14:textFill>
            <w14:solidFill>
              <w14:schemeClr w14:val="tx1"/>
            </w14:solidFill>
          </w14:textFill>
        </w:rPr>
        <w:t>可对工业控制线划定方案进行修订</w:t>
      </w:r>
      <w:r>
        <w:rPr>
          <w:rFonts w:hint="eastAsia" w:ascii="Times New Roman" w:hAnsi="Times New Roman" w:eastAsia="仿宋_GB2312" w:cs="Times New Roman"/>
          <w:sz w:val="32"/>
          <w:szCs w:val="32"/>
        </w:rPr>
        <w:t>。</w:t>
      </w:r>
    </w:p>
    <w:p>
      <w:pPr>
        <w:spacing w:line="560" w:lineRule="exact"/>
        <w:ind w:firstLine="640" w:firstLineChars="200"/>
        <w:rPr>
          <w:rFonts w:hint="eastAsia" w:ascii="Times New Roman" w:hAnsi="Times New Roman" w:eastAsia="黑体" w:cs="Times New Roman"/>
          <w:bCs/>
          <w:color w:val="000000" w:themeColor="text1"/>
          <w:kern w:val="0"/>
          <w:sz w:val="32"/>
          <w:szCs w:val="32"/>
          <w:lang w:eastAsia="zh-CN"/>
          <w14:textFill>
            <w14:solidFill>
              <w14:schemeClr w14:val="tx1"/>
            </w14:solidFill>
          </w14:textFill>
        </w:rPr>
      </w:pPr>
      <w:r>
        <w:rPr>
          <w:rFonts w:hint="eastAsia" w:ascii="Times New Roman" w:hAnsi="Times New Roman" w:eastAsia="黑体" w:cs="Times New Roman"/>
          <w:bCs/>
          <w:color w:val="000000" w:themeColor="text1"/>
          <w:kern w:val="0"/>
          <w:sz w:val="32"/>
          <w:szCs w:val="32"/>
          <w:lang w:eastAsia="zh-CN"/>
          <w14:textFill>
            <w14:solidFill>
              <w14:schemeClr w14:val="tx1"/>
            </w14:solidFill>
          </w14:textFill>
        </w:rPr>
        <w:t>十三、规划协同</w:t>
      </w:r>
    </w:p>
    <w:p>
      <w:pPr>
        <w:spacing w:line="560" w:lineRule="exact"/>
        <w:ind w:firstLine="640" w:firstLineChars="200"/>
        <w:rPr>
          <w:rFonts w:hint="eastAsia" w:ascii="Times New Roman" w:hAnsi="Times New Roman" w:eastAsia="仿宋_GB2312" w:cs="Times New Roman"/>
          <w:bCs/>
          <w:color w:val="000000" w:themeColor="text1"/>
          <w:kern w:val="2"/>
          <w:sz w:val="32"/>
          <w:szCs w:val="32"/>
          <w:lang w:eastAsia="zh-CN"/>
          <w14:textFill>
            <w14:solidFill>
              <w14:schemeClr w14:val="tx1"/>
            </w14:solidFill>
          </w14:textFill>
        </w:rPr>
      </w:pPr>
      <w:r>
        <w:rPr>
          <w:rFonts w:hint="eastAsia" w:ascii="Times New Roman" w:hAnsi="Times New Roman" w:eastAsia="仿宋_GB2312" w:cs="Times New Roman"/>
          <w:bCs/>
          <w:i w:val="0"/>
          <w:caps w:val="0"/>
          <w:color w:val="000000" w:themeColor="text1"/>
          <w:spacing w:val="0"/>
          <w:sz w:val="32"/>
          <w:szCs w:val="32"/>
          <w:shd w:val="clear"/>
          <w14:textFill>
            <w14:solidFill>
              <w14:schemeClr w14:val="tx1"/>
            </w14:solidFill>
          </w14:textFill>
        </w:rPr>
        <w:t>工业控制线专项规划批准后，与工业控制线专项规划不一致的详细规划应在一年内完成修改报批</w:t>
      </w:r>
      <w:r>
        <w:rPr>
          <w:rFonts w:hint="eastAsia" w:ascii="Times New Roman" w:hAnsi="Times New Roman" w:eastAsia="仿宋_GB2312" w:cs="Times New Roman"/>
          <w:bCs/>
          <w:color w:val="000000" w:themeColor="text1"/>
          <w:kern w:val="2"/>
          <w:sz w:val="32"/>
          <w:szCs w:val="32"/>
          <w:lang w:eastAsia="zh-CN"/>
          <w14:textFill>
            <w14:solidFill>
              <w14:schemeClr w14:val="tx1"/>
            </w14:solidFill>
          </w14:textFill>
        </w:rPr>
        <w:t>。</w:t>
      </w:r>
    </w:p>
    <w:p>
      <w:pPr>
        <w:spacing w:line="560" w:lineRule="exact"/>
        <w:ind w:firstLine="640" w:firstLineChars="200"/>
        <w:rPr>
          <w:rFonts w:hint="eastAsia" w:ascii="Times New Roman" w:hAnsi="Times New Roman" w:eastAsia="仿宋_GB2312" w:cs="Times New Roman"/>
          <w:bCs/>
          <w:color w:val="000000" w:themeColor="text1"/>
          <w:kern w:val="2"/>
          <w:sz w:val="32"/>
          <w:szCs w:val="32"/>
          <w:lang w:eastAsia="zh-CN"/>
          <w14:textFill>
            <w14:solidFill>
              <w14:schemeClr w14:val="tx1"/>
            </w14:solidFill>
          </w14:textFill>
        </w:rPr>
      </w:pPr>
      <w:r>
        <w:rPr>
          <w:rFonts w:hint="eastAsia" w:ascii="Times New Roman" w:hAnsi="Times New Roman" w:eastAsia="仿宋_GB2312" w:cs="Times New Roman"/>
          <w:bCs/>
          <w:color w:val="000000" w:themeColor="text1"/>
          <w:kern w:val="2"/>
          <w:sz w:val="32"/>
          <w:szCs w:val="32"/>
          <w:lang w:eastAsia="zh-CN"/>
          <w14:textFill>
            <w14:solidFill>
              <w14:schemeClr w14:val="tx1"/>
            </w14:solidFill>
          </w14:textFill>
        </w:rPr>
        <w:t>详细规划编制涉及工业控制线调整的，应先将工业控制线调整方案报审批部门批准。</w:t>
      </w:r>
    </w:p>
    <w:p>
      <w:pPr>
        <w:spacing w:line="560" w:lineRule="exact"/>
        <w:ind w:firstLine="640" w:firstLineChars="200"/>
        <w:rPr>
          <w:rFonts w:ascii="Times New Roman" w:hAnsi="Times New Roman" w:eastAsia="黑体" w:cs="Times New Roman"/>
          <w:bCs/>
          <w:color w:val="000000" w:themeColor="text1"/>
          <w:kern w:val="0"/>
          <w:sz w:val="32"/>
          <w:szCs w:val="32"/>
          <w14:textFill>
            <w14:solidFill>
              <w14:schemeClr w14:val="tx1"/>
            </w14:solidFill>
          </w14:textFill>
        </w:rPr>
      </w:pPr>
      <w:r>
        <w:rPr>
          <w:rFonts w:ascii="Times New Roman" w:hAnsi="Times New Roman" w:eastAsia="黑体" w:cs="Times New Roman"/>
          <w:bCs/>
          <w:color w:val="000000" w:themeColor="text1"/>
          <w:kern w:val="0"/>
          <w:sz w:val="32"/>
          <w:szCs w:val="32"/>
          <w14:textFill>
            <w14:solidFill>
              <w14:schemeClr w14:val="tx1"/>
            </w14:solidFill>
          </w14:textFill>
        </w:rPr>
        <w:t>十</w:t>
      </w:r>
      <w:r>
        <w:rPr>
          <w:rFonts w:hint="eastAsia" w:ascii="Times New Roman" w:hAnsi="Times New Roman" w:eastAsia="黑体" w:cs="Times New Roman"/>
          <w:bCs/>
          <w:color w:val="000000" w:themeColor="text1"/>
          <w:kern w:val="0"/>
          <w:sz w:val="32"/>
          <w:szCs w:val="32"/>
          <w:lang w:eastAsia="zh-CN"/>
          <w14:textFill>
            <w14:solidFill>
              <w14:schemeClr w14:val="tx1"/>
            </w14:solidFill>
          </w14:textFill>
        </w:rPr>
        <w:t>四</w:t>
      </w:r>
      <w:r>
        <w:rPr>
          <w:rFonts w:hint="eastAsia" w:ascii="Times New Roman" w:hAnsi="Times New Roman" w:eastAsia="黑体" w:cs="Times New Roman"/>
          <w:bCs/>
          <w:color w:val="000000" w:themeColor="text1"/>
          <w:kern w:val="0"/>
          <w:sz w:val="32"/>
          <w:szCs w:val="32"/>
          <w14:textFill>
            <w14:solidFill>
              <w14:schemeClr w14:val="tx1"/>
            </w14:solidFill>
          </w14:textFill>
        </w:rPr>
        <w:t>、细化管理</w:t>
      </w:r>
    </w:p>
    <w:p>
      <w:pPr>
        <w:spacing w:line="560" w:lineRule="exact"/>
        <w:ind w:firstLine="640" w:firstLineChars="200"/>
        <w:rPr>
          <w:rFonts w:ascii="Times New Roman" w:hAnsi="Times New Roman" w:eastAsia="仿宋_GB2312" w:cs="Times New Roman"/>
          <w:bCs/>
          <w:color w:val="000000" w:themeColor="text1"/>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14:textFill>
            <w14:solidFill>
              <w14:schemeClr w14:val="tx1"/>
            </w14:solidFill>
          </w14:textFill>
        </w:rPr>
        <w:t>各县（市、区）人民政府、金华开发区管委会应根据本办法出台细则，进一步对工业控制线划定、调整、占补平衡等方面作细化规定。</w:t>
      </w:r>
    </w:p>
    <w:p>
      <w:pPr>
        <w:spacing w:line="560" w:lineRule="exact"/>
        <w:ind w:firstLine="640" w:firstLineChars="200"/>
        <w:rPr>
          <w:rFonts w:ascii="Times New Roman" w:hAnsi="Times New Roman" w:eastAsia="黑体" w:cs="Times New Roman"/>
          <w:bCs/>
          <w:color w:val="000000" w:themeColor="text1"/>
          <w:kern w:val="0"/>
          <w:sz w:val="32"/>
          <w:szCs w:val="32"/>
          <w14:textFill>
            <w14:solidFill>
              <w14:schemeClr w14:val="tx1"/>
            </w14:solidFill>
          </w14:textFill>
        </w:rPr>
      </w:pPr>
      <w:r>
        <w:rPr>
          <w:rFonts w:ascii="Times New Roman" w:hAnsi="Times New Roman" w:eastAsia="黑体" w:cs="Times New Roman"/>
          <w:bCs/>
          <w:color w:val="000000" w:themeColor="text1"/>
          <w:kern w:val="0"/>
          <w:sz w:val="32"/>
          <w:szCs w:val="32"/>
          <w14:textFill>
            <w14:solidFill>
              <w14:schemeClr w14:val="tx1"/>
            </w14:solidFill>
          </w14:textFill>
        </w:rPr>
        <w:t>十</w:t>
      </w:r>
      <w:r>
        <w:rPr>
          <w:rFonts w:hint="eastAsia" w:ascii="Times New Roman" w:hAnsi="Times New Roman" w:eastAsia="黑体" w:cs="Times New Roman"/>
          <w:bCs/>
          <w:color w:val="000000" w:themeColor="text1"/>
          <w:kern w:val="0"/>
          <w:sz w:val="32"/>
          <w:szCs w:val="32"/>
          <w:lang w:eastAsia="zh-CN"/>
          <w14:textFill>
            <w14:solidFill>
              <w14:schemeClr w14:val="tx1"/>
            </w14:solidFill>
          </w14:textFill>
        </w:rPr>
        <w:t>五</w:t>
      </w:r>
      <w:r>
        <w:rPr>
          <w:rFonts w:hint="eastAsia" w:ascii="Times New Roman" w:hAnsi="Times New Roman" w:eastAsia="黑体" w:cs="Times New Roman"/>
          <w:bCs/>
          <w:color w:val="000000" w:themeColor="text1"/>
          <w:kern w:val="0"/>
          <w:sz w:val="32"/>
          <w:szCs w:val="32"/>
          <w14:textFill>
            <w14:solidFill>
              <w14:schemeClr w14:val="tx1"/>
            </w14:solidFill>
          </w14:textFill>
        </w:rPr>
        <w:t>、其他</w:t>
      </w:r>
    </w:p>
    <w:p>
      <w:pPr>
        <w:spacing w:line="560" w:lineRule="exact"/>
        <w:ind w:firstLine="640" w:firstLineChars="200"/>
        <w:rPr>
          <w:rFonts w:ascii="Times New Roman" w:hAnsi="Times New Roman" w:eastAsia="黑体" w:cs="Times New Roman"/>
          <w:bCs/>
          <w:color w:val="000000" w:themeColor="text1"/>
          <w:kern w:val="0"/>
          <w:sz w:val="32"/>
          <w:szCs w:val="32"/>
          <w14:textFill>
            <w14:solidFill>
              <w14:schemeClr w14:val="tx1"/>
            </w14:solidFill>
          </w14:textFill>
        </w:rPr>
      </w:pPr>
      <w:r>
        <w:rPr>
          <w:rFonts w:hint="eastAsia" w:ascii="Times New Roman" w:hAnsi="Times New Roman" w:eastAsia="仿宋_GB2312" w:cs="Times New Roman"/>
          <w:bCs/>
          <w:color w:val="000000" w:themeColor="text1"/>
          <w:sz w:val="32"/>
          <w:szCs w:val="32"/>
          <w14:textFill>
            <w14:solidFill>
              <w14:schemeClr w14:val="tx1"/>
            </w14:solidFill>
          </w14:textFill>
        </w:rPr>
        <w:t>本办法自2023年</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月</w:t>
      </w:r>
      <w:r>
        <w:rPr>
          <w:rFonts w:hint="eastAsia" w:ascii="Times New Roman" w:hAnsi="Times New Roman" w:eastAsia="仿宋_GB2312" w:cs="Times New Roman"/>
          <w:bCs/>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bCs/>
          <w:color w:val="000000" w:themeColor="text1"/>
          <w:sz w:val="32"/>
          <w:szCs w:val="32"/>
          <w14:textFill>
            <w14:solidFill>
              <w14:schemeClr w14:val="tx1"/>
            </w14:solidFill>
          </w14:textFill>
        </w:rPr>
        <w:t>日起实施，有效期三年。</w:t>
      </w:r>
    </w:p>
    <w:p>
      <w:pPr>
        <w:pStyle w:val="6"/>
        <w:rPr>
          <w:rFonts w:hint="default"/>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3C3"/>
    <w:rsid w:val="000023C3"/>
    <w:rsid w:val="000148B2"/>
    <w:rsid w:val="00040856"/>
    <w:rsid w:val="00042203"/>
    <w:rsid w:val="00044455"/>
    <w:rsid w:val="0006127F"/>
    <w:rsid w:val="0006684D"/>
    <w:rsid w:val="000973AA"/>
    <w:rsid w:val="000C1728"/>
    <w:rsid w:val="000C173F"/>
    <w:rsid w:val="000C539C"/>
    <w:rsid w:val="000F6B64"/>
    <w:rsid w:val="00105A4A"/>
    <w:rsid w:val="00123BD7"/>
    <w:rsid w:val="00142DA6"/>
    <w:rsid w:val="00152E18"/>
    <w:rsid w:val="001634B1"/>
    <w:rsid w:val="001A1651"/>
    <w:rsid w:val="001B3A0F"/>
    <w:rsid w:val="001C0EA8"/>
    <w:rsid w:val="001E3720"/>
    <w:rsid w:val="001F4953"/>
    <w:rsid w:val="002034D3"/>
    <w:rsid w:val="00207435"/>
    <w:rsid w:val="00207900"/>
    <w:rsid w:val="00225E27"/>
    <w:rsid w:val="00255EA4"/>
    <w:rsid w:val="00262A79"/>
    <w:rsid w:val="00284CE4"/>
    <w:rsid w:val="0028714C"/>
    <w:rsid w:val="0029790A"/>
    <w:rsid w:val="002B3438"/>
    <w:rsid w:val="002C2F85"/>
    <w:rsid w:val="002C423D"/>
    <w:rsid w:val="002D40A1"/>
    <w:rsid w:val="00322B0C"/>
    <w:rsid w:val="00337CCA"/>
    <w:rsid w:val="00356BE9"/>
    <w:rsid w:val="003646D9"/>
    <w:rsid w:val="003708A6"/>
    <w:rsid w:val="00382841"/>
    <w:rsid w:val="00392B95"/>
    <w:rsid w:val="003A3924"/>
    <w:rsid w:val="003A5EEF"/>
    <w:rsid w:val="003E2F68"/>
    <w:rsid w:val="003E7AD9"/>
    <w:rsid w:val="003F54D9"/>
    <w:rsid w:val="00414D56"/>
    <w:rsid w:val="00436479"/>
    <w:rsid w:val="004438A3"/>
    <w:rsid w:val="00467068"/>
    <w:rsid w:val="00491B9F"/>
    <w:rsid w:val="004A06E2"/>
    <w:rsid w:val="004A296A"/>
    <w:rsid w:val="004A79A6"/>
    <w:rsid w:val="004B2938"/>
    <w:rsid w:val="004E471D"/>
    <w:rsid w:val="00527478"/>
    <w:rsid w:val="00533F91"/>
    <w:rsid w:val="00543B40"/>
    <w:rsid w:val="005505E3"/>
    <w:rsid w:val="00556D56"/>
    <w:rsid w:val="00567C42"/>
    <w:rsid w:val="005727F3"/>
    <w:rsid w:val="00572FFE"/>
    <w:rsid w:val="00583E43"/>
    <w:rsid w:val="00591329"/>
    <w:rsid w:val="005A1460"/>
    <w:rsid w:val="005C6683"/>
    <w:rsid w:val="005D093F"/>
    <w:rsid w:val="005F0C90"/>
    <w:rsid w:val="00606BA5"/>
    <w:rsid w:val="00631DB3"/>
    <w:rsid w:val="00632109"/>
    <w:rsid w:val="00632BBC"/>
    <w:rsid w:val="00635FB8"/>
    <w:rsid w:val="00637441"/>
    <w:rsid w:val="00655089"/>
    <w:rsid w:val="00675F81"/>
    <w:rsid w:val="00684B86"/>
    <w:rsid w:val="00685E14"/>
    <w:rsid w:val="006A339C"/>
    <w:rsid w:val="006B38DB"/>
    <w:rsid w:val="006B6221"/>
    <w:rsid w:val="006C72CD"/>
    <w:rsid w:val="006D3115"/>
    <w:rsid w:val="006D4792"/>
    <w:rsid w:val="006E5AE3"/>
    <w:rsid w:val="006F395E"/>
    <w:rsid w:val="006F5975"/>
    <w:rsid w:val="00702DD4"/>
    <w:rsid w:val="0070717A"/>
    <w:rsid w:val="00716B45"/>
    <w:rsid w:val="007219B3"/>
    <w:rsid w:val="00755B78"/>
    <w:rsid w:val="00761F82"/>
    <w:rsid w:val="00775271"/>
    <w:rsid w:val="007877FC"/>
    <w:rsid w:val="007C25E5"/>
    <w:rsid w:val="007C616A"/>
    <w:rsid w:val="007E3FB6"/>
    <w:rsid w:val="007E7501"/>
    <w:rsid w:val="008148B9"/>
    <w:rsid w:val="008379D4"/>
    <w:rsid w:val="00843DBA"/>
    <w:rsid w:val="008571C0"/>
    <w:rsid w:val="00862143"/>
    <w:rsid w:val="008900E0"/>
    <w:rsid w:val="00896E61"/>
    <w:rsid w:val="008A1656"/>
    <w:rsid w:val="008C29FC"/>
    <w:rsid w:val="008D26F6"/>
    <w:rsid w:val="008F539D"/>
    <w:rsid w:val="009039D3"/>
    <w:rsid w:val="00904DB4"/>
    <w:rsid w:val="00924B51"/>
    <w:rsid w:val="00932FE4"/>
    <w:rsid w:val="00964704"/>
    <w:rsid w:val="009677F3"/>
    <w:rsid w:val="0098115D"/>
    <w:rsid w:val="00992727"/>
    <w:rsid w:val="00994346"/>
    <w:rsid w:val="009B0AA6"/>
    <w:rsid w:val="009C5451"/>
    <w:rsid w:val="009E41EC"/>
    <w:rsid w:val="009E7C44"/>
    <w:rsid w:val="009F09D8"/>
    <w:rsid w:val="00A06245"/>
    <w:rsid w:val="00A07E41"/>
    <w:rsid w:val="00A42691"/>
    <w:rsid w:val="00A43301"/>
    <w:rsid w:val="00A44545"/>
    <w:rsid w:val="00A55457"/>
    <w:rsid w:val="00A56F67"/>
    <w:rsid w:val="00A73CF0"/>
    <w:rsid w:val="00A75417"/>
    <w:rsid w:val="00A858D7"/>
    <w:rsid w:val="00A955AA"/>
    <w:rsid w:val="00AD6E66"/>
    <w:rsid w:val="00AE4D72"/>
    <w:rsid w:val="00B046C4"/>
    <w:rsid w:val="00B24CA5"/>
    <w:rsid w:val="00B25A8F"/>
    <w:rsid w:val="00B34094"/>
    <w:rsid w:val="00B45AC2"/>
    <w:rsid w:val="00B45EA3"/>
    <w:rsid w:val="00B465D4"/>
    <w:rsid w:val="00B60676"/>
    <w:rsid w:val="00B85D7D"/>
    <w:rsid w:val="00B91E18"/>
    <w:rsid w:val="00B94722"/>
    <w:rsid w:val="00BA0D0F"/>
    <w:rsid w:val="00BC4163"/>
    <w:rsid w:val="00BE2C74"/>
    <w:rsid w:val="00C000FD"/>
    <w:rsid w:val="00C031BA"/>
    <w:rsid w:val="00C06495"/>
    <w:rsid w:val="00C12B3B"/>
    <w:rsid w:val="00C5417F"/>
    <w:rsid w:val="00C6183E"/>
    <w:rsid w:val="00C915DD"/>
    <w:rsid w:val="00CB3388"/>
    <w:rsid w:val="00CC68D3"/>
    <w:rsid w:val="00CE4673"/>
    <w:rsid w:val="00D02754"/>
    <w:rsid w:val="00D3573F"/>
    <w:rsid w:val="00D37F49"/>
    <w:rsid w:val="00D93284"/>
    <w:rsid w:val="00D948D7"/>
    <w:rsid w:val="00DA5643"/>
    <w:rsid w:val="00DC7039"/>
    <w:rsid w:val="00DC7E69"/>
    <w:rsid w:val="00DD4DA2"/>
    <w:rsid w:val="00E13FFC"/>
    <w:rsid w:val="00E14AE2"/>
    <w:rsid w:val="00E354BA"/>
    <w:rsid w:val="00E355EC"/>
    <w:rsid w:val="00E4426A"/>
    <w:rsid w:val="00E44F18"/>
    <w:rsid w:val="00E512E5"/>
    <w:rsid w:val="00E55FE1"/>
    <w:rsid w:val="00E65215"/>
    <w:rsid w:val="00EA4CF4"/>
    <w:rsid w:val="00EB6C3A"/>
    <w:rsid w:val="00EC4DD2"/>
    <w:rsid w:val="00ED3443"/>
    <w:rsid w:val="00ED6C3E"/>
    <w:rsid w:val="00F04066"/>
    <w:rsid w:val="00F305FD"/>
    <w:rsid w:val="00F34BD4"/>
    <w:rsid w:val="00F535DE"/>
    <w:rsid w:val="00F705F8"/>
    <w:rsid w:val="00F7062A"/>
    <w:rsid w:val="00F71F9E"/>
    <w:rsid w:val="00F9727E"/>
    <w:rsid w:val="00FB1800"/>
    <w:rsid w:val="00FB26F5"/>
    <w:rsid w:val="00FB629B"/>
    <w:rsid w:val="00FD547B"/>
    <w:rsid w:val="00FD6B9B"/>
    <w:rsid w:val="00FE3DDD"/>
    <w:rsid w:val="00FE746A"/>
    <w:rsid w:val="00FF312C"/>
    <w:rsid w:val="012D48D2"/>
    <w:rsid w:val="014F7465"/>
    <w:rsid w:val="027909D9"/>
    <w:rsid w:val="056936EA"/>
    <w:rsid w:val="05D8050E"/>
    <w:rsid w:val="066460DE"/>
    <w:rsid w:val="06AB3CD5"/>
    <w:rsid w:val="07DA08EF"/>
    <w:rsid w:val="085655A0"/>
    <w:rsid w:val="08B70929"/>
    <w:rsid w:val="08ED20D4"/>
    <w:rsid w:val="099459E7"/>
    <w:rsid w:val="0A302C7B"/>
    <w:rsid w:val="0A4078A1"/>
    <w:rsid w:val="0A852A21"/>
    <w:rsid w:val="0A8D5B6D"/>
    <w:rsid w:val="0AB165F1"/>
    <w:rsid w:val="0ADA6251"/>
    <w:rsid w:val="0CCA0F20"/>
    <w:rsid w:val="0F797AE0"/>
    <w:rsid w:val="10487087"/>
    <w:rsid w:val="11E42876"/>
    <w:rsid w:val="126F6CC9"/>
    <w:rsid w:val="13066452"/>
    <w:rsid w:val="14150920"/>
    <w:rsid w:val="146118F1"/>
    <w:rsid w:val="14DC38F4"/>
    <w:rsid w:val="14FC1A69"/>
    <w:rsid w:val="165C54D2"/>
    <w:rsid w:val="177E2F7E"/>
    <w:rsid w:val="17D03DA9"/>
    <w:rsid w:val="19A02316"/>
    <w:rsid w:val="1A35539D"/>
    <w:rsid w:val="1C6F4B72"/>
    <w:rsid w:val="1C741D94"/>
    <w:rsid w:val="1EB004A4"/>
    <w:rsid w:val="212443FA"/>
    <w:rsid w:val="21B601CF"/>
    <w:rsid w:val="2244348B"/>
    <w:rsid w:val="22480FAD"/>
    <w:rsid w:val="243937AA"/>
    <w:rsid w:val="246E5194"/>
    <w:rsid w:val="25C72FCD"/>
    <w:rsid w:val="265F4711"/>
    <w:rsid w:val="288A68E6"/>
    <w:rsid w:val="2A2127E8"/>
    <w:rsid w:val="2B41645A"/>
    <w:rsid w:val="2CC90DAE"/>
    <w:rsid w:val="2D653C53"/>
    <w:rsid w:val="2FF019E6"/>
    <w:rsid w:val="31A100A3"/>
    <w:rsid w:val="32647B32"/>
    <w:rsid w:val="329F0F08"/>
    <w:rsid w:val="33715999"/>
    <w:rsid w:val="33C63982"/>
    <w:rsid w:val="357029BA"/>
    <w:rsid w:val="370339B4"/>
    <w:rsid w:val="373B78A9"/>
    <w:rsid w:val="37AD2C26"/>
    <w:rsid w:val="39935C63"/>
    <w:rsid w:val="3C2F2647"/>
    <w:rsid w:val="3C4851DE"/>
    <w:rsid w:val="3D077992"/>
    <w:rsid w:val="3D164C53"/>
    <w:rsid w:val="3DF45472"/>
    <w:rsid w:val="3E9B7376"/>
    <w:rsid w:val="3F971E35"/>
    <w:rsid w:val="3FC70702"/>
    <w:rsid w:val="401629C3"/>
    <w:rsid w:val="41C556FC"/>
    <w:rsid w:val="424B4E3A"/>
    <w:rsid w:val="434002A3"/>
    <w:rsid w:val="43585799"/>
    <w:rsid w:val="43803CAF"/>
    <w:rsid w:val="470A703C"/>
    <w:rsid w:val="49C0600D"/>
    <w:rsid w:val="4B2C3B13"/>
    <w:rsid w:val="4BE32EE3"/>
    <w:rsid w:val="4D4F45C1"/>
    <w:rsid w:val="4F252BB4"/>
    <w:rsid w:val="50893EA5"/>
    <w:rsid w:val="51144DA9"/>
    <w:rsid w:val="51435AF4"/>
    <w:rsid w:val="516C2F11"/>
    <w:rsid w:val="520D1E72"/>
    <w:rsid w:val="524C08D3"/>
    <w:rsid w:val="543804AF"/>
    <w:rsid w:val="54742011"/>
    <w:rsid w:val="570F428F"/>
    <w:rsid w:val="58C97DB2"/>
    <w:rsid w:val="596646ED"/>
    <w:rsid w:val="59AD0992"/>
    <w:rsid w:val="5AF86118"/>
    <w:rsid w:val="5CEA5017"/>
    <w:rsid w:val="5D2673AB"/>
    <w:rsid w:val="5E81586B"/>
    <w:rsid w:val="60D946D8"/>
    <w:rsid w:val="61D600B2"/>
    <w:rsid w:val="626C2079"/>
    <w:rsid w:val="67575A3F"/>
    <w:rsid w:val="6A5E3C17"/>
    <w:rsid w:val="6AA25412"/>
    <w:rsid w:val="6B0B76C3"/>
    <w:rsid w:val="6B3002F9"/>
    <w:rsid w:val="6C043124"/>
    <w:rsid w:val="6CB10BDD"/>
    <w:rsid w:val="6D4A3EB3"/>
    <w:rsid w:val="6F7D3DE7"/>
    <w:rsid w:val="6FFF70DA"/>
    <w:rsid w:val="73941127"/>
    <w:rsid w:val="743951F4"/>
    <w:rsid w:val="75AB50F2"/>
    <w:rsid w:val="761404D5"/>
    <w:rsid w:val="762270D4"/>
    <w:rsid w:val="779B0A62"/>
    <w:rsid w:val="77AE3945"/>
    <w:rsid w:val="785E1B30"/>
    <w:rsid w:val="799543FE"/>
    <w:rsid w:val="7A15269F"/>
    <w:rsid w:val="7A74539C"/>
    <w:rsid w:val="7B7F7E84"/>
    <w:rsid w:val="7BD302D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Calibri Light" w:hAnsi="Calibri Light" w:eastAsia="微软雅黑" w:cstheme="minorBidi"/>
      <w:kern w:val="2"/>
      <w:sz w:val="21"/>
      <w:szCs w:val="22"/>
      <w:lang w:val="en-US" w:eastAsia="zh-CN" w:bidi="ar-SA"/>
    </w:rPr>
  </w:style>
  <w:style w:type="paragraph" w:styleId="5">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4"/>
    <w:qFormat/>
    <w:uiPriority w:val="9"/>
    <w:pPr>
      <w:tabs>
        <w:tab w:val="left" w:pos="993"/>
      </w:tabs>
      <w:topLinePunct/>
      <w:autoSpaceDE w:val="0"/>
      <w:spacing w:before="312" w:beforeLines="100" w:line="336" w:lineRule="auto"/>
      <w:ind w:left="180"/>
      <w:outlineLvl w:val="1"/>
    </w:pPr>
    <w:rPr>
      <w:rFonts w:ascii="宋体" w:hAnsi="宋体" w:eastAsia="宋体" w:cs="Times New Roman"/>
      <w:bCs/>
      <w:color w:val="000000" w:themeColor="text1"/>
      <w:sz w:val="24"/>
      <w:szCs w:val="24"/>
      <w14:textFill>
        <w14:solidFill>
          <w14:schemeClr w14:val="tx1"/>
        </w14:solidFill>
      </w14:textFill>
    </w:rPr>
  </w:style>
  <w:style w:type="paragraph" w:styleId="7">
    <w:name w:val="heading 3"/>
    <w:basedOn w:val="1"/>
    <w:next w:val="1"/>
    <w:link w:val="19"/>
    <w:unhideWhenUsed/>
    <w:qFormat/>
    <w:uiPriority w:val="9"/>
    <w:pPr>
      <w:keepNext/>
      <w:keepLines/>
      <w:spacing w:before="156" w:beforeLines="50" w:line="416" w:lineRule="atLeast"/>
      <w:outlineLvl w:val="2"/>
    </w:pPr>
    <w:rPr>
      <w:b/>
      <w:bCs/>
      <w:sz w:val="32"/>
      <w:szCs w:val="32"/>
    </w:rPr>
  </w:style>
  <w:style w:type="character" w:default="1" w:styleId="14">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3"/>
    <w:unhideWhenUsed/>
    <w:qFormat/>
    <w:uiPriority w:val="99"/>
    <w:pPr>
      <w:ind w:firstLine="420" w:firstLineChars="100"/>
    </w:pPr>
  </w:style>
  <w:style w:type="paragraph" w:styleId="3">
    <w:name w:val="Body Text"/>
    <w:basedOn w:val="1"/>
    <w:next w:val="4"/>
    <w:unhideWhenUsed/>
    <w:qFormat/>
    <w:uiPriority w:val="99"/>
    <w:pPr>
      <w:spacing w:after="120"/>
    </w:pPr>
  </w:style>
  <w:style w:type="paragraph" w:customStyle="1" w:styleId="4">
    <w:name w:val="Body Text First Indent1"/>
    <w:basedOn w:val="3"/>
    <w:next w:val="3"/>
    <w:qFormat/>
    <w:uiPriority w:val="0"/>
    <w:pPr>
      <w:ind w:firstLine="720"/>
    </w:pPr>
  </w:style>
  <w:style w:type="paragraph" w:styleId="8">
    <w:name w:val="annotation subject"/>
    <w:basedOn w:val="9"/>
    <w:next w:val="9"/>
    <w:link w:val="27"/>
    <w:unhideWhenUsed/>
    <w:qFormat/>
    <w:uiPriority w:val="99"/>
    <w:rPr>
      <w:b/>
      <w:bCs/>
    </w:rPr>
  </w:style>
  <w:style w:type="paragraph" w:styleId="9">
    <w:name w:val="annotation text"/>
    <w:basedOn w:val="1"/>
    <w:link w:val="26"/>
    <w:unhideWhenUsed/>
    <w:qFormat/>
    <w:uiPriority w:val="99"/>
    <w:pPr>
      <w:jc w:val="left"/>
    </w:pPr>
  </w:style>
  <w:style w:type="paragraph" w:styleId="10">
    <w:name w:val="Balloon Text"/>
    <w:basedOn w:val="1"/>
    <w:link w:val="23"/>
    <w:unhideWhenUsed/>
    <w:qFormat/>
    <w:uiPriority w:val="99"/>
    <w:pPr>
      <w:spacing w:line="240" w:lineRule="auto"/>
    </w:pPr>
    <w:rPr>
      <w:sz w:val="18"/>
      <w:szCs w:val="18"/>
    </w:rPr>
  </w:style>
  <w:style w:type="paragraph" w:styleId="11">
    <w:name w:val="footer"/>
    <w:basedOn w:val="1"/>
    <w:link w:val="21"/>
    <w:unhideWhenUsed/>
    <w:qFormat/>
    <w:uiPriority w:val="99"/>
    <w:pPr>
      <w:tabs>
        <w:tab w:val="center" w:pos="4153"/>
        <w:tab w:val="right" w:pos="8306"/>
      </w:tabs>
      <w:snapToGrid w:val="0"/>
      <w:jc w:val="left"/>
    </w:pPr>
    <w:rPr>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spacing w:before="0" w:beforeAutospacing="1" w:after="0" w:afterAutospacing="1"/>
      <w:ind w:left="0" w:right="0"/>
      <w:jc w:val="left"/>
    </w:pPr>
    <w:rPr>
      <w:kern w:val="0"/>
      <w:sz w:val="24"/>
      <w:lang w:val="en-US" w:eastAsia="zh-CN" w:bidi="ar"/>
    </w:rPr>
  </w:style>
  <w:style w:type="character" w:styleId="15">
    <w:name w:val="Hyperlink"/>
    <w:basedOn w:val="14"/>
    <w:unhideWhenUsed/>
    <w:qFormat/>
    <w:uiPriority w:val="99"/>
    <w:rPr>
      <w:color w:val="0563C1" w:themeColor="hyperlink"/>
      <w:u w:val="single"/>
      <w14:textFill>
        <w14:solidFill>
          <w14:schemeClr w14:val="hlink"/>
        </w14:solidFill>
      </w14:textFill>
    </w:rPr>
  </w:style>
  <w:style w:type="character" w:styleId="16">
    <w:name w:val="annotation reference"/>
    <w:basedOn w:val="14"/>
    <w:unhideWhenUsed/>
    <w:qFormat/>
    <w:uiPriority w:val="99"/>
    <w:rPr>
      <w:sz w:val="21"/>
      <w:szCs w:val="21"/>
    </w:rPr>
  </w:style>
  <w:style w:type="character" w:customStyle="1" w:styleId="18">
    <w:name w:val="标题 1 字符"/>
    <w:basedOn w:val="14"/>
    <w:link w:val="5"/>
    <w:qFormat/>
    <w:uiPriority w:val="9"/>
    <w:rPr>
      <w:rFonts w:eastAsia="微软雅黑"/>
      <w:b/>
      <w:bCs/>
      <w:kern w:val="44"/>
      <w:sz w:val="44"/>
      <w:szCs w:val="44"/>
    </w:rPr>
  </w:style>
  <w:style w:type="character" w:customStyle="1" w:styleId="19">
    <w:name w:val="标题 3 字符"/>
    <w:basedOn w:val="14"/>
    <w:link w:val="7"/>
    <w:qFormat/>
    <w:uiPriority w:val="9"/>
    <w:rPr>
      <w:rFonts w:eastAsia="微软雅黑"/>
      <w:b/>
      <w:bCs/>
      <w:sz w:val="32"/>
      <w:szCs w:val="32"/>
    </w:rPr>
  </w:style>
  <w:style w:type="character" w:customStyle="1" w:styleId="20">
    <w:name w:val="页眉 字符"/>
    <w:basedOn w:val="14"/>
    <w:link w:val="12"/>
    <w:qFormat/>
    <w:uiPriority w:val="99"/>
    <w:rPr>
      <w:rFonts w:eastAsia="微软雅黑"/>
      <w:sz w:val="18"/>
      <w:szCs w:val="18"/>
    </w:rPr>
  </w:style>
  <w:style w:type="character" w:customStyle="1" w:styleId="21">
    <w:name w:val="页脚 字符"/>
    <w:basedOn w:val="14"/>
    <w:link w:val="11"/>
    <w:qFormat/>
    <w:uiPriority w:val="99"/>
    <w:rPr>
      <w:rFonts w:eastAsia="微软雅黑"/>
      <w:sz w:val="18"/>
      <w:szCs w:val="18"/>
    </w:rPr>
  </w:style>
  <w:style w:type="character" w:customStyle="1" w:styleId="22">
    <w:name w:val="未处理的提及1"/>
    <w:basedOn w:val="14"/>
    <w:unhideWhenUsed/>
    <w:qFormat/>
    <w:uiPriority w:val="99"/>
    <w:rPr>
      <w:color w:val="605E5C"/>
      <w:shd w:val="clear" w:color="auto" w:fill="E1DFDD"/>
    </w:rPr>
  </w:style>
  <w:style w:type="character" w:customStyle="1" w:styleId="23">
    <w:name w:val="批注框文本 字符"/>
    <w:basedOn w:val="14"/>
    <w:link w:val="10"/>
    <w:semiHidden/>
    <w:qFormat/>
    <w:uiPriority w:val="99"/>
    <w:rPr>
      <w:rFonts w:eastAsia="微软雅黑"/>
      <w:sz w:val="18"/>
      <w:szCs w:val="18"/>
    </w:rPr>
  </w:style>
  <w:style w:type="character" w:customStyle="1" w:styleId="24">
    <w:name w:val="标题 2 字符"/>
    <w:basedOn w:val="14"/>
    <w:link w:val="6"/>
    <w:qFormat/>
    <w:uiPriority w:val="9"/>
    <w:rPr>
      <w:rFonts w:ascii="宋体" w:hAnsi="宋体" w:eastAsia="宋体" w:cs="Times New Roman"/>
      <w:bCs/>
      <w:color w:val="000000" w:themeColor="text1"/>
      <w:sz w:val="24"/>
      <w:szCs w:val="24"/>
      <w14:textFill>
        <w14:solidFill>
          <w14:schemeClr w14:val="tx1"/>
        </w14:solidFill>
      </w14:textFill>
    </w:rPr>
  </w:style>
  <w:style w:type="paragraph" w:customStyle="1" w:styleId="25">
    <w:name w:val="页眉1"/>
    <w:basedOn w:val="1"/>
    <w:qFormat/>
    <w:uiPriority w:val="0"/>
    <w:pPr>
      <w:spacing w:line="240" w:lineRule="auto"/>
      <w:jc w:val="left"/>
    </w:pPr>
    <w:rPr>
      <w:rFonts w:ascii="方正小标宋简体"/>
      <w:bCs/>
      <w:color w:val="000000"/>
    </w:rPr>
  </w:style>
  <w:style w:type="character" w:customStyle="1" w:styleId="26">
    <w:name w:val="批注文字 字符"/>
    <w:basedOn w:val="14"/>
    <w:link w:val="9"/>
    <w:semiHidden/>
    <w:qFormat/>
    <w:uiPriority w:val="99"/>
    <w:rPr>
      <w:rFonts w:eastAsia="微软雅黑"/>
      <w:kern w:val="2"/>
      <w:sz w:val="21"/>
      <w:szCs w:val="22"/>
    </w:rPr>
  </w:style>
  <w:style w:type="character" w:customStyle="1" w:styleId="27">
    <w:name w:val="批注主题 字符"/>
    <w:basedOn w:val="26"/>
    <w:link w:val="8"/>
    <w:semiHidden/>
    <w:qFormat/>
    <w:uiPriority w:val="99"/>
    <w:rPr>
      <w:rFonts w:eastAsia="微软雅黑"/>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657</Words>
  <Characters>3746</Characters>
  <Lines>31</Lines>
  <Paragraphs>8</Paragraphs>
  <ScaleCrop>false</ScaleCrop>
  <LinksUpToDate>false</LinksUpToDate>
  <CharactersWithSpaces>4395</CharactersWithSpaces>
  <Application>WPS Office_10.8.0.5988_F1E327BC-269C-435d-A152-05C5408002CA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2022-03-21T03:32:00Z</dcterms:created>
  <dc:creator>江 威</dc:creator>
  <cp:lastModifiedBy>汪哲恺</cp:lastModifiedBy>
  <dcterms:modified xsi:type="dcterms:W3CDTF">2023-05-25T09:46:51Z</dcterms:modified>
  <dc:title>金华市自然资源和规划局</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