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关于《全面发挥行政复议化解行政争议主渠道作用的实施方案（征求意见稿）》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的解读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一、出台背景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2020年2月5日，中央全面依法治国委员会第三次会议审议通过《行政复议体制改革方案》，习近平总书记在会上指出“要推进相关法律法规修订工作，发挥行政复议公正高效、便民为民的制度优势和化解行政争议的主渠道作用”。2021年8月，中共中央、国务院印发《法治政府建设实施纲要（2021-2025年）》，其中专门就发挥行政复议化解行政争议主渠道作用作出部署。2023年9月1日，十四届全国人大常委会第五次会议审议通过了修订后的《行政复议法》，自2024年1月1日实施，修订后的行政复议法将“发挥行政复议化解行政争议的主渠道作用”写入立法宗旨。为深入贯彻落实习近平总书记的重要指示精神和贯彻实施修订后的《行政复议法》，持续深化行政复议体制改革和规范化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，全面发挥行政复议化解行政争议主渠道作用，促进社会公平正义，维护社会和谐稳定，结合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莲都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实际，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制定《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莲都区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关于全面发挥行政复议化解行政争议主渠道作用的实施方案》。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二、基本框架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关于全面发挥行政复议化解行政争议主渠道作用的实施方案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主要分为三个方面内容：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第一部分：总体要求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全面贯彻落实《行政复议法》，巩固深化行政复议体制改革和规范化建设成果，把行政复议打造成为更加规范稳定可预期、更加便捷高效低成本、更加务实管用见实效的行政争议解决机制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，巩固行政复议作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本地区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化解行政争议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首选途径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行政复议机关收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到行政复议申请数与一审行政诉讼案件数的量比保持在1以上，案结事了率达到</w:t>
      </w:r>
      <w:r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%以上，调解率达到50%以上，复议后败诉率控制在3%以下，法治建设群众满意度保持全省前列。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第二部分：工作举措。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包括高度重视行政复议化解行政争议的主渠道作用、推进行政复议受理渠道全覆盖、优化行政复议申请便利程度、完善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 w:bidi="ar-SA"/>
        </w:rPr>
        <w:t>行政争议诉前复议引流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机制、加强涉访行政争议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分类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处理、推行“阳光复议”办案模式、强化行政复议文书释法说理、加强行政争议实质性化解、聚力行政复议“以案治本”、提升行政机关履职能力、强化行政机关化解行政争议主体责任、提升行政复议层级监督效能、完善“1+4”大监督体系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健全与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纪检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监察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机关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协作机制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、探索建立尽职免责机制、加强行政复议跨领域改革衔接、加强行政复议工作保障机制、加快行政复议信息化建设、加强行政复议队伍能力建设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二十个方面任务。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第三部分：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工作要求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。通过强化组织领导、强化责任落实、强化示范引领等举措，全面发挥行政复议化解行政争议主渠道作用。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line="240" w:lineRule="auto"/>
      <w:ind w:firstLine="200" w:firstLineChars="200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  <w:u w:val="none"/>
      <w:lang w:val="en-US" w:eastAsia="zh-CN" w:bidi="ar-SA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ascii="方正小标宋简体" w:hAnsi="Times New Roman" w:eastAsia="方正小标宋简体" w:cs="Times New Roman"/>
      <w:sz w:val="44"/>
      <w:szCs w:val="44"/>
    </w:rPr>
  </w:style>
  <w:style w:type="paragraph" w:styleId="6">
    <w:name w:val="Body Text First Indent"/>
    <w:basedOn w:val="5"/>
    <w:next w:val="1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8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2"/>
      <w:szCs w:val="24"/>
    </w:rPr>
  </w:style>
  <w:style w:type="paragraph" w:styleId="8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 w:hAnsi="Calibri" w:eastAsia="仿宋_GB2312"/>
      <w:sz w:val="31"/>
      <w:szCs w:val="31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List Paragraph_1911cbbd-e6c2-40a1-b79b-8de2608a73d6"/>
    <w:basedOn w:val="1"/>
    <w:qFormat/>
    <w:uiPriority w:val="0"/>
    <w:pPr>
      <w:ind w:firstLine="420" w:firstLineChars="200"/>
    </w:pPr>
  </w:style>
  <w:style w:type="paragraph" w:customStyle="1" w:styleId="17">
    <w:name w:val="Char"/>
    <w:basedOn w:val="1"/>
    <w:next w:val="4"/>
    <w:qFormat/>
    <w:uiPriority w:val="0"/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1283</Words>
  <Characters>1318</Characters>
  <Paragraphs>25</Paragraphs>
  <TotalTime>5</TotalTime>
  <ScaleCrop>false</ScaleCrop>
  <LinksUpToDate>false</LinksUpToDate>
  <CharactersWithSpaces>1344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2021-07-26T02:38:00Z</dcterms:created>
  <dc:creator>Administrator</dc:creator>
  <cp:lastModifiedBy>jxchen1</cp:lastModifiedBy>
  <cp:lastPrinted>2021-07-26T09:43:00Z</cp:lastPrinted>
  <dcterms:modified xsi:type="dcterms:W3CDTF">2023-12-11T08:08:54Z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d15837046de9437fa0d748465a8b3b6e_22</vt:lpwstr>
  </property>
</Properties>
</file>