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ind w:firstLine="420"/>
        <w:jc w:val="center"/>
        <w:rPr>
          <w:rFonts w:ascii="Times New Roman" w:eastAsia="方正小标宋简体" w:cs="Times New Roman" w:hAnsi="Times New Roman" w:hint="eastAsia"/>
          <w:sz w:val="44"/>
          <w:szCs w:val="44"/>
          <w:lang w:eastAsia="zh-CN"/>
        </w:rPr>
      </w:pPr>
      <w:r>
        <w:rPr>
          <w:rFonts w:ascii="Times New Roman" w:eastAsia="方正小标宋简体" w:cs="Times New Roman" w:hAnsi="Times New Roman" w:hint="eastAsia"/>
          <w:sz w:val="44"/>
          <w:szCs w:val="44"/>
        </w:rPr>
        <w:t>关于对</w:t>
      </w:r>
      <w:r>
        <w:rPr>
          <w:rFonts w:ascii="Times New Roman" w:eastAsia="方正小标宋简体" w:cs="Times New Roman" w:hAnsi="Times New Roman" w:hint="eastAsia"/>
          <w:sz w:val="44"/>
          <w:szCs w:val="44"/>
          <w:lang w:eastAsia="zh-CN"/>
        </w:rPr>
        <w:t>《金东区行政执法事项赋权乡镇（街道）第</w:t>
      </w: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二</w:t>
      </w:r>
      <w:r>
        <w:rPr>
          <w:rFonts w:ascii="Times New Roman" w:eastAsia="方正小标宋简体" w:cs="Times New Roman" w:hAnsi="Times New Roman" w:hint="eastAsia"/>
          <w:sz w:val="44"/>
          <w:szCs w:val="44"/>
          <w:lang w:eastAsia="zh-CN"/>
        </w:rPr>
        <w:t>批目录动态调整的通告》</w:t>
      </w:r>
    </w:p>
    <w:p>
      <w:pPr>
        <w:spacing w:line="560" w:lineRule="exact"/>
        <w:ind w:firstLine="420"/>
        <w:jc w:val="center"/>
        <w:rPr>
          <w:rFonts w:ascii="Times New Roman" w:eastAsia="方正小标宋简体" w:cs="Times New Roman" w:hAnsi="Times New Roman" w:hint="eastAsia"/>
          <w:sz w:val="44"/>
          <w:szCs w:val="44"/>
        </w:rPr>
      </w:pPr>
      <w:r>
        <w:rPr>
          <w:rFonts w:ascii="Times New Roman" w:eastAsia="方正小标宋简体" w:cs="Times New Roman" w:hAnsi="Times New Roman" w:hint="eastAsia"/>
          <w:sz w:val="44"/>
          <w:szCs w:val="44"/>
        </w:rPr>
        <w:t>的起草说明</w:t>
      </w:r>
    </w:p>
    <w:p>
      <w:pPr>
        <w:spacing w:line="560" w:lineRule="exact"/>
        <w:jc w:val="center"/>
        <w:rPr>
          <w:rFonts w:ascii="Times New Roman" w:eastAsia="方正小标宋简体" w:cs="Times New Roman" w:hAnsi="Times New Roman" w:hint="eastAsia"/>
          <w:sz w:val="44"/>
          <w:szCs w:val="44"/>
        </w:rPr>
      </w:pP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kern w:val="0"/>
          <w:sz w:val="32"/>
          <w:szCs w:val="32"/>
        </w:rPr>
        <w:t>一、制定背景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40"/>
        </w:rPr>
      </w:pP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  <w:lang w:eastAsia="zh-CN"/>
        </w:rPr>
        <w:t>为全面贯彻落实省、市关于“大综合一体化”行政执法改革的决策部署，根据《中华人民共和国行政处罚法》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  <w:t>中央编办关于印发乡镇（街道）履职事项清单上级部门回收事项的通知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  <w:lang w:eastAsia="zh-CN"/>
        </w:rPr>
        <w:t>《浙江省综合行政执法条例》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  <w:lang w:val="en-US" w:eastAsia="zh-CN"/>
        </w:rPr>
        <w:t>《浙江省人民政府办公厅关于推进乡镇（街道）综合行政执法工作的通知》（浙政办发〔2021〕51号）《金东区加快推进乡镇（街道）综合行政执法改革实施方案》（金区委办发〔2022〕33号）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  <w:lang w:eastAsia="zh-CN"/>
        </w:rPr>
        <w:t>法律法规和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  <w:t>文件精神，结合多湖街道等11个乡镇（街道）赋权执法事项实际运行情况，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  <w:lang w:eastAsia="zh-CN"/>
        </w:rPr>
        <w:t>决定对我区第二批赋权乡镇（街道）行政执法事项进行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  <w:lang w:val="en-US" w:eastAsia="zh-CN"/>
        </w:rPr>
        <w:t>动态调整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kern w:val="0"/>
          <w:sz w:val="32"/>
          <w:szCs w:val="32"/>
        </w:rPr>
        <w:t>二、主要内容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  <w:t>《金东区行政执法事项赋权乡镇（街道）第二批目录动态调整的通告》包括通告正文、附件两个部分。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  <w:t>正文明确了自通告之日起，孝顺镇人民政府（含鞋塘办事处）、傅村镇人民政府在其行政区域内以自身名义行使自然资源、农业农村、建设、生态环境、消防救援、市场监管等6个领域31项行政处罚权。多湖街道办事处、东孝街道办事处在其行政区域内以自身名义行使自然资源、农业农村、建设、生态环境、消防救援、市场监管等6个领域30项行政处罚权。岭下镇人民政府、江东镇人民政府在其行政区域内以自身名义行使自然资源、农业农村、建设、生态环境、消防救援、市场监管等6个领域28项行政处罚权。曹宅镇人民政府、塘雅镇人民政府、澧浦镇人民政府在其行政区域内以自身名义行使自然资源、农业农村、建设、生态环境、消防救援、市场监管、林业等7个领域29项行政处罚权。源东乡人民政府在其行政区域内以自身名义行使自然资源、农业农村、建设、生态环境、消防救援等5个领域18项行政处罚权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</w:pPr>
    </w:p>
    <w:p>
      <w:pPr>
        <w:spacing w:line="360" w:lineRule="exact"/>
        <w:ind w:firstLineChars="200" w:firstLine="640"/>
        <w:jc w:val="center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        </w:t>
      </w:r>
    </w:p>
    <w:p>
      <w:pPr>
        <w:spacing w:line="360" w:lineRule="exact"/>
        <w:ind w:firstLineChars="200" w:firstLine="640"/>
        <w:jc w:val="center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起草部门：金华市金东区综合行政执法指导办公室</w:t>
      </w:r>
    </w:p>
    <w:p>
      <w:pPr>
        <w:spacing w:line="360" w:lineRule="exact"/>
        <w:ind w:left="0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360" w:lineRule="exact"/>
        <w:ind w:firstLineChars="200" w:firstLine="640"/>
        <w:jc w:val="center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 xml:space="preserve">         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月7</w:t>
      </w:r>
      <w:bookmarkStart w:id="0" w:name="_GoBack"/>
      <w:bookmarkEnd w:id="0"/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日</w:t>
      </w:r>
    </w:p>
    <w:p>
      <w:pPr>
        <w:rPr>
          <w:rFonts w:ascii="Times New Roman" w:cs="Times New Roman" w:hAnsi="Times New Roma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script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8"/>
    <w:basedOn w:val="0"/>
    <w:autoRedefine/>
    <w:next w:val="0"/>
    <w:pPr>
      <w:ind w:left="2940"/>
    </w:pPr>
  </w:style>
  <w:style w:type="paragraph" w:styleId="16">
    <w:name w:val="Normal (Web)"/>
    <w:basedOn w:val="0"/>
    <w:next w:val="15"/>
    <w:pPr>
      <w:widowControl w:val="0"/>
      <w:spacing w:before="0" w:beforeAutospacing="1" w:after="0" w:afterAutospacing="1"/>
      <w:ind w:left="0" w:right="0"/>
      <w:jc w:val="left"/>
    </w:pPr>
    <w:rPr>
      <w:rFonts w:ascii="Times New Roman" w:eastAsia="宋体" w:cs="Times New Roman" w:hAnsi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507</TotalTime>
  <Application>Yozo_Office27021597764231179</Application>
  <Pages>2</Pages>
  <Words>732</Words>
  <Characters>749</Characters>
  <Lines>38</Lines>
  <Paragraphs>9</Paragraphs>
  <CharactersWithSpaces>776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uos</cp:lastModifiedBy>
  <cp:revision>1</cp:revision>
  <dcterms:created xsi:type="dcterms:W3CDTF">2025-04-25T00:48:26Z</dcterms:created>
  <dcterms:modified xsi:type="dcterms:W3CDTF">2025-05-07T02:26:11Z</dcterms:modified>
</cp:coreProperties>
</file>