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jc w:val="center"/>
        <w:rPr>
          <w:rFonts w:ascii="宋体" w:hAnsi="宋体"/>
          <w:b/>
          <w:bCs/>
          <w:sz w:val="36"/>
          <w:szCs w:val="40"/>
        </w:rPr>
      </w:pPr>
    </w:p>
    <w:p>
      <w:pPr>
        <w:ind w:firstLine="723"/>
        <w:jc w:val="center"/>
        <w:rPr>
          <w:rFonts w:ascii="宋体" w:hAnsi="宋体"/>
          <w:b/>
          <w:bCs/>
          <w:sz w:val="36"/>
          <w:szCs w:val="40"/>
        </w:rPr>
      </w:pPr>
    </w:p>
    <w:p>
      <w:pPr>
        <w:ind w:firstLine="723"/>
        <w:jc w:val="center"/>
        <w:rPr>
          <w:rFonts w:ascii="宋体" w:hAnsi="宋体"/>
          <w:b/>
          <w:bCs/>
          <w:sz w:val="36"/>
          <w:szCs w:val="40"/>
        </w:rPr>
      </w:pPr>
    </w:p>
    <w:p>
      <w:pPr>
        <w:ind w:firstLine="723"/>
        <w:jc w:val="center"/>
        <w:rPr>
          <w:rFonts w:ascii="宋体" w:hAnsi="宋体"/>
          <w:b/>
          <w:bCs/>
          <w:sz w:val="36"/>
          <w:szCs w:val="40"/>
        </w:rPr>
      </w:pPr>
    </w:p>
    <w:p>
      <w:pPr>
        <w:ind w:firstLine="723"/>
        <w:jc w:val="center"/>
        <w:rPr>
          <w:rFonts w:ascii="宋体" w:hAnsi="宋体"/>
          <w:b/>
          <w:bCs/>
          <w:sz w:val="36"/>
          <w:szCs w:val="40"/>
        </w:rPr>
      </w:pPr>
    </w:p>
    <w:p>
      <w:pPr>
        <w:ind w:firstLine="0" w:firstLineChars="0"/>
        <w:jc w:val="center"/>
        <w:rPr>
          <w:rFonts w:cs="Times New Roman"/>
          <w:b/>
          <w:bCs/>
          <w:sz w:val="44"/>
          <w:szCs w:val="48"/>
        </w:rPr>
      </w:pPr>
      <w:r>
        <w:rPr>
          <w:rFonts w:cs="Times New Roman"/>
          <w:b/>
          <w:bCs/>
          <w:sz w:val="44"/>
          <w:szCs w:val="48"/>
        </w:rPr>
        <w:t>临海市建筑垃圾污染环境防治工作规划</w:t>
      </w:r>
    </w:p>
    <w:p>
      <w:pPr>
        <w:ind w:firstLine="723"/>
        <w:jc w:val="center"/>
        <w:rPr>
          <w:rFonts w:cs="Times New Roman"/>
          <w:b/>
          <w:bCs/>
          <w:sz w:val="36"/>
          <w:szCs w:val="40"/>
        </w:rPr>
      </w:pPr>
    </w:p>
    <w:p>
      <w:pPr>
        <w:ind w:firstLine="723"/>
        <w:jc w:val="center"/>
        <w:rPr>
          <w:rFonts w:cs="Times New Roman"/>
          <w:b/>
          <w:bCs/>
          <w:sz w:val="36"/>
          <w:szCs w:val="40"/>
        </w:rPr>
      </w:pPr>
    </w:p>
    <w:p>
      <w:pPr>
        <w:ind w:firstLine="723"/>
        <w:jc w:val="center"/>
        <w:rPr>
          <w:rFonts w:cs="Times New Roman"/>
          <w:b/>
          <w:bCs/>
          <w:sz w:val="36"/>
          <w:szCs w:val="40"/>
        </w:rPr>
      </w:pPr>
    </w:p>
    <w:p>
      <w:pPr>
        <w:ind w:firstLine="723"/>
        <w:jc w:val="center"/>
        <w:rPr>
          <w:rFonts w:cs="Times New Roman"/>
          <w:b/>
          <w:bCs/>
          <w:sz w:val="36"/>
          <w:szCs w:val="40"/>
        </w:rPr>
      </w:pPr>
    </w:p>
    <w:p>
      <w:pPr>
        <w:ind w:firstLine="0" w:firstLineChars="0"/>
        <w:jc w:val="center"/>
        <w:rPr>
          <w:rFonts w:cs="Times New Roman"/>
          <w:b/>
          <w:bCs/>
          <w:sz w:val="36"/>
          <w:szCs w:val="40"/>
        </w:rPr>
      </w:pPr>
      <w:r>
        <w:rPr>
          <w:rFonts w:hint="eastAsia" w:cs="Times New Roman"/>
          <w:b/>
          <w:bCs/>
          <w:sz w:val="36"/>
          <w:szCs w:val="40"/>
        </w:rPr>
        <w:t>说明书</w:t>
      </w:r>
    </w:p>
    <w:p>
      <w:pPr>
        <w:ind w:firstLine="723"/>
        <w:jc w:val="center"/>
        <w:rPr>
          <w:rFonts w:cs="Times New Roman"/>
          <w:b/>
          <w:bCs/>
          <w:sz w:val="36"/>
          <w:szCs w:val="40"/>
        </w:rPr>
      </w:pPr>
    </w:p>
    <w:p>
      <w:pPr>
        <w:ind w:firstLine="0" w:firstLineChars="0"/>
        <w:jc w:val="center"/>
        <w:rPr>
          <w:rFonts w:cs="Times New Roman"/>
          <w:b/>
          <w:bCs/>
          <w:sz w:val="36"/>
          <w:szCs w:val="40"/>
        </w:rPr>
      </w:pPr>
      <w:r>
        <w:rPr>
          <w:rFonts w:hint="eastAsia" w:cs="Times New Roman"/>
          <w:b/>
          <w:bCs/>
          <w:sz w:val="36"/>
          <w:szCs w:val="40"/>
        </w:rPr>
        <w:t>（征求意见稿）</w:t>
      </w:r>
    </w:p>
    <w:p>
      <w:pPr>
        <w:ind w:firstLine="723"/>
        <w:jc w:val="center"/>
        <w:rPr>
          <w:rFonts w:cs="Times New Roman"/>
          <w:b/>
          <w:bCs/>
          <w:sz w:val="36"/>
          <w:szCs w:val="40"/>
        </w:rPr>
      </w:pPr>
    </w:p>
    <w:p>
      <w:pPr>
        <w:ind w:firstLine="723"/>
        <w:jc w:val="center"/>
        <w:rPr>
          <w:rFonts w:cs="Times New Roman"/>
          <w:b/>
          <w:bCs/>
          <w:sz w:val="36"/>
          <w:szCs w:val="40"/>
        </w:rPr>
      </w:pPr>
    </w:p>
    <w:p>
      <w:pPr>
        <w:ind w:firstLine="723"/>
        <w:jc w:val="center"/>
        <w:rPr>
          <w:rFonts w:cs="Times New Roman"/>
          <w:b/>
          <w:bCs/>
          <w:sz w:val="36"/>
          <w:szCs w:val="40"/>
        </w:rPr>
      </w:pPr>
    </w:p>
    <w:p>
      <w:pPr>
        <w:ind w:firstLine="723"/>
        <w:jc w:val="center"/>
        <w:rPr>
          <w:rFonts w:cs="Times New Roman"/>
          <w:b/>
          <w:bCs/>
          <w:sz w:val="36"/>
          <w:szCs w:val="40"/>
        </w:rPr>
      </w:pPr>
    </w:p>
    <w:p>
      <w:pPr>
        <w:ind w:firstLine="198" w:firstLineChars="62"/>
        <w:jc w:val="center"/>
        <w:rPr>
          <w:rFonts w:cs="Times New Roman"/>
          <w:szCs w:val="32"/>
        </w:rPr>
      </w:pPr>
      <w:r>
        <w:rPr>
          <w:rFonts w:cs="Times New Roman"/>
          <w:szCs w:val="32"/>
        </w:rPr>
        <w:t>临海市综合行政执法局</w:t>
      </w:r>
      <w:r>
        <w:rPr>
          <w:rFonts w:hint="eastAsia" w:cs="Times New Roman"/>
          <w:szCs w:val="32"/>
        </w:rPr>
        <w:t xml:space="preserve"> </w:t>
      </w:r>
      <w:r>
        <w:rPr>
          <w:rFonts w:cs="Times New Roman"/>
          <w:szCs w:val="32"/>
        </w:rPr>
        <w:t xml:space="preserve">          </w:t>
      </w:r>
      <w:r>
        <w:rPr>
          <w:rFonts w:hint="eastAsia" w:cs="Times New Roman"/>
          <w:szCs w:val="32"/>
        </w:rPr>
        <w:t>浙大城市学院</w:t>
      </w:r>
    </w:p>
    <w:p>
      <w:pPr>
        <w:wordWrap w:val="0"/>
        <w:ind w:firstLine="198" w:firstLineChars="62"/>
        <w:jc w:val="right"/>
        <w:rPr>
          <w:rFonts w:cs="Times New Roman"/>
          <w:szCs w:val="32"/>
        </w:rPr>
      </w:pPr>
      <w:r>
        <w:rPr>
          <w:rFonts w:hint="eastAsia" w:cs="Times New Roman"/>
          <w:szCs w:val="32"/>
        </w:rPr>
        <w:t>2</w:t>
      </w:r>
      <w:r>
        <w:rPr>
          <w:rFonts w:cs="Times New Roman"/>
          <w:szCs w:val="32"/>
        </w:rPr>
        <w:t>02</w:t>
      </w:r>
      <w:r>
        <w:rPr>
          <w:rFonts w:hint="eastAsia" w:cs="Times New Roman"/>
          <w:szCs w:val="32"/>
        </w:rPr>
        <w:t>4年6月</w:t>
      </w:r>
      <w:r>
        <w:rPr>
          <w:rFonts w:cs="Times New Roman"/>
          <w:szCs w:val="32"/>
        </w:rPr>
        <w:t xml:space="preserve">    </w:t>
      </w:r>
    </w:p>
    <w:p>
      <w:pPr>
        <w:ind w:firstLine="723"/>
        <w:jc w:val="center"/>
        <w:rPr>
          <w:rFonts w:ascii="宋体" w:hAnsi="宋体"/>
          <w:b/>
          <w:bCs/>
          <w:sz w:val="36"/>
          <w:szCs w:val="40"/>
        </w:rPr>
      </w:pPr>
    </w:p>
    <w:p>
      <w:pPr>
        <w:ind w:firstLine="723"/>
        <w:jc w:val="center"/>
        <w:rPr>
          <w:rFonts w:ascii="宋体" w:hAnsi="宋体"/>
          <w:b/>
          <w:bCs/>
          <w:sz w:val="36"/>
          <w:szCs w:val="4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ind w:firstLine="602"/>
        <w:rPr>
          <w:rFonts w:eastAsia="黑体" w:cs="Times New Roman"/>
          <w:b/>
          <w:sz w:val="30"/>
          <w:szCs w:val="30"/>
          <w14:shadow w14:blurRad="69850" w14:dist="43180" w14:dir="5400000" w14:sx="0" w14:sy="0" w14:kx="0" w14:ky="0" w14:algn="none">
            <w14:srgbClr w14:val="000000">
              <w14:alpha w14:val="35000"/>
            </w14:srgbClr>
          </w14:shadow>
        </w:rPr>
      </w:pPr>
    </w:p>
    <w:p>
      <w:pPr>
        <w:ind w:firstLine="602"/>
        <w:rPr>
          <w:rFonts w:eastAsia="黑体" w:cs="Times New Roman"/>
          <w:b/>
          <w:sz w:val="30"/>
          <w:szCs w:val="30"/>
          <w14:shadow w14:blurRad="69850" w14:dist="43180" w14:dir="5400000" w14:sx="0" w14:sy="0" w14:kx="0" w14:ky="0" w14:algn="none">
            <w14:srgbClr w14:val="000000">
              <w14:alpha w14:val="35000"/>
            </w14:srgbClr>
          </w14:shadow>
        </w:rPr>
      </w:pPr>
    </w:p>
    <w:p>
      <w:pPr>
        <w:ind w:left="160" w:leftChars="50" w:firstLine="602"/>
        <w:rPr>
          <w:rFonts w:eastAsia="黑体" w:cs="Times New Roman"/>
          <w:b/>
          <w:sz w:val="30"/>
          <w:szCs w:val="30"/>
          <w14:shadow w14:blurRad="69850" w14:dist="43180" w14:dir="5400000" w14:sx="0" w14:sy="0" w14:kx="0" w14:ky="0" w14:algn="none">
            <w14:srgbClr w14:val="000000">
              <w14:alpha w14:val="35000"/>
            </w14:srgbClr>
          </w14:shadow>
        </w:rPr>
      </w:pPr>
      <w:r>
        <w:rPr>
          <w:rFonts w:eastAsia="黑体" w:cs="Times New Roman"/>
          <w:b/>
          <w:sz w:val="30"/>
          <w:szCs w:val="30"/>
          <w14:shadow w14:blurRad="69850" w14:dist="43180" w14:dir="5400000" w14:sx="0" w14:sy="0" w14:kx="0" w14:ky="0" w14:algn="none">
            <w14:srgbClr w14:val="000000">
              <w14:alpha w14:val="35000"/>
            </w14:srgbClr>
          </w14:shadow>
        </w:rPr>
        <w:t>课题委托单位：</w:t>
      </w:r>
      <w:r>
        <w:rPr>
          <w:rFonts w:hint="eastAsia" w:eastAsia="黑体" w:cs="Times New Roman"/>
          <w:bCs/>
          <w:sz w:val="30"/>
          <w:szCs w:val="30"/>
          <w14:shadow w14:blurRad="69850" w14:dist="43180" w14:dir="5400000" w14:sx="0" w14:sy="0" w14:kx="0" w14:ky="0" w14:algn="none">
            <w14:srgbClr w14:val="000000">
              <w14:alpha w14:val="35000"/>
            </w14:srgbClr>
          </w14:shadow>
        </w:rPr>
        <w:t>临海市综合行政执法局</w:t>
      </w:r>
    </w:p>
    <w:p>
      <w:pPr>
        <w:ind w:left="160" w:leftChars="50" w:firstLine="602"/>
        <w:rPr>
          <w:rFonts w:eastAsia="黑体" w:cs="Times New Roman"/>
          <w:b/>
          <w:sz w:val="30"/>
          <w:szCs w:val="30"/>
          <w14:shadow w14:blurRad="69850" w14:dist="43180" w14:dir="5400000" w14:sx="0" w14:sy="0" w14:kx="0" w14:ky="0" w14:algn="none">
            <w14:srgbClr w14:val="000000">
              <w14:alpha w14:val="35000"/>
            </w14:srgbClr>
          </w14:shadow>
        </w:rPr>
      </w:pPr>
    </w:p>
    <w:p>
      <w:pPr>
        <w:ind w:left="160" w:leftChars="50" w:firstLine="602"/>
        <w:rPr>
          <w:rFonts w:eastAsia="黑体" w:cs="Times New Roman"/>
          <w:b/>
          <w:sz w:val="30"/>
          <w:szCs w:val="30"/>
          <w14:shadow w14:blurRad="69850" w14:dist="43180" w14:dir="5400000" w14:sx="0" w14:sy="0" w14:kx="0" w14:ky="0" w14:algn="none">
            <w14:srgbClr w14:val="000000">
              <w14:alpha w14:val="35000"/>
            </w14:srgbClr>
          </w14:shadow>
        </w:rPr>
      </w:pPr>
    </w:p>
    <w:p>
      <w:pPr>
        <w:ind w:left="160" w:leftChars="50" w:firstLine="602"/>
        <w:rPr>
          <w:rFonts w:eastAsia="黑体" w:cs="Times New Roman"/>
          <w:b/>
          <w:sz w:val="30"/>
          <w:szCs w:val="30"/>
          <w14:shadow w14:blurRad="69850" w14:dist="43180" w14:dir="5400000" w14:sx="0" w14:sy="0" w14:kx="0" w14:ky="0" w14:algn="none">
            <w14:srgbClr w14:val="000000">
              <w14:alpha w14:val="35000"/>
            </w14:srgbClr>
          </w14:shadow>
        </w:rPr>
      </w:pPr>
    </w:p>
    <w:p>
      <w:pPr>
        <w:ind w:left="160" w:leftChars="50" w:firstLine="602"/>
        <w:rPr>
          <w:rFonts w:eastAsia="黑体" w:cs="Times New Roman"/>
          <w:b/>
          <w:sz w:val="30"/>
          <w:szCs w:val="30"/>
          <w14:shadow w14:blurRad="69850" w14:dist="43180" w14:dir="5400000" w14:sx="0" w14:sy="0" w14:kx="0" w14:ky="0" w14:algn="none">
            <w14:srgbClr w14:val="000000">
              <w14:alpha w14:val="35000"/>
            </w14:srgbClr>
          </w14:shadow>
        </w:rPr>
      </w:pPr>
    </w:p>
    <w:p>
      <w:pPr>
        <w:tabs>
          <w:tab w:val="left" w:pos="1843"/>
        </w:tabs>
        <w:ind w:firstLine="738"/>
        <w:rPr>
          <w:rFonts w:eastAsia="黑体" w:cs="Times New Roman"/>
          <w:b/>
          <w:sz w:val="30"/>
          <w:szCs w:val="30"/>
          <w14:shadow w14:blurRad="69850" w14:dist="43180" w14:dir="5400000" w14:sx="0" w14:sy="0" w14:kx="0" w14:ky="0" w14:algn="none">
            <w14:srgbClr w14:val="000000">
              <w14:alpha w14:val="35000"/>
            </w14:srgbClr>
          </w14:shadow>
        </w:rPr>
      </w:pPr>
      <w:r>
        <w:rPr>
          <w:rFonts w:eastAsia="黑体" w:cs="Times New Roman"/>
          <w:b/>
          <w:spacing w:val="34"/>
          <w:sz w:val="30"/>
          <w:szCs w:val="30"/>
          <w14:shadow w14:blurRad="69850" w14:dist="43180" w14:dir="5400000" w14:sx="0" w14:sy="0" w14:kx="0" w14:ky="0" w14:algn="none">
            <w14:srgbClr w14:val="000000">
              <w14:alpha w14:val="35000"/>
            </w14:srgbClr>
          </w14:shadow>
        </w:rPr>
        <w:t>承担单位</w:t>
      </w:r>
      <w:r>
        <w:rPr>
          <w:rFonts w:eastAsia="黑体" w:cs="Times New Roman"/>
          <w:b/>
          <w:sz w:val="30"/>
          <w:szCs w:val="30"/>
          <w14:shadow w14:blurRad="69850" w14:dist="43180" w14:dir="5400000" w14:sx="0" w14:sy="0" w14:kx="0" w14:ky="0" w14:algn="none">
            <w14:srgbClr w14:val="000000">
              <w14:alpha w14:val="35000"/>
            </w14:srgbClr>
          </w14:shadow>
        </w:rPr>
        <w:t>：</w:t>
      </w:r>
      <w:r>
        <w:rPr>
          <w:rFonts w:eastAsia="黑体" w:cs="Times New Roman"/>
          <w:sz w:val="30"/>
          <w:szCs w:val="30"/>
          <w14:shadow w14:blurRad="69850" w14:dist="43180" w14:dir="5400000" w14:sx="0" w14:sy="0" w14:kx="0" w14:ky="0" w14:algn="none">
            <w14:srgbClr w14:val="000000">
              <w14:alpha w14:val="35000"/>
            </w14:srgbClr>
          </w14:shadow>
        </w:rPr>
        <w:t>浙大城市学院</w:t>
      </w:r>
    </w:p>
    <w:p>
      <w:pPr>
        <w:tabs>
          <w:tab w:val="left" w:pos="2800"/>
        </w:tabs>
        <w:ind w:left="160" w:leftChars="50" w:firstLine="602"/>
        <w:rPr>
          <w:rFonts w:eastAsia="黑体" w:cs="Times New Roman"/>
          <w:b/>
          <w:sz w:val="30"/>
          <w:szCs w:val="30"/>
          <w14:shadow w14:blurRad="69850" w14:dist="43180" w14:dir="5400000" w14:sx="0" w14:sy="0" w14:kx="0" w14:ky="0" w14:algn="none">
            <w14:srgbClr w14:val="000000">
              <w14:alpha w14:val="35000"/>
            </w14:srgbClr>
          </w14:shadow>
        </w:rPr>
      </w:pPr>
    </w:p>
    <w:p>
      <w:pPr>
        <w:tabs>
          <w:tab w:val="left" w:pos="1843"/>
        </w:tabs>
        <w:ind w:left="160" w:leftChars="50" w:firstLine="602"/>
        <w:rPr>
          <w:rFonts w:eastAsia="黑体" w:cs="Times New Roman"/>
          <w:b/>
          <w:sz w:val="30"/>
          <w:szCs w:val="30"/>
          <w14:shadow w14:blurRad="69850" w14:dist="43180" w14:dir="5400000" w14:sx="0" w14:sy="0" w14:kx="0" w14:ky="0" w14:algn="none">
            <w14:srgbClr w14:val="000000">
              <w14:alpha w14:val="35000"/>
            </w14:srgbClr>
          </w14:shadow>
        </w:rPr>
      </w:pPr>
      <w:r>
        <w:rPr>
          <w:rFonts w:hint="eastAsia" w:eastAsia="黑体" w:cs="Times New Roman"/>
          <w:b/>
          <w:sz w:val="30"/>
          <w:szCs w:val="30"/>
          <w14:shadow w14:blurRad="69850" w14:dist="43180" w14:dir="5400000" w14:sx="0" w14:sy="0" w14:kx="0" w14:ky="0" w14:algn="none">
            <w14:srgbClr w14:val="000000">
              <w14:alpha w14:val="35000"/>
            </w14:srgbClr>
          </w14:shadow>
        </w:rPr>
        <w:t>项目</w:t>
      </w:r>
      <w:r>
        <w:rPr>
          <w:rFonts w:eastAsia="黑体" w:cs="Times New Roman"/>
          <w:b/>
          <w:sz w:val="30"/>
          <w:szCs w:val="30"/>
          <w14:shadow w14:blurRad="69850" w14:dist="43180" w14:dir="5400000" w14:sx="0" w14:sy="0" w14:kx="0" w14:ky="0" w14:algn="none">
            <w14:srgbClr w14:val="000000">
              <w14:alpha w14:val="35000"/>
            </w14:srgbClr>
          </w14:shadow>
        </w:rPr>
        <w:t>负责人：</w:t>
      </w:r>
      <w:r>
        <w:rPr>
          <w:rFonts w:hint="eastAsia" w:eastAsia="黑体" w:cs="Times New Roman"/>
          <w:sz w:val="30"/>
          <w:szCs w:val="30"/>
          <w14:shadow w14:blurRad="69850" w14:dist="43180" w14:dir="5400000" w14:sx="0" w14:sy="0" w14:kx="0" w14:ky="0" w14:algn="none">
            <w14:srgbClr w14:val="000000">
              <w14:alpha w14:val="35000"/>
            </w14:srgbClr>
          </w14:shadow>
        </w:rPr>
        <w:t>桂明</w:t>
      </w:r>
    </w:p>
    <w:p>
      <w:pPr>
        <w:tabs>
          <w:tab w:val="left" w:pos="2800"/>
        </w:tabs>
        <w:ind w:left="160" w:leftChars="50" w:firstLine="602"/>
        <w:rPr>
          <w:rFonts w:eastAsia="黑体" w:cs="Times New Roman"/>
          <w:b/>
          <w:sz w:val="30"/>
          <w:szCs w:val="30"/>
          <w14:shadow w14:blurRad="69850" w14:dist="43180" w14:dir="5400000" w14:sx="0" w14:sy="0" w14:kx="0" w14:ky="0" w14:algn="none">
            <w14:srgbClr w14:val="000000">
              <w14:alpha w14:val="35000"/>
            </w14:srgbClr>
          </w14:shadow>
        </w:rPr>
      </w:pPr>
    </w:p>
    <w:p>
      <w:pPr>
        <w:tabs>
          <w:tab w:val="left" w:pos="1843"/>
        </w:tabs>
        <w:ind w:left="160" w:leftChars="50" w:firstLine="602"/>
        <w:rPr>
          <w:rFonts w:eastAsia="黑体" w:cs="Times New Roman"/>
          <w:bCs/>
          <w:sz w:val="30"/>
          <w:szCs w:val="30"/>
          <w14:shadow w14:blurRad="69850" w14:dist="43180" w14:dir="5400000" w14:sx="0" w14:sy="0" w14:kx="0" w14:ky="0" w14:algn="none">
            <w14:srgbClr w14:val="000000">
              <w14:alpha w14:val="35000"/>
            </w14:srgbClr>
          </w14:shadow>
        </w:rPr>
      </w:pPr>
      <w:r>
        <w:rPr>
          <w:rFonts w:eastAsia="黑体" w:cs="Times New Roman"/>
          <w:b/>
          <w:sz w:val="30"/>
          <w:szCs w:val="30"/>
          <w14:shadow w14:blurRad="69850" w14:dist="43180" w14:dir="5400000" w14:sx="0" w14:sy="0" w14:kx="0" w14:ky="0" w14:algn="none">
            <w14:srgbClr w14:val="000000">
              <w14:alpha w14:val="35000"/>
            </w14:srgbClr>
          </w14:shadow>
        </w:rPr>
        <w:t>课题组成员：</w:t>
      </w:r>
      <w:r>
        <w:rPr>
          <w:rFonts w:hint="eastAsia" w:eastAsia="黑体" w:cs="Times New Roman"/>
          <w:sz w:val="30"/>
          <w:szCs w:val="30"/>
          <w14:shadow w14:blurRad="69850" w14:dist="43180" w14:dir="5400000" w14:sx="0" w14:sy="0" w14:kx="0" w14:ky="0" w14:algn="none">
            <w14:srgbClr w14:val="000000">
              <w14:alpha w14:val="35000"/>
            </w14:srgbClr>
          </w14:shadow>
        </w:rPr>
        <w:t xml:space="preserve">杨文辉  </w:t>
      </w:r>
      <w:r>
        <w:rPr>
          <w:rFonts w:eastAsia="黑体" w:cs="Times New Roman"/>
          <w:sz w:val="30"/>
          <w:szCs w:val="30"/>
          <w14:shadow w14:blurRad="69850" w14:dist="43180" w14:dir="5400000" w14:sx="0" w14:sy="0" w14:kx="0" w14:ky="0" w14:algn="none">
            <w14:srgbClr w14:val="000000">
              <w14:alpha w14:val="35000"/>
            </w14:srgbClr>
          </w14:shadow>
        </w:rPr>
        <w:t xml:space="preserve"> </w:t>
      </w:r>
      <w:r>
        <w:rPr>
          <w:rFonts w:hint="eastAsia" w:eastAsia="黑体" w:cs="Times New Roman"/>
          <w:bCs/>
          <w:sz w:val="30"/>
          <w:szCs w:val="30"/>
          <w14:shadow w14:blurRad="69850" w14:dist="43180" w14:dir="5400000" w14:sx="0" w14:sy="0" w14:kx="0" w14:ky="0" w14:algn="none">
            <w14:srgbClr w14:val="000000">
              <w14:alpha w14:val="35000"/>
            </w14:srgbClr>
          </w14:shadow>
        </w:rPr>
        <w:t>王栋涛   任  丹</w:t>
      </w:r>
      <w:r>
        <w:rPr>
          <w:rFonts w:eastAsia="黑体" w:cs="Times New Roman"/>
          <w:b/>
          <w:sz w:val="30"/>
          <w:szCs w:val="30"/>
          <w14:shadow w14:blurRad="69850" w14:dist="43180" w14:dir="5400000" w14:sx="0" w14:sy="0" w14:kx="0" w14:ky="0" w14:algn="none">
            <w14:srgbClr w14:val="000000">
              <w14:alpha w14:val="35000"/>
            </w14:srgbClr>
          </w14:shadow>
        </w:rPr>
        <w:t xml:space="preserve"> </w:t>
      </w:r>
      <w:r>
        <w:rPr>
          <w:rFonts w:hint="eastAsia" w:eastAsia="黑体" w:cs="Times New Roman"/>
          <w:b/>
          <w:sz w:val="30"/>
          <w:szCs w:val="30"/>
          <w14:shadow w14:blurRad="69850" w14:dist="43180" w14:dir="5400000" w14:sx="0" w14:sy="0" w14:kx="0" w14:ky="0" w14:algn="none">
            <w14:srgbClr w14:val="000000">
              <w14:alpha w14:val="35000"/>
            </w14:srgbClr>
          </w14:shadow>
        </w:rPr>
        <w:t xml:space="preserve"> </w:t>
      </w:r>
      <w:r>
        <w:rPr>
          <w:rFonts w:eastAsia="黑体" w:cs="Times New Roman"/>
          <w:b/>
          <w:sz w:val="30"/>
          <w:szCs w:val="30"/>
          <w14:shadow w14:blurRad="69850" w14:dist="43180" w14:dir="5400000" w14:sx="0" w14:sy="0" w14:kx="0" w14:ky="0" w14:algn="none">
            <w14:srgbClr w14:val="000000">
              <w14:alpha w14:val="35000"/>
            </w14:srgbClr>
          </w14:shadow>
        </w:rPr>
        <w:t xml:space="preserve"> </w:t>
      </w:r>
      <w:r>
        <w:rPr>
          <w:rFonts w:hint="eastAsia" w:eastAsia="黑体" w:cs="Times New Roman"/>
          <w:bCs/>
          <w:sz w:val="30"/>
          <w:szCs w:val="30"/>
          <w14:shadow w14:blurRad="69850" w14:dist="43180" w14:dir="5400000" w14:sx="0" w14:sy="0" w14:kx="0" w14:ky="0" w14:algn="none">
            <w14:srgbClr w14:val="000000">
              <w14:alpha w14:val="35000"/>
            </w14:srgbClr>
          </w14:shadow>
        </w:rPr>
        <w:t xml:space="preserve">李 </w:t>
      </w:r>
      <w:r>
        <w:rPr>
          <w:rFonts w:eastAsia="黑体" w:cs="Times New Roman"/>
          <w:bCs/>
          <w:sz w:val="30"/>
          <w:szCs w:val="30"/>
          <w14:shadow w14:blurRad="69850" w14:dist="43180" w14:dir="5400000" w14:sx="0" w14:sy="0" w14:kx="0" w14:ky="0" w14:algn="none">
            <w14:srgbClr w14:val="000000">
              <w14:alpha w14:val="35000"/>
            </w14:srgbClr>
          </w14:shadow>
        </w:rPr>
        <w:t xml:space="preserve"> </w:t>
      </w:r>
      <w:r>
        <w:rPr>
          <w:rFonts w:hint="eastAsia" w:eastAsia="黑体" w:cs="Times New Roman"/>
          <w:bCs/>
          <w:sz w:val="30"/>
          <w:szCs w:val="30"/>
          <w14:shadow w14:blurRad="69850" w14:dist="43180" w14:dir="5400000" w14:sx="0" w14:sy="0" w14:kx="0" w14:ky="0" w14:algn="none">
            <w14:srgbClr w14:val="000000">
              <w14:alpha w14:val="35000"/>
            </w14:srgbClr>
          </w14:shadow>
        </w:rPr>
        <w:t>勃</w:t>
      </w:r>
    </w:p>
    <w:p>
      <w:pPr>
        <w:tabs>
          <w:tab w:val="left" w:pos="1843"/>
        </w:tabs>
        <w:ind w:left="160" w:leftChars="50" w:firstLine="1800" w:firstLineChars="600"/>
        <w:rPr>
          <w:rFonts w:eastAsia="黑体" w:cs="Times New Roman"/>
          <w:sz w:val="30"/>
          <w:szCs w:val="30"/>
          <w14:shadow w14:blurRad="69850" w14:dist="43180" w14:dir="5400000" w14:sx="0" w14:sy="0" w14:kx="0" w14:ky="0" w14:algn="none">
            <w14:srgbClr w14:val="000000">
              <w14:alpha w14:val="35000"/>
            </w14:srgbClr>
          </w14:shadow>
        </w:rPr>
      </w:pPr>
      <w:r>
        <w:rPr>
          <w:rFonts w:eastAsia="黑体" w:cs="Times New Roman"/>
          <w:sz w:val="30"/>
          <w:szCs w:val="30"/>
          <w14:shadow w14:blurRad="69850" w14:dist="43180" w14:dir="5400000" w14:sx="0" w14:sy="0" w14:kx="0" w14:ky="0" w14:algn="none">
            <w14:srgbClr w14:val="000000">
              <w14:alpha w14:val="35000"/>
            </w14:srgbClr>
          </w14:shadow>
        </w:rPr>
        <w:t xml:space="preserve"> </w:t>
      </w:r>
    </w:p>
    <w:p>
      <w:pPr>
        <w:ind w:firstLine="723"/>
        <w:jc w:val="center"/>
        <w:rPr>
          <w:rFonts w:ascii="宋体" w:hAnsi="宋体"/>
          <w:b/>
          <w:bCs/>
          <w:sz w:val="36"/>
          <w:szCs w:val="40"/>
        </w:rPr>
      </w:pPr>
    </w:p>
    <w:p>
      <w:pPr>
        <w:ind w:firstLine="723"/>
        <w:jc w:val="center"/>
        <w:rPr>
          <w:rFonts w:ascii="宋体" w:hAnsi="宋体"/>
          <w:b/>
          <w:bCs/>
          <w:sz w:val="36"/>
          <w:szCs w:val="40"/>
        </w:rPr>
      </w:pPr>
    </w:p>
    <w:p>
      <w:pPr>
        <w:ind w:firstLine="723"/>
        <w:jc w:val="center"/>
        <w:rPr>
          <w:rFonts w:ascii="宋体" w:hAnsi="宋体"/>
          <w:b/>
          <w:bCs/>
          <w:sz w:val="36"/>
          <w:szCs w:val="40"/>
        </w:rPr>
        <w:sectPr>
          <w:pgSz w:w="11906" w:h="16838"/>
          <w:pgMar w:top="1440" w:right="1800" w:bottom="1440" w:left="1800" w:header="851" w:footer="992" w:gutter="0"/>
          <w:cols w:space="425" w:num="1"/>
          <w:docGrid w:type="lines" w:linePitch="312" w:charSpace="0"/>
        </w:sectPr>
      </w:pPr>
    </w:p>
    <w:sdt>
      <w:sdtPr>
        <w:rPr>
          <w:rFonts w:ascii="Times New Roman" w:hAnsi="Times New Roman" w:eastAsia="宋体" w:cstheme="minorBidi"/>
          <w:color w:val="auto"/>
          <w:kern w:val="2"/>
          <w:sz w:val="28"/>
          <w:szCs w:val="22"/>
          <w:lang w:val="zh-CN"/>
        </w:rPr>
        <w:id w:val="-1353726847"/>
        <w:docPartObj>
          <w:docPartGallery w:val="Table of Contents"/>
          <w:docPartUnique/>
        </w:docPartObj>
      </w:sdtPr>
      <w:sdtEndPr>
        <w:rPr>
          <w:rFonts w:ascii="Times New Roman" w:hAnsi="Times New Roman" w:eastAsia="仿宋_GB2312" w:cstheme="minorBidi"/>
          <w:b/>
          <w:bCs/>
          <w:color w:val="auto"/>
          <w:kern w:val="2"/>
          <w:sz w:val="32"/>
          <w:szCs w:val="22"/>
          <w:lang w:val="zh-CN"/>
        </w:rPr>
      </w:sdtEndPr>
      <w:sdtContent>
        <w:p>
          <w:pPr>
            <w:pStyle w:val="42"/>
            <w:ind w:firstLine="560"/>
            <w:jc w:val="center"/>
            <w:rPr>
              <w:rFonts w:ascii="黑体" w:hAnsi="黑体" w:eastAsia="黑体"/>
              <w:b/>
              <w:bCs/>
              <w:color w:val="auto"/>
              <w:sz w:val="40"/>
              <w:szCs w:val="40"/>
            </w:rPr>
          </w:pPr>
          <w:r>
            <w:rPr>
              <w:rFonts w:ascii="黑体" w:hAnsi="黑体" w:eastAsia="黑体"/>
              <w:b/>
              <w:bCs/>
              <w:color w:val="auto"/>
              <w:sz w:val="40"/>
              <w:szCs w:val="40"/>
              <w:lang w:val="zh-CN"/>
            </w:rPr>
            <w:t>目</w:t>
          </w:r>
          <w:r>
            <w:rPr>
              <w:rFonts w:hint="eastAsia" w:ascii="黑体" w:hAnsi="黑体" w:eastAsia="黑体"/>
              <w:b/>
              <w:bCs/>
              <w:color w:val="auto"/>
              <w:sz w:val="40"/>
              <w:szCs w:val="40"/>
              <w:lang w:val="zh-CN"/>
            </w:rPr>
            <w:t xml:space="preserve"> </w:t>
          </w:r>
          <w:r>
            <w:rPr>
              <w:rFonts w:ascii="黑体" w:hAnsi="黑体" w:eastAsia="黑体"/>
              <w:b/>
              <w:bCs/>
              <w:color w:val="auto"/>
              <w:sz w:val="40"/>
              <w:szCs w:val="40"/>
              <w:lang w:val="zh-CN"/>
            </w:rPr>
            <w:t>录</w:t>
          </w:r>
        </w:p>
        <w:p>
          <w:pPr>
            <w:pStyle w:val="14"/>
            <w:rPr>
              <w:rFonts w:asciiTheme="minorHAnsi" w:hAnsiTheme="minorHAnsi" w:eastAsiaTheme="minorEastAsia"/>
              <w:sz w:val="22"/>
              <w:szCs w:val="24"/>
              <w14:ligatures w14:val="standardContextual"/>
            </w:rPr>
          </w:pPr>
          <w:r>
            <w:fldChar w:fldCharType="begin"/>
          </w:r>
          <w:r>
            <w:instrText xml:space="preserve"> TOC \o "1-2" \h \z \u </w:instrText>
          </w:r>
          <w:r>
            <w:fldChar w:fldCharType="separate"/>
          </w:r>
          <w:r>
            <w:fldChar w:fldCharType="begin"/>
          </w:r>
          <w:r>
            <w:instrText xml:space="preserve"> HYPERLINK \l "_Toc168062373" </w:instrText>
          </w:r>
          <w:r>
            <w:fldChar w:fldCharType="separate"/>
          </w:r>
          <w:r>
            <w:rPr>
              <w:rStyle w:val="24"/>
              <w:color w:val="auto"/>
            </w:rPr>
            <w:t>1 规划总则</w:t>
          </w:r>
          <w:r>
            <w:tab/>
          </w:r>
          <w:r>
            <w:fldChar w:fldCharType="begin"/>
          </w:r>
          <w:r>
            <w:instrText xml:space="preserve"> PAGEREF _Toc168062373 \h </w:instrText>
          </w:r>
          <w:r>
            <w:fldChar w:fldCharType="separate"/>
          </w:r>
          <w:r>
            <w:t>1</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"_Toc168062374" </w:instrText>
          </w:r>
          <w:r>
            <w:fldChar w:fldCharType="separate"/>
          </w:r>
          <w:r>
            <w:rPr>
              <w:rStyle w:val="24"/>
              <w:color w:val="auto"/>
            </w:rPr>
            <w:t>1.1 规划编制背景</w:t>
          </w:r>
          <w:r>
            <w:tab/>
          </w:r>
          <w:r>
            <w:fldChar w:fldCharType="begin"/>
          </w:r>
          <w:r>
            <w:instrText xml:space="preserve"> PAGEREF _Toc168062374 \h </w:instrText>
          </w:r>
          <w:r>
            <w:fldChar w:fldCharType="separate"/>
          </w:r>
          <w:r>
            <w:t>1</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"_Toc168062375" </w:instrText>
          </w:r>
          <w:r>
            <w:fldChar w:fldCharType="separate"/>
          </w:r>
          <w:r>
            <w:rPr>
              <w:rStyle w:val="24"/>
              <w:color w:val="auto"/>
            </w:rPr>
            <w:t>1.2 指导思想</w:t>
          </w:r>
          <w:r>
            <w:tab/>
          </w:r>
          <w:r>
            <w:fldChar w:fldCharType="begin"/>
          </w:r>
          <w:r>
            <w:instrText xml:space="preserve"> PAGEREF _Toc168062375 \h </w:instrText>
          </w:r>
          <w:r>
            <w:fldChar w:fldCharType="separate"/>
          </w:r>
          <w:r>
            <w:t>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"_Toc168062376" </w:instrText>
          </w:r>
          <w:r>
            <w:fldChar w:fldCharType="separate"/>
          </w:r>
          <w:r>
            <w:rPr>
              <w:rStyle w:val="24"/>
              <w:color w:val="auto"/>
            </w:rPr>
            <w:t>1.3 规划原则</w:t>
          </w:r>
          <w:r>
            <w:tab/>
          </w:r>
          <w:r>
            <w:fldChar w:fldCharType="begin"/>
          </w:r>
          <w:r>
            <w:instrText xml:space="preserve"> PAGEREF _Toc168062376 \h </w:instrText>
          </w:r>
          <w:r>
            <w:fldChar w:fldCharType="separate"/>
          </w:r>
          <w:r>
            <w:t>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"_Toc168062377" </w:instrText>
          </w:r>
          <w:r>
            <w:fldChar w:fldCharType="separate"/>
          </w:r>
          <w:r>
            <w:rPr>
              <w:rStyle w:val="24"/>
              <w:color w:val="auto"/>
            </w:rPr>
            <w:t>1.4 规划依据</w:t>
          </w:r>
          <w:r>
            <w:tab/>
          </w:r>
          <w:r>
            <w:fldChar w:fldCharType="begin"/>
          </w:r>
          <w:r>
            <w:instrText xml:space="preserve"> PAGEREF _Toc168062377 \h </w:instrText>
          </w:r>
          <w:r>
            <w:fldChar w:fldCharType="separate"/>
          </w:r>
          <w:r>
            <w:t>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"_Toc168062378" </w:instrText>
          </w:r>
          <w:r>
            <w:fldChar w:fldCharType="separate"/>
          </w:r>
          <w:r>
            <w:rPr>
              <w:rStyle w:val="24"/>
              <w:color w:val="auto"/>
            </w:rPr>
            <w:t>1.5 规划范围及年限</w:t>
          </w:r>
          <w:r>
            <w:tab/>
          </w:r>
          <w:r>
            <w:fldChar w:fldCharType="begin"/>
          </w:r>
          <w:r>
            <w:instrText xml:space="preserve"> PAGEREF _Toc168062378 \h </w:instrText>
          </w:r>
          <w:r>
            <w:fldChar w:fldCharType="separate"/>
          </w:r>
          <w:r>
            <w:t>8</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"_Toc168062379" </w:instrText>
          </w:r>
          <w:r>
            <w:fldChar w:fldCharType="separate"/>
          </w:r>
          <w:r>
            <w:rPr>
              <w:rStyle w:val="24"/>
              <w:color w:val="auto"/>
            </w:rPr>
            <w:t>2 现状分析</w:t>
          </w:r>
          <w:r>
            <w:tab/>
          </w:r>
          <w:r>
            <w:fldChar w:fldCharType="begin"/>
          </w:r>
          <w:r>
            <w:instrText xml:space="preserve"> PAGEREF _Toc168062379 \h </w:instrText>
          </w:r>
          <w:r>
            <w:fldChar w:fldCharType="separate"/>
          </w:r>
          <w:r>
            <w:t>8</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"_Toc168062380" </w:instrText>
          </w:r>
          <w:r>
            <w:fldChar w:fldCharType="separate"/>
          </w:r>
          <w:r>
            <w:rPr>
              <w:rStyle w:val="24"/>
              <w:color w:val="auto"/>
            </w:rPr>
            <w:t>2.1 建筑垃圾清运处置情况</w:t>
          </w:r>
          <w:r>
            <w:tab/>
          </w:r>
          <w:r>
            <w:fldChar w:fldCharType="begin"/>
          </w:r>
          <w:r>
            <w:instrText xml:space="preserve"> PAGEREF _Toc168062380 \h </w:instrText>
          </w:r>
          <w:r>
            <w:fldChar w:fldCharType="separate"/>
          </w:r>
          <w:r>
            <w:t>8</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"_Toc168062381" </w:instrText>
          </w:r>
          <w:r>
            <w:fldChar w:fldCharType="separate"/>
          </w:r>
          <w:r>
            <w:rPr>
              <w:rStyle w:val="24"/>
              <w:color w:val="auto"/>
            </w:rPr>
            <w:t>2.2 建筑垃圾处置能力建设情况</w:t>
          </w:r>
          <w:r>
            <w:tab/>
          </w:r>
          <w:r>
            <w:fldChar w:fldCharType="begin"/>
          </w:r>
          <w:r>
            <w:instrText xml:space="preserve"> PAGEREF _Toc168062381 \h </w:instrText>
          </w:r>
          <w:r>
            <w:fldChar w:fldCharType="separate"/>
          </w:r>
          <w:r>
            <w:t>16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"_Toc168062382" </w:instrText>
          </w:r>
          <w:r>
            <w:fldChar w:fldCharType="separate"/>
          </w:r>
          <w:r>
            <w:rPr>
              <w:rStyle w:val="24"/>
              <w:color w:val="auto"/>
            </w:rPr>
            <w:t>2.3 建筑垃圾机制体制情况</w:t>
          </w:r>
          <w:r>
            <w:tab/>
          </w:r>
          <w:r>
            <w:fldChar w:fldCharType="begin"/>
          </w:r>
          <w:r>
            <w:instrText xml:space="preserve"> PAGEREF _Toc168062382 \h </w:instrText>
          </w:r>
          <w:r>
            <w:fldChar w:fldCharType="separate"/>
          </w:r>
          <w:r>
            <w:t>19</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"_Toc168062383" </w:instrText>
          </w:r>
          <w:r>
            <w:fldChar w:fldCharType="separate"/>
          </w:r>
          <w:r>
            <w:rPr>
              <w:rStyle w:val="24"/>
              <w:color w:val="auto"/>
            </w:rPr>
            <w:t>2.4 建筑垃圾智能监管情况</w:t>
          </w:r>
          <w:r>
            <w:tab/>
          </w:r>
          <w:r>
            <w:fldChar w:fldCharType="begin"/>
          </w:r>
          <w:r>
            <w:instrText xml:space="preserve"> PAGEREF _Toc168062383 \h </w:instrText>
          </w:r>
          <w:r>
            <w:fldChar w:fldCharType="separate"/>
          </w:r>
          <w:r>
            <w:t>24</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"_Toc168062384" </w:instrText>
          </w:r>
          <w:r>
            <w:fldChar w:fldCharType="separate"/>
          </w:r>
          <w:r>
            <w:rPr>
              <w:rStyle w:val="24"/>
              <w:color w:val="auto"/>
            </w:rPr>
            <w:t>2.5 工作督查监管情况</w:t>
          </w:r>
          <w:r>
            <w:tab/>
          </w:r>
          <w:r>
            <w:fldChar w:fldCharType="begin"/>
          </w:r>
          <w:r>
            <w:instrText xml:space="preserve"> PAGEREF _Toc168062384 \h </w:instrText>
          </w:r>
          <w:r>
            <w:fldChar w:fldCharType="separate"/>
          </w:r>
          <w:r>
            <w:t>28</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"_Toc168062385" </w:instrText>
          </w:r>
          <w:r>
            <w:fldChar w:fldCharType="separate"/>
          </w:r>
          <w:r>
            <w:rPr>
              <w:rStyle w:val="24"/>
              <w:color w:val="auto"/>
            </w:rPr>
            <w:t>2.6 信息公开宣传情况</w:t>
          </w:r>
          <w:r>
            <w:tab/>
          </w:r>
          <w:r>
            <w:fldChar w:fldCharType="begin"/>
          </w:r>
          <w:r>
            <w:instrText xml:space="preserve"> PAGEREF _Toc168062385 \h </w:instrText>
          </w:r>
          <w:r>
            <w:fldChar w:fldCharType="separate"/>
          </w:r>
          <w:r>
            <w:t>31</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"_Toc168062386" </w:instrText>
          </w:r>
          <w:r>
            <w:fldChar w:fldCharType="separate"/>
          </w:r>
          <w:r>
            <w:rPr>
              <w:rStyle w:val="24"/>
              <w:color w:val="auto"/>
            </w:rPr>
            <w:t>2.7 存在问题</w:t>
          </w:r>
          <w:r>
            <w:tab/>
          </w:r>
          <w:r>
            <w:fldChar w:fldCharType="begin"/>
          </w:r>
          <w:r>
            <w:instrText xml:space="preserve"> PAGEREF _Toc168062386 \h </w:instrText>
          </w:r>
          <w:r>
            <w:fldChar w:fldCharType="separate"/>
          </w:r>
          <w:r>
            <w:t>34</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"_Toc168062387" </w:instrText>
          </w:r>
          <w:r>
            <w:fldChar w:fldCharType="separate"/>
          </w:r>
          <w:r>
            <w:rPr>
              <w:rStyle w:val="24"/>
              <w:color w:val="auto"/>
            </w:rPr>
            <w:t>3 规划解读及案例分析</w:t>
          </w:r>
          <w:r>
            <w:tab/>
          </w:r>
          <w:r>
            <w:fldChar w:fldCharType="begin"/>
          </w:r>
          <w:r>
            <w:instrText xml:space="preserve"> PAGEREF _Toc168062387 \h </w:instrText>
          </w:r>
          <w:r>
            <w:fldChar w:fldCharType="separate"/>
          </w:r>
          <w:r>
            <w:t>36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"_Toc168062388" </w:instrText>
          </w:r>
          <w:r>
            <w:fldChar w:fldCharType="separate"/>
          </w:r>
          <w:r>
            <w:rPr>
              <w:rStyle w:val="24"/>
              <w:color w:val="auto"/>
            </w:rPr>
            <w:t>3.1 相关规划解读</w:t>
          </w:r>
          <w:r>
            <w:tab/>
          </w:r>
          <w:r>
            <w:fldChar w:fldCharType="begin"/>
          </w:r>
          <w:r>
            <w:instrText xml:space="preserve"> PAGEREF _Toc168062388 \h </w:instrText>
          </w:r>
          <w:r>
            <w:fldChar w:fldCharType="separate"/>
          </w:r>
          <w:r>
            <w:t>36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"_Toc168062389" </w:instrText>
          </w:r>
          <w:r>
            <w:fldChar w:fldCharType="separate"/>
          </w:r>
          <w:r>
            <w:rPr>
              <w:rStyle w:val="24"/>
              <w:color w:val="auto"/>
            </w:rPr>
            <w:t>3.2 国内外经验借鉴</w:t>
          </w:r>
          <w:r>
            <w:tab/>
          </w:r>
          <w:r>
            <w:fldChar w:fldCharType="begin"/>
          </w:r>
          <w:r>
            <w:instrText xml:space="preserve"> PAGEREF _Toc168062389 \h </w:instrText>
          </w:r>
          <w:r>
            <w:fldChar w:fldCharType="separate"/>
          </w:r>
          <w:r>
            <w:t>37</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"_Toc168062390" </w:instrText>
          </w:r>
          <w:r>
            <w:fldChar w:fldCharType="separate"/>
          </w:r>
          <w:r>
            <w:rPr>
              <w:rStyle w:val="24"/>
              <w:color w:val="auto"/>
            </w:rPr>
            <w:t>4 规划目标</w:t>
          </w:r>
          <w:r>
            <w:tab/>
          </w:r>
          <w:r>
            <w:fldChar w:fldCharType="begin"/>
          </w:r>
          <w:r>
            <w:instrText xml:space="preserve"> PAGEREF _Toc168062390 \h </w:instrText>
          </w:r>
          <w:r>
            <w:fldChar w:fldCharType="separate"/>
          </w:r>
          <w:r>
            <w:t>55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"_Toc168062391" </w:instrText>
          </w:r>
          <w:r>
            <w:fldChar w:fldCharType="separate"/>
          </w:r>
          <w:r>
            <w:rPr>
              <w:rStyle w:val="24"/>
              <w:color w:val="auto"/>
            </w:rPr>
            <w:t>4.1 总体目标</w:t>
          </w:r>
          <w:r>
            <w:tab/>
          </w:r>
          <w:r>
            <w:fldChar w:fldCharType="begin"/>
          </w:r>
          <w:r>
            <w:instrText xml:space="preserve"> PAGEREF _Toc168062391 \h </w:instrText>
          </w:r>
          <w:r>
            <w:fldChar w:fldCharType="separate"/>
          </w:r>
          <w:r>
            <w:t>55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"_Toc168062392" </w:instrText>
          </w:r>
          <w:r>
            <w:fldChar w:fldCharType="separate"/>
          </w:r>
          <w:r>
            <w:rPr>
              <w:rStyle w:val="24"/>
              <w:color w:val="auto"/>
            </w:rPr>
            <w:t>4.2 分期目标</w:t>
          </w:r>
          <w:r>
            <w:tab/>
          </w:r>
          <w:r>
            <w:fldChar w:fldCharType="begin"/>
          </w:r>
          <w:r>
            <w:instrText xml:space="preserve"> PAGEREF _Toc168062392 \h </w:instrText>
          </w:r>
          <w:r>
            <w:fldChar w:fldCharType="separate"/>
          </w:r>
          <w:r>
            <w:t>55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"_Toc168062393" </w:instrText>
          </w:r>
          <w:r>
            <w:fldChar w:fldCharType="separate"/>
          </w:r>
          <w:r>
            <w:rPr>
              <w:rStyle w:val="24"/>
              <w:color w:val="auto"/>
            </w:rPr>
            <w:t>4.3 规划指标体系</w:t>
          </w:r>
          <w:r>
            <w:tab/>
          </w:r>
          <w:r>
            <w:fldChar w:fldCharType="begin"/>
          </w:r>
          <w:r>
            <w:instrText xml:space="preserve"> PAGEREF _Toc168062393 \h </w:instrText>
          </w:r>
          <w:r>
            <w:fldChar w:fldCharType="separate"/>
          </w:r>
          <w:r>
            <w:t>55</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"_Toc168062394" </w:instrText>
          </w:r>
          <w:r>
            <w:fldChar w:fldCharType="separate"/>
          </w:r>
          <w:r>
            <w:rPr>
              <w:rStyle w:val="24"/>
              <w:color w:val="auto"/>
            </w:rPr>
            <w:t>5 规模预测</w:t>
          </w:r>
          <w:r>
            <w:tab/>
          </w:r>
          <w:r>
            <w:fldChar w:fldCharType="begin"/>
          </w:r>
          <w:r>
            <w:instrText xml:space="preserve"> PAGEREF _Toc168062394 \h </w:instrText>
          </w:r>
          <w:r>
            <w:fldChar w:fldCharType="separate"/>
          </w:r>
          <w:r>
            <w:t>56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"_Toc168062395" </w:instrText>
          </w:r>
          <w:r>
            <w:fldChar w:fldCharType="separate"/>
          </w:r>
          <w:r>
            <w:rPr>
              <w:rStyle w:val="24"/>
              <w:color w:val="auto"/>
            </w:rPr>
            <w:t>5.1 建筑垃圾产生量预测</w:t>
          </w:r>
          <w:r>
            <w:tab/>
          </w:r>
          <w:r>
            <w:fldChar w:fldCharType="begin"/>
          </w:r>
          <w:r>
            <w:instrText xml:space="preserve"> PAGEREF _Toc168062395 \h </w:instrText>
          </w:r>
          <w:r>
            <w:fldChar w:fldCharType="separate"/>
          </w:r>
          <w:r>
            <w:t>56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"_Toc168062396" </w:instrText>
          </w:r>
          <w:r>
            <w:fldChar w:fldCharType="separate"/>
          </w:r>
          <w:r>
            <w:rPr>
              <w:rStyle w:val="24"/>
              <w:color w:val="auto"/>
            </w:rPr>
            <w:t>5.2 建筑垃圾利用和处置规模预测</w:t>
          </w:r>
          <w:r>
            <w:tab/>
          </w:r>
          <w:r>
            <w:fldChar w:fldCharType="begin"/>
          </w:r>
          <w:r>
            <w:instrText xml:space="preserve"> PAGEREF _Toc168062396 \h </w:instrText>
          </w:r>
          <w:r>
            <w:fldChar w:fldCharType="separate"/>
          </w:r>
          <w:r>
            <w:t>60</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"_Toc168062397" </w:instrText>
          </w:r>
          <w:r>
            <w:fldChar w:fldCharType="separate"/>
          </w:r>
          <w:r>
            <w:rPr>
              <w:rStyle w:val="24"/>
              <w:color w:val="auto"/>
            </w:rPr>
            <w:t>6 建筑垃圾源头减量规划</w:t>
          </w:r>
          <w:r>
            <w:tab/>
          </w:r>
          <w:r>
            <w:fldChar w:fldCharType="begin"/>
          </w:r>
          <w:r>
            <w:instrText xml:space="preserve"> PAGEREF _Toc168062397 \h </w:instrText>
          </w:r>
          <w:r>
            <w:fldChar w:fldCharType="separate"/>
          </w:r>
          <w:r>
            <w:t>60</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"_Toc168062398" </w:instrText>
          </w:r>
          <w:r>
            <w:fldChar w:fldCharType="separate"/>
          </w:r>
          <w:r>
            <w:rPr>
              <w:rStyle w:val="24"/>
              <w:color w:val="auto"/>
            </w:rPr>
            <w:t>6.1 建筑垃圾源头减量目标</w:t>
          </w:r>
          <w:r>
            <w:tab/>
          </w:r>
          <w:r>
            <w:fldChar w:fldCharType="begin"/>
          </w:r>
          <w:r>
            <w:instrText xml:space="preserve"> PAGEREF _Toc168062398 \h </w:instrText>
          </w:r>
          <w:r>
            <w:fldChar w:fldCharType="separate"/>
          </w:r>
          <w:r>
            <w:t>60</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"_Toc168062399" </w:instrText>
          </w:r>
          <w:r>
            <w:fldChar w:fldCharType="separate"/>
          </w:r>
          <w:r>
            <w:rPr>
              <w:rStyle w:val="24"/>
              <w:color w:val="auto"/>
            </w:rPr>
            <w:t>6.2 建筑垃圾源头减量措施</w:t>
          </w:r>
          <w:r>
            <w:tab/>
          </w:r>
          <w:r>
            <w:fldChar w:fldCharType="begin"/>
          </w:r>
          <w:r>
            <w:instrText xml:space="preserve"> PAGEREF _Toc168062399 \h </w:instrText>
          </w:r>
          <w:r>
            <w:fldChar w:fldCharType="separate"/>
          </w:r>
          <w:r>
            <w:t>61</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"_Toc168062400" </w:instrText>
          </w:r>
          <w:r>
            <w:fldChar w:fldCharType="separate"/>
          </w:r>
          <w:r>
            <w:rPr>
              <w:rStyle w:val="24"/>
              <w:color w:val="auto"/>
            </w:rPr>
            <w:t>6.3 建筑垃圾源头污染防治要求</w:t>
          </w:r>
          <w:r>
            <w:tab/>
          </w:r>
          <w:r>
            <w:fldChar w:fldCharType="begin"/>
          </w:r>
          <w:r>
            <w:instrText xml:space="preserve"> PAGEREF _Toc168062400 \h </w:instrText>
          </w:r>
          <w:r>
            <w:fldChar w:fldCharType="separate"/>
          </w:r>
          <w:r>
            <w:t>64</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"_Toc168062401" </w:instrText>
          </w:r>
          <w:r>
            <w:fldChar w:fldCharType="separate"/>
          </w:r>
          <w:r>
            <w:rPr>
              <w:rStyle w:val="24"/>
              <w:color w:val="auto"/>
            </w:rPr>
            <w:t>7 建筑垃圾收集运输规划</w:t>
          </w:r>
          <w:r>
            <w:tab/>
          </w:r>
          <w:r>
            <w:fldChar w:fldCharType="begin"/>
          </w:r>
          <w:r>
            <w:instrText xml:space="preserve"> PAGEREF _Toc168062401 \h </w:instrText>
          </w:r>
          <w:r>
            <w:fldChar w:fldCharType="separate"/>
          </w:r>
          <w:r>
            <w:t>65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"_Toc168062402" </w:instrText>
          </w:r>
          <w:r>
            <w:fldChar w:fldCharType="separate"/>
          </w:r>
          <w:r>
            <w:rPr>
              <w:rStyle w:val="24"/>
              <w:color w:val="auto"/>
            </w:rPr>
            <w:t>7.1 建筑垃圾收运模式</w:t>
          </w:r>
          <w:r>
            <w:tab/>
          </w:r>
          <w:r>
            <w:fldChar w:fldCharType="begin"/>
          </w:r>
          <w:r>
            <w:instrText xml:space="preserve"> PAGEREF _Toc168062402 \h </w:instrText>
          </w:r>
          <w:r>
            <w:fldChar w:fldCharType="separate"/>
          </w:r>
          <w:r>
            <w:t>65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"_Toc168062403" </w:instrText>
          </w:r>
          <w:r>
            <w:fldChar w:fldCharType="separate"/>
          </w:r>
          <w:r>
            <w:rPr>
              <w:rStyle w:val="24"/>
              <w:color w:val="auto"/>
            </w:rPr>
            <w:t>7.2 建筑垃圾收运要求</w:t>
          </w:r>
          <w:r>
            <w:tab/>
          </w:r>
          <w:r>
            <w:fldChar w:fldCharType="begin"/>
          </w:r>
          <w:r>
            <w:instrText xml:space="preserve"> PAGEREF _Toc168062403 \h </w:instrText>
          </w:r>
          <w:r>
            <w:fldChar w:fldCharType="separate"/>
          </w:r>
          <w:r>
            <w:t>66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"_Toc168062404" </w:instrText>
          </w:r>
          <w:r>
            <w:fldChar w:fldCharType="separate"/>
          </w:r>
          <w:r>
            <w:rPr>
              <w:rStyle w:val="24"/>
              <w:color w:val="auto"/>
            </w:rPr>
            <w:t>7.3 建筑垃圾分类收运</w:t>
          </w:r>
          <w:r>
            <w:tab/>
          </w:r>
          <w:r>
            <w:fldChar w:fldCharType="begin"/>
          </w:r>
          <w:r>
            <w:instrText xml:space="preserve"> PAGEREF _Toc168062404 \h </w:instrText>
          </w:r>
          <w:r>
            <w:fldChar w:fldCharType="separate"/>
          </w:r>
          <w:r>
            <w:t>68</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"_Toc168062405" </w:instrText>
          </w:r>
          <w:r>
            <w:fldChar w:fldCharType="separate"/>
          </w:r>
          <w:r>
            <w:rPr>
              <w:rStyle w:val="24"/>
              <w:color w:val="auto"/>
            </w:rPr>
            <w:t>7.4 建筑垃圾收运设施设备</w:t>
          </w:r>
          <w:r>
            <w:tab/>
          </w:r>
          <w:r>
            <w:fldChar w:fldCharType="begin"/>
          </w:r>
          <w:r>
            <w:instrText xml:space="preserve"> PAGEREF _Toc168062405 \h </w:instrText>
          </w:r>
          <w:r>
            <w:fldChar w:fldCharType="separate"/>
          </w:r>
          <w:r>
            <w:t>70</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"_Toc168062406" </w:instrText>
          </w:r>
          <w:r>
            <w:fldChar w:fldCharType="separate"/>
          </w:r>
          <w:r>
            <w:rPr>
              <w:rStyle w:val="24"/>
              <w:color w:val="auto"/>
            </w:rPr>
            <w:t>8 建筑垃圾利用及处置规划</w:t>
          </w:r>
          <w:r>
            <w:tab/>
          </w:r>
          <w:r>
            <w:fldChar w:fldCharType="begin"/>
          </w:r>
          <w:r>
            <w:instrText xml:space="preserve"> PAGEREF _Toc168062406 \h </w:instrText>
          </w:r>
          <w:r>
            <w:fldChar w:fldCharType="separate"/>
          </w:r>
          <w:r>
            <w:t>76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"_Toc168062407" </w:instrText>
          </w:r>
          <w:r>
            <w:fldChar w:fldCharType="separate"/>
          </w:r>
          <w:r>
            <w:rPr>
              <w:rStyle w:val="24"/>
              <w:color w:val="auto"/>
            </w:rPr>
            <w:t>8.1 建筑垃圾直接利用</w:t>
          </w:r>
          <w:r>
            <w:tab/>
          </w:r>
          <w:r>
            <w:fldChar w:fldCharType="begin"/>
          </w:r>
          <w:r>
            <w:instrText xml:space="preserve"> PAGEREF _Toc168062407 \h </w:instrText>
          </w:r>
          <w:r>
            <w:fldChar w:fldCharType="separate"/>
          </w:r>
          <w:r>
            <w:t>76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"_Toc168062408" </w:instrText>
          </w:r>
          <w:r>
            <w:fldChar w:fldCharType="separate"/>
          </w:r>
          <w:r>
            <w:rPr>
              <w:rStyle w:val="24"/>
              <w:color w:val="auto"/>
            </w:rPr>
            <w:t>8.2 建筑垃圾资源化利用</w:t>
          </w:r>
          <w:r>
            <w:tab/>
          </w:r>
          <w:r>
            <w:fldChar w:fldCharType="begin"/>
          </w:r>
          <w:r>
            <w:instrText xml:space="preserve"> PAGEREF _Toc168062408 \h </w:instrText>
          </w:r>
          <w:r>
            <w:fldChar w:fldCharType="separate"/>
          </w:r>
          <w:r>
            <w:t>76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"_Toc168062409" </w:instrText>
          </w:r>
          <w:r>
            <w:fldChar w:fldCharType="separate"/>
          </w:r>
          <w:r>
            <w:rPr>
              <w:rStyle w:val="24"/>
              <w:color w:val="auto"/>
            </w:rPr>
            <w:t>8.3 建筑垃圾处置</w:t>
          </w:r>
          <w:r>
            <w:tab/>
          </w:r>
          <w:r>
            <w:fldChar w:fldCharType="begin"/>
          </w:r>
          <w:r>
            <w:instrText xml:space="preserve"> PAGEREF _Toc168062409 \h </w:instrText>
          </w:r>
          <w:r>
            <w:fldChar w:fldCharType="separate"/>
          </w:r>
          <w:r>
            <w:t>77</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"_Toc168062410" </w:instrText>
          </w:r>
          <w:r>
            <w:fldChar w:fldCharType="separate"/>
          </w:r>
          <w:r>
            <w:rPr>
              <w:rStyle w:val="24"/>
              <w:color w:val="auto"/>
            </w:rPr>
            <w:t>8.4 建筑垃圾利用及处置设施</w:t>
          </w:r>
          <w:r>
            <w:tab/>
          </w:r>
          <w:r>
            <w:fldChar w:fldCharType="begin"/>
          </w:r>
          <w:r>
            <w:instrText xml:space="preserve"> PAGEREF _Toc168062410 \h </w:instrText>
          </w:r>
          <w:r>
            <w:fldChar w:fldCharType="separate"/>
          </w:r>
          <w:r>
            <w:t>82</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"_Toc168062411" </w:instrText>
          </w:r>
          <w:r>
            <w:fldChar w:fldCharType="separate"/>
          </w:r>
          <w:r>
            <w:rPr>
              <w:rStyle w:val="24"/>
              <w:color w:val="auto"/>
            </w:rPr>
            <w:t>9 建筑垃圾监督管理规划</w:t>
          </w:r>
          <w:r>
            <w:tab/>
          </w:r>
          <w:r>
            <w:fldChar w:fldCharType="begin"/>
          </w:r>
          <w:r>
            <w:instrText xml:space="preserve"> PAGEREF _Toc168062411 \h </w:instrText>
          </w:r>
          <w:r>
            <w:fldChar w:fldCharType="separate"/>
          </w:r>
          <w:r>
            <w:t>85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"_Toc168062412" </w:instrText>
          </w:r>
          <w:r>
            <w:fldChar w:fldCharType="separate"/>
          </w:r>
          <w:r>
            <w:rPr>
              <w:rStyle w:val="24"/>
              <w:color w:val="auto"/>
            </w:rPr>
            <w:t>9.1 管理制度机制建设</w:t>
          </w:r>
          <w:r>
            <w:tab/>
          </w:r>
          <w:r>
            <w:fldChar w:fldCharType="begin"/>
          </w:r>
          <w:r>
            <w:instrText xml:space="preserve"> PAGEREF _Toc168062412 \h </w:instrText>
          </w:r>
          <w:r>
            <w:fldChar w:fldCharType="separate"/>
          </w:r>
          <w:r>
            <w:t>85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"_Toc168062413" </w:instrText>
          </w:r>
          <w:r>
            <w:fldChar w:fldCharType="separate"/>
          </w:r>
          <w:r>
            <w:rPr>
              <w:rStyle w:val="24"/>
              <w:color w:val="auto"/>
            </w:rPr>
            <w:t>9.2 部门职责分工</w:t>
          </w:r>
          <w:r>
            <w:tab/>
          </w:r>
          <w:r>
            <w:fldChar w:fldCharType="begin"/>
          </w:r>
          <w:r>
            <w:instrText xml:space="preserve"> PAGEREF _Toc168062413 \h </w:instrText>
          </w:r>
          <w:r>
            <w:fldChar w:fldCharType="separate"/>
          </w:r>
          <w:r>
            <w:t>86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"_Toc168062414" </w:instrText>
          </w:r>
          <w:r>
            <w:fldChar w:fldCharType="separate"/>
          </w:r>
          <w:r>
            <w:rPr>
              <w:rStyle w:val="24"/>
              <w:color w:val="auto"/>
            </w:rPr>
            <w:t>9.3 全过程数字化治理建设</w:t>
          </w:r>
          <w:r>
            <w:tab/>
          </w:r>
          <w:r>
            <w:fldChar w:fldCharType="begin"/>
          </w:r>
          <w:r>
            <w:instrText xml:space="preserve"> PAGEREF _Toc168062414 \h </w:instrText>
          </w:r>
          <w:r>
            <w:fldChar w:fldCharType="separate"/>
          </w:r>
          <w:r>
            <w:t>88</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"_Toc168062415" </w:instrText>
          </w:r>
          <w:r>
            <w:fldChar w:fldCharType="separate"/>
          </w:r>
          <w:r>
            <w:rPr>
              <w:rStyle w:val="24"/>
              <w:color w:val="auto"/>
            </w:rPr>
            <w:t>9.4 突发应急预案</w:t>
          </w:r>
          <w:r>
            <w:tab/>
          </w:r>
          <w:r>
            <w:fldChar w:fldCharType="begin"/>
          </w:r>
          <w:r>
            <w:instrText xml:space="preserve"> PAGEREF _Toc168062415 \h </w:instrText>
          </w:r>
          <w:r>
            <w:fldChar w:fldCharType="separate"/>
          </w:r>
          <w:r>
            <w:t>89</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"_Toc168062416" </w:instrText>
          </w:r>
          <w:r>
            <w:fldChar w:fldCharType="separate"/>
          </w:r>
          <w:r>
            <w:rPr>
              <w:rStyle w:val="24"/>
              <w:color w:val="auto"/>
            </w:rPr>
            <w:t>10 建筑垃圾资源化利用产业发展规划</w:t>
          </w:r>
          <w:r>
            <w:tab/>
          </w:r>
          <w:r>
            <w:fldChar w:fldCharType="begin"/>
          </w:r>
          <w:r>
            <w:instrText xml:space="preserve"> PAGEREF _Toc168062416 \h </w:instrText>
          </w:r>
          <w:r>
            <w:fldChar w:fldCharType="separate"/>
          </w:r>
          <w:r>
            <w:t>90</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"_Toc168062417" </w:instrText>
          </w:r>
          <w:r>
            <w:fldChar w:fldCharType="separate"/>
          </w:r>
          <w:r>
            <w:rPr>
              <w:rStyle w:val="24"/>
              <w:color w:val="auto"/>
            </w:rPr>
            <w:t>10.1 规划目标</w:t>
          </w:r>
          <w:r>
            <w:tab/>
          </w:r>
          <w:r>
            <w:fldChar w:fldCharType="begin"/>
          </w:r>
          <w:r>
            <w:instrText xml:space="preserve"> PAGEREF _Toc168062417 \h </w:instrText>
          </w:r>
          <w:r>
            <w:fldChar w:fldCharType="separate"/>
          </w:r>
          <w:r>
            <w:t>90</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"_Toc168062418" </w:instrText>
          </w:r>
          <w:r>
            <w:fldChar w:fldCharType="separate"/>
          </w:r>
          <w:r>
            <w:rPr>
              <w:rStyle w:val="24"/>
              <w:color w:val="auto"/>
            </w:rPr>
            <w:t>10.2 产业发展重点</w:t>
          </w:r>
          <w:r>
            <w:tab/>
          </w:r>
          <w:r>
            <w:fldChar w:fldCharType="begin"/>
          </w:r>
          <w:r>
            <w:instrText xml:space="preserve"> PAGEREF _Toc168062418 \h </w:instrText>
          </w:r>
          <w:r>
            <w:fldChar w:fldCharType="separate"/>
          </w:r>
          <w:r>
            <w:t>91</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"_Toc168062419" </w:instrText>
          </w:r>
          <w:r>
            <w:fldChar w:fldCharType="separate"/>
          </w:r>
          <w:r>
            <w:rPr>
              <w:rStyle w:val="24"/>
              <w:color w:val="auto"/>
            </w:rPr>
            <w:t>10.3 产品质量管控</w:t>
          </w:r>
          <w:r>
            <w:tab/>
          </w:r>
          <w:r>
            <w:fldChar w:fldCharType="begin"/>
          </w:r>
          <w:r>
            <w:instrText xml:space="preserve"> PAGEREF _Toc168062419 \h </w:instrText>
          </w:r>
          <w:r>
            <w:fldChar w:fldCharType="separate"/>
          </w:r>
          <w:r>
            <w:t>92</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"_Toc168062420" </w:instrText>
          </w:r>
          <w:r>
            <w:fldChar w:fldCharType="separate"/>
          </w:r>
          <w:r>
            <w:rPr>
              <w:rStyle w:val="24"/>
              <w:color w:val="auto"/>
            </w:rPr>
            <w:t>10.4 产业支持策略</w:t>
          </w:r>
          <w:r>
            <w:tab/>
          </w:r>
          <w:r>
            <w:fldChar w:fldCharType="begin"/>
          </w:r>
          <w:r>
            <w:instrText xml:space="preserve"> PAGEREF _Toc168062420 \h </w:instrText>
          </w:r>
          <w:r>
            <w:fldChar w:fldCharType="separate"/>
          </w:r>
          <w:r>
            <w:t>92</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"_Toc168062421" </w:instrText>
          </w:r>
          <w:r>
            <w:fldChar w:fldCharType="separate"/>
          </w:r>
          <w:r>
            <w:rPr>
              <w:rStyle w:val="24"/>
              <w:color w:val="auto"/>
            </w:rPr>
            <w:t>11 近期规划实施计划</w:t>
          </w:r>
          <w:r>
            <w:tab/>
          </w:r>
          <w:r>
            <w:fldChar w:fldCharType="begin"/>
          </w:r>
          <w:r>
            <w:instrText xml:space="preserve"> PAGEREF _Toc168062421 \h </w:instrText>
          </w:r>
          <w:r>
            <w:fldChar w:fldCharType="separate"/>
          </w:r>
          <w:r>
            <w:t>94</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"_Toc168062422" </w:instrText>
          </w:r>
          <w:r>
            <w:fldChar w:fldCharType="separate"/>
          </w:r>
          <w:r>
            <w:rPr>
              <w:rStyle w:val="24"/>
              <w:color w:val="auto"/>
            </w:rPr>
            <w:t>11.1 近期工作规划</w:t>
          </w:r>
          <w:r>
            <w:tab/>
          </w:r>
          <w:r>
            <w:fldChar w:fldCharType="begin"/>
          </w:r>
          <w:r>
            <w:instrText xml:space="preserve"> PAGEREF _Toc168062422 \h </w:instrText>
          </w:r>
          <w:r>
            <w:fldChar w:fldCharType="separate"/>
          </w:r>
          <w:r>
            <w:t>94</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"_Toc168062423" </w:instrText>
          </w:r>
          <w:r>
            <w:fldChar w:fldCharType="separate"/>
          </w:r>
          <w:r>
            <w:rPr>
              <w:rStyle w:val="24"/>
              <w:color w:val="auto"/>
            </w:rPr>
            <w:t>11.2 近期项目规划</w:t>
          </w:r>
          <w:r>
            <w:tab/>
          </w:r>
          <w:r>
            <w:fldChar w:fldCharType="begin"/>
          </w:r>
          <w:r>
            <w:instrText xml:space="preserve"> PAGEREF _Toc168062423 \h </w:instrText>
          </w:r>
          <w:r>
            <w:fldChar w:fldCharType="separate"/>
          </w:r>
          <w:r>
            <w:t>95</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"_Toc168062424" </w:instrText>
          </w:r>
          <w:r>
            <w:fldChar w:fldCharType="separate"/>
          </w:r>
          <w:r>
            <w:rPr>
              <w:rStyle w:val="24"/>
              <w:color w:val="auto"/>
            </w:rPr>
            <w:t>12 规划实施保障措施</w:t>
          </w:r>
          <w:r>
            <w:tab/>
          </w:r>
          <w:r>
            <w:fldChar w:fldCharType="begin"/>
          </w:r>
          <w:r>
            <w:instrText xml:space="preserve"> PAGEREF _Toc168062424 \h </w:instrText>
          </w:r>
          <w:r>
            <w:fldChar w:fldCharType="separate"/>
          </w:r>
          <w:r>
            <w:t>95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"_Toc168062425" </w:instrText>
          </w:r>
          <w:r>
            <w:fldChar w:fldCharType="separate"/>
          </w:r>
          <w:r>
            <w:rPr>
              <w:rStyle w:val="24"/>
              <w:color w:val="auto"/>
            </w:rPr>
            <w:t>12.1 政策保障</w:t>
          </w:r>
          <w:r>
            <w:tab/>
          </w:r>
          <w:r>
            <w:fldChar w:fldCharType="begin"/>
          </w:r>
          <w:r>
            <w:instrText xml:space="preserve"> PAGEREF _Toc168062425 \h </w:instrText>
          </w:r>
          <w:r>
            <w:fldChar w:fldCharType="separate"/>
          </w:r>
          <w:r>
            <w:t>95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"_Toc168062426" </w:instrText>
          </w:r>
          <w:r>
            <w:fldChar w:fldCharType="separate"/>
          </w:r>
          <w:r>
            <w:rPr>
              <w:rStyle w:val="24"/>
              <w:color w:val="auto"/>
            </w:rPr>
            <w:t>12.2 组织保障</w:t>
          </w:r>
          <w:r>
            <w:tab/>
          </w:r>
          <w:r>
            <w:fldChar w:fldCharType="begin"/>
          </w:r>
          <w:r>
            <w:instrText xml:space="preserve"> PAGEREF _Toc168062426 \h </w:instrText>
          </w:r>
          <w:r>
            <w:fldChar w:fldCharType="separate"/>
          </w:r>
          <w:r>
            <w:t>95</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"_Toc168062427" </w:instrText>
          </w:r>
          <w:r>
            <w:fldChar w:fldCharType="separate"/>
          </w:r>
          <w:r>
            <w:rPr>
              <w:rStyle w:val="24"/>
              <w:color w:val="auto"/>
            </w:rPr>
            <w:t>12.3 资金保障</w:t>
          </w:r>
          <w:r>
            <w:tab/>
          </w:r>
          <w:r>
            <w:fldChar w:fldCharType="begin"/>
          </w:r>
          <w:r>
            <w:instrText xml:space="preserve"> PAGEREF _Toc168062427 \h </w:instrText>
          </w:r>
          <w:r>
            <w:fldChar w:fldCharType="separate"/>
          </w:r>
          <w:r>
            <w:t>96</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"_Toc168062428" </w:instrText>
          </w:r>
          <w:r>
            <w:fldChar w:fldCharType="separate"/>
          </w:r>
          <w:r>
            <w:rPr>
              <w:rStyle w:val="24"/>
              <w:color w:val="auto"/>
            </w:rPr>
            <w:t>12.4 土地保障</w:t>
          </w:r>
          <w:r>
            <w:tab/>
          </w:r>
          <w:r>
            <w:fldChar w:fldCharType="begin"/>
          </w:r>
          <w:r>
            <w:instrText xml:space="preserve"> PAGEREF _Toc168062428 \h </w:instrText>
          </w:r>
          <w:r>
            <w:fldChar w:fldCharType="separate"/>
          </w:r>
          <w:r>
            <w:t>97</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"_Toc168062429" </w:instrText>
          </w:r>
          <w:r>
            <w:fldChar w:fldCharType="separate"/>
          </w:r>
          <w:r>
            <w:rPr>
              <w:rStyle w:val="24"/>
              <w:color w:val="auto"/>
            </w:rPr>
            <w:t>12.5 技术保障</w:t>
          </w:r>
          <w:r>
            <w:tab/>
          </w:r>
          <w:r>
            <w:fldChar w:fldCharType="begin"/>
          </w:r>
          <w:r>
            <w:instrText xml:space="preserve"> PAGEREF _Toc168062429 \h </w:instrText>
          </w:r>
          <w:r>
            <w:fldChar w:fldCharType="separate"/>
          </w:r>
          <w:r>
            <w:t>97</w:t>
          </w:r>
          <w:r>
            <w:fldChar w:fldCharType="end"/>
          </w:r>
          <w:r>
            <w:fldChar w:fldCharType="end"/>
          </w:r>
        </w:p>
        <w:p>
          <w:pPr>
            <w:pStyle w:val="14"/>
            <w:rPr>
              <w:rFonts w:asciiTheme="minorHAnsi" w:hAnsiTheme="minorHAnsi" w:eastAsiaTheme="minorEastAsia"/>
              <w:sz w:val="22"/>
              <w:szCs w:val="24"/>
              <w14:ligatures w14:val="standardContextual"/>
            </w:rPr>
          </w:pPr>
          <w:r>
            <w:fldChar w:fldCharType="begin"/>
          </w:r>
          <w:r>
            <w:instrText xml:space="preserve"> HYPERLINK \l "_Toc168062430" </w:instrText>
          </w:r>
          <w:r>
            <w:fldChar w:fldCharType="separate"/>
          </w:r>
          <w:r>
            <w:rPr>
              <w:rStyle w:val="24"/>
              <w:color w:val="auto"/>
            </w:rPr>
            <w:t>附表</w:t>
          </w:r>
          <w:r>
            <w:tab/>
          </w:r>
          <w:r>
            <w:fldChar w:fldCharType="begin"/>
          </w:r>
          <w:r>
            <w:instrText xml:space="preserve"> PAGEREF _Toc168062430 \h </w:instrText>
          </w:r>
          <w:r>
            <w:fldChar w:fldCharType="separate"/>
          </w:r>
          <w:r>
            <w:t>98</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"_Toc168062431" </w:instrText>
          </w:r>
          <w:r>
            <w:fldChar w:fldCharType="separate"/>
          </w:r>
          <w:r>
            <w:rPr>
              <w:rStyle w:val="24"/>
              <w:color w:val="auto"/>
            </w:rPr>
            <w:t>建筑垃圾产生量统计表</w:t>
          </w:r>
          <w:r>
            <w:tab/>
          </w:r>
          <w:r>
            <w:fldChar w:fldCharType="begin"/>
          </w:r>
          <w:r>
            <w:instrText xml:space="preserve"> PAGEREF _Toc168062431 \h </w:instrText>
          </w:r>
          <w:r>
            <w:fldChar w:fldCharType="separate"/>
          </w:r>
          <w:r>
            <w:t>98</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"_Toc168062432" </w:instrText>
          </w:r>
          <w:r>
            <w:fldChar w:fldCharType="separate"/>
          </w:r>
          <w:r>
            <w:rPr>
              <w:rStyle w:val="24"/>
              <w:color w:val="auto"/>
            </w:rPr>
            <w:t>建筑垃圾产生量与处理量预测表</w:t>
          </w:r>
          <w:r>
            <w:tab/>
          </w:r>
          <w:r>
            <w:fldChar w:fldCharType="begin"/>
          </w:r>
          <w:r>
            <w:instrText xml:space="preserve"> PAGEREF _Toc168062432 \h </w:instrText>
          </w:r>
          <w:r>
            <w:fldChar w:fldCharType="separate"/>
          </w:r>
          <w:r>
            <w:t>98</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"_Toc168062433" </w:instrText>
          </w:r>
          <w:r>
            <w:fldChar w:fldCharType="separate"/>
          </w:r>
          <w:r>
            <w:rPr>
              <w:rStyle w:val="24"/>
              <w:color w:val="auto"/>
            </w:rPr>
            <w:t>建筑垃圾消纳场所现状统计表</w:t>
          </w:r>
          <w:r>
            <w:tab/>
          </w:r>
          <w:r>
            <w:fldChar w:fldCharType="begin"/>
          </w:r>
          <w:r>
            <w:instrText xml:space="preserve"> PAGEREF _Toc168062433 \h </w:instrText>
          </w:r>
          <w:r>
            <w:fldChar w:fldCharType="separate"/>
          </w:r>
          <w:r>
            <w:t>99</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"_Toc168062434" </w:instrText>
          </w:r>
          <w:r>
            <w:fldChar w:fldCharType="separate"/>
          </w:r>
          <w:r>
            <w:rPr>
              <w:rStyle w:val="24"/>
              <w:color w:val="auto"/>
            </w:rPr>
            <w:t>建筑垃圾消纳场所规划表</w:t>
          </w:r>
          <w:r>
            <w:tab/>
          </w:r>
          <w:r>
            <w:fldChar w:fldCharType="begin"/>
          </w:r>
          <w:r>
            <w:instrText xml:space="preserve"> PAGEREF _Toc168062434 \h </w:instrText>
          </w:r>
          <w:r>
            <w:fldChar w:fldCharType="separate"/>
          </w:r>
          <w:r>
            <w:t>101</w:t>
          </w:r>
          <w:r>
            <w:fldChar w:fldCharType="end"/>
          </w:r>
          <w:r>
            <w:fldChar w:fldCharType="end"/>
          </w:r>
        </w:p>
        <w:p>
          <w:pPr>
            <w:pStyle w:val="17"/>
            <w:rPr>
              <w:rFonts w:asciiTheme="minorHAnsi" w:hAnsiTheme="minorHAnsi" w:eastAsiaTheme="minorEastAsia"/>
              <w:sz w:val="22"/>
              <w:szCs w:val="24"/>
              <w14:ligatures w14:val="standardContextual"/>
            </w:rPr>
          </w:pPr>
          <w:r>
            <w:fldChar w:fldCharType="begin"/>
          </w:r>
          <w:r>
            <w:instrText xml:space="preserve"> HYPERLINK \l "_Toc168062435" </w:instrText>
          </w:r>
          <w:r>
            <w:fldChar w:fldCharType="separate"/>
          </w:r>
          <w:r>
            <w:rPr>
              <w:rStyle w:val="24"/>
              <w:color w:val="auto"/>
            </w:rPr>
            <w:t>规划近期建设项目统计表</w:t>
          </w:r>
          <w:r>
            <w:tab/>
          </w:r>
          <w:r>
            <w:fldChar w:fldCharType="begin"/>
          </w:r>
          <w:r>
            <w:instrText xml:space="preserve"> PAGEREF _Toc168062435 \h </w:instrText>
          </w:r>
          <w:r>
            <w:fldChar w:fldCharType="separate"/>
          </w:r>
          <w:r>
            <w:t>102</w:t>
          </w:r>
          <w:r>
            <w:fldChar w:fldCharType="end"/>
          </w:r>
          <w:r>
            <w:fldChar w:fldCharType="end"/>
          </w:r>
        </w:p>
        <w:p>
          <w:pPr>
            <w:spacing w:line="240" w:lineRule="auto"/>
            <w:ind w:firstLine="0" w:firstLineChars="0"/>
            <w:jc w:val="left"/>
            <w:rPr>
              <w:rFonts w:ascii="宋体" w:hAnsi="宋体"/>
              <w:b/>
              <w:bCs/>
              <w:sz w:val="36"/>
              <w:szCs w:val="40"/>
            </w:rPr>
            <w:sectPr>
              <w:pgSz w:w="11906" w:h="16838"/>
              <w:pgMar w:top="1440" w:right="1800" w:bottom="1440" w:left="1800" w:header="851" w:footer="992" w:gutter="0"/>
              <w:cols w:space="425" w:num="1"/>
              <w:docGrid w:type="lines" w:linePitch="312" w:charSpace="0"/>
            </w:sectPr>
          </w:pPr>
          <w:r>
            <w:fldChar w:fldCharType="end"/>
          </w:r>
        </w:p>
      </w:sdtContent>
    </w:sdt>
    <w:p>
      <w:pPr>
        <w:pStyle w:val="2"/>
      </w:pPr>
      <w:bookmarkStart w:id="0" w:name="_Toc168062373"/>
      <w:r>
        <w:rPr>
          <w:rFonts w:hint="eastAsia"/>
        </w:rPr>
        <w:t>规划总则</w:t>
      </w:r>
      <w:bookmarkEnd w:id="0"/>
    </w:p>
    <w:p>
      <w:pPr>
        <w:pStyle w:val="3"/>
      </w:pPr>
      <w:bookmarkStart w:id="1" w:name="_Toc168062374"/>
      <w:r>
        <w:rPr>
          <w:rFonts w:hint="eastAsia"/>
        </w:rPr>
        <w:t>规划编制背景</w:t>
      </w:r>
      <w:bookmarkEnd w:id="1"/>
    </w:p>
    <w:p>
      <w:pPr>
        <w:pStyle w:val="30"/>
      </w:pPr>
      <w:r>
        <w:rPr>
          <w:rFonts w:hint="eastAsia"/>
        </w:rPr>
        <w:t>国家层面</w:t>
      </w:r>
    </w:p>
    <w:p>
      <w:pPr>
        <w:ind w:firstLine="640"/>
      </w:pPr>
      <w:r>
        <w:rPr>
          <w:rFonts w:hint="eastAsia"/>
        </w:rPr>
        <w:t>为了保护和改善生态环境，防治固体废物污染环境，保障公众健康，维护生态安全，推进生态文明建设，促进经济社会可持续发展，2020年4月29日第十三届全国人民代表大会常务委员会第十七次会议第二次修订了《中华人民共和国固体废物污染环境防治法》。其中针对建筑垃圾提出了有关工作要求。</w:t>
      </w:r>
    </w:p>
    <w:p>
      <w:pPr>
        <w:ind w:firstLine="640"/>
      </w:pPr>
      <w:r>
        <w:rPr>
          <w:rFonts w:hint="eastAsia"/>
        </w:rPr>
        <w:t>一是县级以上地方人民政府应当加强建筑垃圾污染环境的防治，建立建筑垃圾分类处理制度。县级以上地方人民政府应当制定包括源头减量、分类处理、消纳设施和场所布局及建设等在内的建筑垃圾污染环境防治工作规划。</w:t>
      </w:r>
    </w:p>
    <w:p>
      <w:pPr>
        <w:ind w:firstLine="640"/>
      </w:pPr>
      <w:r>
        <w:rPr>
          <w:rFonts w:hint="eastAsia"/>
        </w:rPr>
        <w:t>二是国家鼓励采用先进技术、工艺、设备和管理措施，推进建筑垃圾源头减量，建立建筑垃圾回收利用体系。县级以上地方人民政府应当推动建筑垃圾综合利用产品应用。</w:t>
      </w:r>
    </w:p>
    <w:p>
      <w:pPr>
        <w:ind w:firstLine="640"/>
      </w:pPr>
      <w:r>
        <w:rPr>
          <w:rFonts w:hint="eastAsia"/>
        </w:rPr>
        <w:t>三是县级以上地方人民政府环境卫生主管部门负责建筑垃圾污染环境防治工作，建立建筑垃圾全过程管理制度，规范建筑垃圾产生、收集、贮存、运输、利用、处置行为，推进综合利用，加强建筑垃圾处置设施、场所建设，保障处置安全，防止污染环境。</w:t>
      </w:r>
    </w:p>
    <w:p>
      <w:pPr>
        <w:ind w:firstLine="640"/>
      </w:pPr>
      <w:r>
        <w:rPr>
          <w:rFonts w:hint="eastAsia"/>
        </w:rPr>
        <w:t>四是工程施工单位应当编制建筑垃圾处理方案，采取污染防治措施，并报县级以上地方人民政府环境卫生主管部门备案。工程施工单位应当及时清运工程施工过程中产生的建筑垃圾等固体废物，并按照环境卫生主管部门的规定进行利用或者处置。工程施工单位不得擅自倾倒、抛撒或者堆放工程施工过程中产生的建筑垃圾。</w:t>
      </w:r>
    </w:p>
    <w:p>
      <w:pPr>
        <w:ind w:firstLine="640"/>
      </w:pPr>
      <w:r>
        <w:rPr>
          <w:rFonts w:hint="eastAsia"/>
        </w:rPr>
        <w:t>本次编制《临海市建筑垃圾污染环境防治工作规划》，正是落实了《中华人民共和国固体废物污染环境防治法》中针对建筑垃圾提出的“县级以上地方人民政府应当制定包括源头减量、分类处理、消纳设施和场所布局及建设等在内的建筑垃圾污染环境防治工作规划”工作要求。</w:t>
      </w:r>
    </w:p>
    <w:p>
      <w:pPr>
        <w:pStyle w:val="30"/>
      </w:pPr>
      <w:r>
        <w:rPr>
          <w:rFonts w:hint="eastAsia"/>
        </w:rPr>
        <w:t>浙江省层面</w:t>
      </w:r>
    </w:p>
    <w:p>
      <w:pPr>
        <w:ind w:firstLine="640"/>
      </w:pPr>
      <w:r>
        <w:rPr>
          <w:rFonts w:hint="eastAsia"/>
        </w:rPr>
        <w:t>2</w:t>
      </w:r>
      <w:r>
        <w:t>021</w:t>
      </w:r>
      <w:r>
        <w:rPr>
          <w:rFonts w:hint="eastAsia"/>
        </w:rPr>
        <w:t>年，为进一步规范全省建筑垃圾治理工作，根据《中华人民共和国固体废物污染环境防治法》《城市建筑垃圾管理规定》《浙江省人民政府办公厅关于印发浙江省全域“无废城市”建设工作方案的通知》（浙政办发〔2020〕2号）等有关规定，浙江省建设厅发布了《浙江省住房和城乡建设厅关于进一步规范建筑垃圾治理工作的实施意见》，文件要求：建筑垃圾要按照工程渣土、废弃泥浆、工程垃圾、拆除垃圾、装修垃圾五大类实行分类处理，末端则要以资源化利用为导向。到2023年底，全面推行建筑垃圾分类管理模式，基本建立源头减量、规范处置、监管闭环、整体智治的数字化治理体系。到2025年底，全省建筑垃圾处置能力充足，建筑垃圾综合利用率达90%以上，数字化综合监管水平居全国前列。其中，要重点强化工作统筹，将建筑垃圾治理工作纳入本级国民经济和社会发展规划、生态环境保护规划，并做好与国土空间规划及循环经济发展规划的衔接，县级以上人民政府依法编制建筑垃圾污染环境防治工作规划。将建筑垃圾消纳场、资源化利用设施用地纳入市县国土空间规划，予以用地保障。以实现建筑垃圾减量化、资源化、无害化为目标，建立健全建筑垃圾分类回收利用体系，加快推进建筑垃圾分类处理和综合利用，完善建筑垃圾资源化利用体系，提升建筑垃圾综合治理水平。鼓励各地加快推动建筑垃圾管理地方立法，强化法治保障。</w:t>
      </w:r>
    </w:p>
    <w:p>
      <w:pPr>
        <w:ind w:firstLine="640"/>
      </w:pPr>
      <w:r>
        <w:rPr>
          <w:rFonts w:hint="eastAsia"/>
        </w:rPr>
        <w:t>2</w:t>
      </w:r>
      <w:r>
        <w:t>022</w:t>
      </w:r>
      <w:r>
        <w:rPr>
          <w:rFonts w:hint="eastAsia"/>
        </w:rPr>
        <w:t>年9月由浙江省第十三届人民代表大会常务委员会第三十八次会议修订通过《浙江省固体废物污染环境防治条例》，并于2023年1月1日起施行。文件要求县级以上人民政府应当制定建筑垃圾污染环境防治工作规划，统筹部署建筑垃圾源头减量、分类管理、综合利用、消纳设施和场所布局及建设、部门协同监管、全过程数字化治理等，提升建筑垃圾治理水平。本条例的出台，进一步细化完善了固体废物污染环境防治监督管理制度，有效破解“监管闭环不够严密、非法转移处置时有发生”问题；进一步细化完善了固体废物资源化利用制度，有效破解“再生渠道不够畅通、利用水平整体偏低”问题；进一步细化完善了固体废物无害化制度，有效破解“建筑垃圾治理等基础设施不够完善、处置能力水平仍有短板”的问题。</w:t>
      </w:r>
    </w:p>
    <w:p>
      <w:pPr>
        <w:ind w:firstLine="640"/>
      </w:pPr>
      <w:r>
        <w:rPr>
          <w:rFonts w:hint="eastAsia"/>
        </w:rPr>
        <w:t>2023年11月，浙江省为加强建筑垃圾综合利用产品的推广和应用，提高资源利用效率，推动绿色低碳循环发展，浙江省住房和城乡建设厅发布了《关于浙江省建筑垃圾综合利用产品推广应用的实施意见》，明确提出要以提高建筑垃圾综合利用产品生产、质量提升和推广应用为目标，打通建筑垃圾产生、资源化利用、产品应用的各个环节，积极构筑建筑垃圾资源化利用产业体系，提高建筑垃圾资源化处理水平。</w:t>
      </w:r>
    </w:p>
    <w:p>
      <w:pPr>
        <w:ind w:firstLine="640"/>
      </w:pPr>
      <w:r>
        <w:rPr>
          <w:rFonts w:hint="eastAsia"/>
        </w:rPr>
        <w:t>2024年4月，为进一步推动全省建筑垃圾污染环境防治工作，规范建筑垃圾污染环境防治工作规划的编制，浙江省工程渣土常态化治理工作专班办公室发布了《建筑垃圾污染环境防治工作规划编制导则》，指导各地统筹部署建筑垃圾源头减量、分类管理、综合利用、消纳设施和场所布局及建设、部门协同监管、全过程数字化治理等工作，加快健全完善与城市发展需求相匹配的建筑垃圾治理体系。</w:t>
      </w:r>
    </w:p>
    <w:p>
      <w:pPr>
        <w:ind w:firstLine="640"/>
      </w:pPr>
      <w:r>
        <w:rPr>
          <w:rFonts w:hint="eastAsia"/>
        </w:rPr>
        <w:t>本次开展临海市建筑垃圾污染环境防治工作规划的编制工作，符合浙江省建筑垃圾相关的政策要求。</w:t>
      </w:r>
    </w:p>
    <w:p>
      <w:pPr>
        <w:pStyle w:val="30"/>
      </w:pPr>
      <w:r>
        <w:rPr>
          <w:rFonts w:hint="eastAsia"/>
        </w:rPr>
        <w:t>台州市层面</w:t>
      </w:r>
    </w:p>
    <w:p>
      <w:pPr>
        <w:ind w:firstLine="640"/>
      </w:pPr>
      <w:r>
        <w:rPr>
          <w:rFonts w:hint="eastAsia"/>
        </w:rPr>
        <w:t>2023年，台州市发布《2023年度台州市建筑垃圾管理工作要点及目标任务》，任务指出：台州市建筑垃圾管理工作要以习近平新时代中国特色社会主义思想和习近平新时代生态文明思想为指导，深入学习贯彻党的二十大精神、省第十五次党代会精神，对标高质量建设发展共同富裕示范区，坚持以人民为中心，落实新发展理念，秉持生态优先、绿色发展，以建筑垃圾减量化、资源化、无害化处置为导向，以“无废城市”建设为抓手，查堵点、破难题、促发展，加快完善建筑垃圾从源头产生、中间运输到末端处置的全过程管控体系，全面提升数字化治理水平，打造更加优美的城乡人居环境，为建设美丽台州作出更大贡献。到2023年底，全市建筑垃圾产消能力基本平衡；建筑垃圾综合利用率达85%以上；全面推行建筑垃圾分类管理；积极开展建筑垃圾电子处置（转移）联单，基本建立源头减量、规范处置、监管闭环、整体智治的数字化治理体系；依法编制建筑垃圾污染环境防治工作规划，将建筑垃圾终端处置场纳入国土空间规划。</w:t>
      </w:r>
    </w:p>
    <w:p>
      <w:pPr>
        <w:ind w:firstLine="640"/>
      </w:pPr>
      <w:r>
        <w:rPr>
          <w:rFonts w:hint="eastAsia"/>
        </w:rPr>
        <w:t>开展临海市建筑垃圾污染环境防治工作规划的编制工作，在本次政策背景下具有现实意义。</w:t>
      </w:r>
    </w:p>
    <w:p>
      <w:pPr>
        <w:pStyle w:val="3"/>
      </w:pPr>
      <w:bookmarkStart w:id="2" w:name="_Toc168062375"/>
      <w:r>
        <w:rPr>
          <w:rFonts w:hint="eastAsia"/>
        </w:rPr>
        <w:t>指导思想</w:t>
      </w:r>
      <w:bookmarkEnd w:id="2"/>
    </w:p>
    <w:p>
      <w:pPr>
        <w:ind w:firstLine="640"/>
      </w:pPr>
      <w:bookmarkStart w:id="3" w:name="_Hlk168061868"/>
      <w:r>
        <w:rPr>
          <w:rFonts w:hint="eastAsia"/>
        </w:rPr>
        <w:t>全市建筑垃圾管理工作要以习近平新时代中国特色社会主义思想和习近平新时代生态文明思想为指导，深入学习贯彻党的二十大精神、省第十五次党代会精神，对标高质量建设发展共同富裕示范区，坚持以人民为中心，落实新发展理念，秉持生态优先、绿色发展，以建筑垃圾减量化、资源化、无害化处置为导向，以“无废城市”建设为抓手，查堵点、破难题、促发展，加快完善建筑垃圾从源头产生、中间运输到末端处置的全过程管控体系，全面提升数字化治理水平，打造更加优美的城乡人居环境。</w:t>
      </w:r>
    </w:p>
    <w:bookmarkEnd w:id="3"/>
    <w:p>
      <w:pPr>
        <w:pStyle w:val="3"/>
      </w:pPr>
      <w:bookmarkStart w:id="4" w:name="_Toc168062376"/>
      <w:r>
        <w:rPr>
          <w:rFonts w:hint="eastAsia"/>
        </w:rPr>
        <w:t>规划原则</w:t>
      </w:r>
      <w:bookmarkEnd w:id="4"/>
    </w:p>
    <w:p>
      <w:pPr>
        <w:ind w:firstLine="640"/>
      </w:pPr>
      <w:bookmarkStart w:id="5" w:name="_Hlk168061886"/>
      <w:r>
        <w:rPr>
          <w:rFonts w:hint="eastAsia"/>
        </w:rPr>
        <w:t>坚持规划引领、分步实施；坚持分类减量、利用为先；坚持属地管理、全程闭环；坚持部门协同、合力共治；坚持数字赋能、一体智治</w:t>
      </w:r>
      <w:bookmarkEnd w:id="5"/>
      <w:r>
        <w:rPr>
          <w:rFonts w:hint="eastAsia"/>
        </w:rPr>
        <w:t>。</w:t>
      </w:r>
    </w:p>
    <w:p>
      <w:pPr>
        <w:pStyle w:val="3"/>
      </w:pPr>
      <w:bookmarkStart w:id="6" w:name="_Toc168062377"/>
      <w:r>
        <w:rPr>
          <w:rFonts w:hint="eastAsia"/>
        </w:rPr>
        <w:t>规划依据</w:t>
      </w:r>
      <w:bookmarkEnd w:id="6"/>
    </w:p>
    <w:p>
      <w:pPr>
        <w:pStyle w:val="30"/>
      </w:pPr>
      <w:r>
        <w:rPr>
          <w:rFonts w:hint="eastAsia"/>
        </w:rPr>
        <w:t>法律法规</w:t>
      </w:r>
    </w:p>
    <w:p>
      <w:pPr>
        <w:pStyle w:val="32"/>
        <w:numPr>
          <w:ilvl w:val="1"/>
          <w:numId w:val="3"/>
        </w:numPr>
        <w:ind w:firstLineChars="0"/>
      </w:pPr>
      <w:bookmarkStart w:id="7" w:name="_Hlk168061900"/>
      <w:r>
        <w:rPr>
          <w:rFonts w:hint="eastAsia"/>
        </w:rPr>
        <w:t>《中华人民共和国环境保护法》</w:t>
      </w:r>
    </w:p>
    <w:p>
      <w:pPr>
        <w:pStyle w:val="32"/>
        <w:numPr>
          <w:ilvl w:val="1"/>
          <w:numId w:val="3"/>
        </w:numPr>
        <w:ind w:firstLineChars="0"/>
      </w:pPr>
      <w:r>
        <w:rPr>
          <w:rFonts w:hint="eastAsia"/>
        </w:rPr>
        <w:t>《中华人民共和国清洁生产促进法》</w:t>
      </w:r>
    </w:p>
    <w:p>
      <w:pPr>
        <w:pStyle w:val="32"/>
        <w:numPr>
          <w:ilvl w:val="1"/>
          <w:numId w:val="3"/>
        </w:numPr>
        <w:ind w:firstLineChars="0"/>
      </w:pPr>
      <w:r>
        <w:rPr>
          <w:rFonts w:hint="eastAsia"/>
        </w:rPr>
        <w:t>《中华人民共和国循环经济促进法》</w:t>
      </w:r>
    </w:p>
    <w:p>
      <w:pPr>
        <w:pStyle w:val="32"/>
        <w:numPr>
          <w:ilvl w:val="1"/>
          <w:numId w:val="3"/>
        </w:numPr>
        <w:ind w:firstLineChars="0"/>
      </w:pPr>
      <w:r>
        <w:rPr>
          <w:rFonts w:hint="eastAsia"/>
        </w:rPr>
        <w:t>《中华人民共和国固体废物污染环境防治法》</w:t>
      </w:r>
    </w:p>
    <w:p>
      <w:pPr>
        <w:pStyle w:val="32"/>
        <w:numPr>
          <w:ilvl w:val="1"/>
          <w:numId w:val="3"/>
        </w:numPr>
        <w:ind w:firstLineChars="0"/>
      </w:pPr>
      <w:r>
        <w:rPr>
          <w:rFonts w:hint="eastAsia"/>
        </w:rPr>
        <w:t>《中华人民共和国资源税法》</w:t>
      </w:r>
    </w:p>
    <w:p>
      <w:pPr>
        <w:pStyle w:val="32"/>
        <w:numPr>
          <w:ilvl w:val="1"/>
          <w:numId w:val="3"/>
        </w:numPr>
        <w:ind w:firstLineChars="0"/>
      </w:pPr>
      <w:r>
        <w:rPr>
          <w:rFonts w:hint="eastAsia"/>
        </w:rPr>
        <w:t>《浙江省固体废物污染环境防治条例》</w:t>
      </w:r>
      <w:bookmarkEnd w:id="7"/>
    </w:p>
    <w:p>
      <w:pPr>
        <w:pStyle w:val="30"/>
      </w:pPr>
      <w:r>
        <w:rPr>
          <w:rFonts w:hint="eastAsia"/>
        </w:rPr>
        <w:t>政策规范</w:t>
      </w:r>
    </w:p>
    <w:p>
      <w:pPr>
        <w:pStyle w:val="32"/>
        <w:numPr>
          <w:ilvl w:val="0"/>
          <w:numId w:val="4"/>
        </w:numPr>
        <w:ind w:firstLineChars="0"/>
      </w:pPr>
      <w:bookmarkStart w:id="8" w:name="_Hlk168061963"/>
      <w:r>
        <w:rPr>
          <w:rFonts w:hint="eastAsia"/>
        </w:rPr>
        <w:t>《关于转发发展改革委、住房城乡建设部&lt;绿色建筑行动方案</w:t>
      </w:r>
      <w:r>
        <w:t>&gt;</w:t>
      </w:r>
      <w:r>
        <w:rPr>
          <w:rFonts w:hint="eastAsia"/>
        </w:rPr>
        <w:t>的通知》（国办发[</w:t>
      </w:r>
      <w:r>
        <w:t>2013]1</w:t>
      </w:r>
      <w:r>
        <w:rPr>
          <w:rFonts w:hint="eastAsia"/>
        </w:rPr>
        <w:t>号）</w:t>
      </w:r>
    </w:p>
    <w:p>
      <w:pPr>
        <w:pStyle w:val="32"/>
        <w:numPr>
          <w:ilvl w:val="0"/>
          <w:numId w:val="4"/>
        </w:numPr>
        <w:ind w:firstLineChars="0"/>
      </w:pPr>
      <w:r>
        <w:rPr>
          <w:rFonts w:hint="eastAsia"/>
        </w:rPr>
        <w:t>《关于印发&lt;循环经济发展战略及近期行动计划</w:t>
      </w:r>
      <w:r>
        <w:t>&gt;</w:t>
      </w:r>
      <w:r>
        <w:rPr>
          <w:rFonts w:hint="eastAsia"/>
        </w:rPr>
        <w:t>的通知》（国发[2013]5号）</w:t>
      </w:r>
    </w:p>
    <w:p>
      <w:pPr>
        <w:pStyle w:val="32"/>
        <w:numPr>
          <w:ilvl w:val="0"/>
          <w:numId w:val="4"/>
        </w:numPr>
        <w:ind w:firstLineChars="0"/>
      </w:pPr>
      <w:r>
        <w:rPr>
          <w:rFonts w:hint="eastAsia"/>
        </w:rPr>
        <w:t>《工业固体废物综合利用先进适用技术目录(第一批)》(2013年第18号公告)</w:t>
      </w:r>
    </w:p>
    <w:p>
      <w:pPr>
        <w:pStyle w:val="32"/>
        <w:numPr>
          <w:ilvl w:val="0"/>
          <w:numId w:val="4"/>
        </w:numPr>
        <w:ind w:firstLineChars="0"/>
      </w:pPr>
      <w:r>
        <w:rPr>
          <w:rFonts w:hint="eastAsia"/>
        </w:rPr>
        <w:t>《关于加快发展节能环保产业的意见》(国发[2013]30号)</w:t>
      </w:r>
    </w:p>
    <w:p>
      <w:pPr>
        <w:pStyle w:val="32"/>
        <w:numPr>
          <w:ilvl w:val="0"/>
          <w:numId w:val="4"/>
        </w:numPr>
        <w:ind w:firstLineChars="0"/>
      </w:pPr>
      <w:r>
        <w:rPr>
          <w:rFonts w:hint="eastAsia"/>
        </w:rPr>
        <w:t>《关于印发《资源综合利用产品和劳务增值税优惠目录)的通知》(财税[2015] 78号)</w:t>
      </w:r>
    </w:p>
    <w:p>
      <w:pPr>
        <w:pStyle w:val="32"/>
        <w:numPr>
          <w:ilvl w:val="0"/>
          <w:numId w:val="4"/>
        </w:numPr>
        <w:ind w:firstLineChars="0"/>
      </w:pPr>
      <w:r>
        <w:rPr>
          <w:rFonts w:hint="eastAsia"/>
        </w:rPr>
        <w:t>《关于深入推进新型城镇化建设的若干意见》(国发[2016]8号)</w:t>
      </w:r>
    </w:p>
    <w:p>
      <w:pPr>
        <w:pStyle w:val="32"/>
        <w:numPr>
          <w:ilvl w:val="0"/>
          <w:numId w:val="4"/>
        </w:numPr>
        <w:ind w:firstLineChars="0"/>
      </w:pPr>
      <w:r>
        <w:rPr>
          <w:rFonts w:hint="eastAsia"/>
        </w:rPr>
        <w:t>《关于进一步加强城市规划建设管理工作的若干意见》(2016年2月6日发)</w:t>
      </w:r>
    </w:p>
    <w:p>
      <w:pPr>
        <w:pStyle w:val="32"/>
        <w:numPr>
          <w:ilvl w:val="0"/>
          <w:numId w:val="4"/>
        </w:numPr>
        <w:ind w:firstLineChars="0"/>
      </w:pPr>
      <w:r>
        <w:rPr>
          <w:rFonts w:hint="eastAsia"/>
        </w:rPr>
        <w:t>《关于促进建材工业稳增长调结构增效益的指导意见》(国办发[2016]34号)</w:t>
      </w:r>
    </w:p>
    <w:p>
      <w:pPr>
        <w:pStyle w:val="32"/>
        <w:numPr>
          <w:ilvl w:val="0"/>
          <w:numId w:val="4"/>
        </w:numPr>
        <w:ind w:firstLineChars="0"/>
      </w:pPr>
      <w:r>
        <w:rPr>
          <w:rFonts w:hint="eastAsia"/>
        </w:rPr>
        <w:t>《建筑垃圾资源化利用行业规范条件》(2016年第71号公告)</w:t>
      </w:r>
    </w:p>
    <w:p>
      <w:pPr>
        <w:pStyle w:val="32"/>
        <w:numPr>
          <w:ilvl w:val="0"/>
          <w:numId w:val="4"/>
        </w:numPr>
        <w:ind w:firstLineChars="0"/>
      </w:pPr>
      <w:r>
        <w:rPr>
          <w:rFonts w:hint="eastAsia"/>
        </w:rPr>
        <w:t>《战略性新兴产业重点产品和服务指导目录(2016版)》(2017年第1号公告)</w:t>
      </w:r>
    </w:p>
    <w:p>
      <w:pPr>
        <w:pStyle w:val="32"/>
        <w:numPr>
          <w:ilvl w:val="0"/>
          <w:numId w:val="4"/>
        </w:numPr>
        <w:ind w:firstLineChars="0"/>
      </w:pPr>
      <w:r>
        <w:rPr>
          <w:rFonts w:hint="eastAsia"/>
        </w:rPr>
        <w:t>《关于印发&lt;循环发展引领行动&gt;的通知》(2017年4月21日)</w:t>
      </w:r>
    </w:p>
    <w:p>
      <w:pPr>
        <w:pStyle w:val="32"/>
        <w:numPr>
          <w:ilvl w:val="0"/>
          <w:numId w:val="4"/>
        </w:numPr>
        <w:ind w:firstLineChars="0"/>
      </w:pPr>
      <w:r>
        <w:rPr>
          <w:rFonts w:hint="eastAsia"/>
        </w:rPr>
        <w:t>《国家工业资源综合利用先进适用技术装备目录》(2017年第40号公告)</w:t>
      </w:r>
    </w:p>
    <w:p>
      <w:pPr>
        <w:pStyle w:val="32"/>
        <w:numPr>
          <w:ilvl w:val="0"/>
          <w:numId w:val="4"/>
        </w:numPr>
        <w:ind w:firstLineChars="0"/>
      </w:pPr>
      <w:r>
        <w:rPr>
          <w:rFonts w:hint="eastAsia"/>
        </w:rPr>
        <w:t>《关于推进资源循环利用基地建设的指导意见》(发改办环资[2017]1778号)</w:t>
      </w:r>
    </w:p>
    <w:p>
      <w:pPr>
        <w:pStyle w:val="32"/>
        <w:numPr>
          <w:ilvl w:val="0"/>
          <w:numId w:val="4"/>
        </w:numPr>
        <w:ind w:firstLineChars="0"/>
      </w:pPr>
      <w:r>
        <w:rPr>
          <w:rFonts w:hint="eastAsia"/>
        </w:rPr>
        <w:t>《关于印发《“无废城市”建设试点工作方案)的通知》(国办发[2018]128号)</w:t>
      </w:r>
    </w:p>
    <w:p>
      <w:pPr>
        <w:pStyle w:val="32"/>
        <w:numPr>
          <w:ilvl w:val="0"/>
          <w:numId w:val="4"/>
        </w:numPr>
        <w:ind w:firstLineChars="0"/>
      </w:pPr>
      <w:r>
        <w:rPr>
          <w:rFonts w:hint="eastAsia"/>
        </w:rPr>
        <w:t>《“十四五”大宗固体废弃物综合利用的指导意见》</w:t>
      </w:r>
    </w:p>
    <w:p>
      <w:pPr>
        <w:pStyle w:val="32"/>
        <w:numPr>
          <w:ilvl w:val="0"/>
          <w:numId w:val="4"/>
        </w:numPr>
        <w:ind w:firstLineChars="0"/>
      </w:pPr>
      <w:r>
        <w:rPr>
          <w:rFonts w:hint="eastAsia"/>
        </w:rPr>
        <w:t>《城市建筑垃圾管理规定》</w:t>
      </w:r>
    </w:p>
    <w:p>
      <w:pPr>
        <w:pStyle w:val="32"/>
        <w:numPr>
          <w:ilvl w:val="0"/>
          <w:numId w:val="4"/>
        </w:numPr>
        <w:ind w:firstLineChars="0"/>
      </w:pPr>
      <w:r>
        <w:rPr>
          <w:rFonts w:hint="eastAsia"/>
        </w:rPr>
        <w:t>《浙江省人民政府办公厅关于印发浙江省全域“无废城市”建设工作方案的通知》（浙政办发〔2020〕2号）</w:t>
      </w:r>
    </w:p>
    <w:p>
      <w:pPr>
        <w:pStyle w:val="32"/>
        <w:numPr>
          <w:ilvl w:val="0"/>
          <w:numId w:val="4"/>
        </w:numPr>
        <w:ind w:firstLineChars="0"/>
      </w:pPr>
      <w:r>
        <w:rPr>
          <w:rFonts w:hint="eastAsia"/>
        </w:rPr>
        <w:t>《浙江省住房和城乡建设厅关于进一步规范建筑垃圾治理工作的实施意见》</w:t>
      </w:r>
    </w:p>
    <w:p>
      <w:pPr>
        <w:pStyle w:val="32"/>
        <w:numPr>
          <w:ilvl w:val="0"/>
          <w:numId w:val="4"/>
        </w:numPr>
        <w:ind w:firstLineChars="0"/>
      </w:pPr>
      <w:r>
        <w:rPr>
          <w:rFonts w:hint="eastAsia"/>
        </w:rPr>
        <w:t>《关于浙江省建筑垃圾综合利用产品推广应用的实施意见》</w:t>
      </w:r>
    </w:p>
    <w:p>
      <w:pPr>
        <w:pStyle w:val="32"/>
        <w:numPr>
          <w:ilvl w:val="0"/>
          <w:numId w:val="4"/>
        </w:numPr>
        <w:ind w:firstLineChars="0"/>
      </w:pPr>
      <w:r>
        <w:rPr>
          <w:rFonts w:hint="eastAsia"/>
        </w:rPr>
        <w:t>《建筑垃圾处理技术标准》(CJJ134-2019)</w:t>
      </w:r>
    </w:p>
    <w:p>
      <w:pPr>
        <w:pStyle w:val="32"/>
        <w:numPr>
          <w:ilvl w:val="0"/>
          <w:numId w:val="4"/>
        </w:numPr>
        <w:ind w:firstLineChars="0"/>
      </w:pPr>
      <w:r>
        <w:rPr>
          <w:rFonts w:hint="eastAsia"/>
        </w:rPr>
        <w:t>《城市环境卫生设施规划标准》(GB/T50337-2018)</w:t>
      </w:r>
    </w:p>
    <w:p>
      <w:pPr>
        <w:pStyle w:val="32"/>
        <w:numPr>
          <w:ilvl w:val="0"/>
          <w:numId w:val="4"/>
        </w:numPr>
        <w:ind w:firstLineChars="0"/>
      </w:pPr>
      <w:r>
        <w:rPr>
          <w:rFonts w:hint="eastAsia"/>
        </w:rPr>
        <w:t>《环境卫生技术规范》（GB51260-2017）</w:t>
      </w:r>
    </w:p>
    <w:p>
      <w:pPr>
        <w:pStyle w:val="32"/>
        <w:numPr>
          <w:ilvl w:val="0"/>
          <w:numId w:val="4"/>
        </w:numPr>
        <w:ind w:firstLineChars="0"/>
      </w:pPr>
      <w:r>
        <w:rPr>
          <w:rFonts w:hint="eastAsia"/>
        </w:rPr>
        <w:t>《环境卫生设施设置标准》（CJJ 27-2012）</w:t>
      </w:r>
    </w:p>
    <w:p>
      <w:pPr>
        <w:pStyle w:val="32"/>
        <w:numPr>
          <w:ilvl w:val="0"/>
          <w:numId w:val="4"/>
        </w:numPr>
        <w:ind w:firstLineChars="0"/>
      </w:pPr>
      <w:r>
        <w:rPr>
          <w:rFonts w:hint="eastAsia"/>
        </w:rPr>
        <w:t>《建筑垃圾污染环境防治工作规划编制导则》</w:t>
      </w:r>
    </w:p>
    <w:bookmarkEnd w:id="8"/>
    <w:p>
      <w:pPr>
        <w:pStyle w:val="3"/>
      </w:pPr>
      <w:bookmarkStart w:id="9" w:name="_Toc168062378"/>
      <w:r>
        <w:rPr>
          <w:rFonts w:hint="eastAsia"/>
        </w:rPr>
        <w:t>规划范围及年限</w:t>
      </w:r>
      <w:bookmarkEnd w:id="9"/>
    </w:p>
    <w:p>
      <w:pPr>
        <w:ind w:firstLine="640"/>
      </w:pPr>
      <w:bookmarkStart w:id="10" w:name="_Hlk168062028"/>
      <w:bookmarkStart w:id="11" w:name="_Hlk168062009"/>
      <w:r>
        <w:rPr>
          <w:rFonts w:hint="eastAsia"/>
        </w:rPr>
        <w:t>本次工作规划期限为2</w:t>
      </w:r>
      <w:r>
        <w:t>02</w:t>
      </w:r>
      <w:r>
        <w:rPr>
          <w:rFonts w:hint="eastAsia"/>
        </w:rPr>
        <w:t>4</w:t>
      </w:r>
      <w:r>
        <w:t>-20</w:t>
      </w:r>
      <w:r>
        <w:rPr>
          <w:rFonts w:hint="eastAsia"/>
        </w:rPr>
        <w:t>35年，其中近期至2030年，远期至2035年。</w:t>
      </w:r>
      <w:bookmarkEnd w:id="10"/>
      <w:r>
        <w:rPr>
          <w:rFonts w:hint="eastAsia"/>
        </w:rPr>
        <w:t>规划范围涵盖临海市市域</w:t>
      </w:r>
      <w:bookmarkEnd w:id="11"/>
      <w:r>
        <w:rPr>
          <w:rFonts w:hint="eastAsia"/>
        </w:rPr>
        <w:t>。</w:t>
      </w:r>
    </w:p>
    <w:p>
      <w:pPr>
        <w:pStyle w:val="2"/>
      </w:pPr>
      <w:bookmarkStart w:id="12" w:name="_Toc168062379"/>
      <w:r>
        <w:rPr>
          <w:rFonts w:hint="eastAsia"/>
        </w:rPr>
        <w:t>现状分析</w:t>
      </w:r>
      <w:bookmarkEnd w:id="12"/>
    </w:p>
    <w:p>
      <w:pPr>
        <w:pStyle w:val="3"/>
      </w:pPr>
      <w:bookmarkStart w:id="13" w:name="_Toc168062380"/>
      <w:r>
        <w:rPr>
          <w:rFonts w:hint="eastAsia"/>
        </w:rPr>
        <w:t>建筑垃圾清运处置情况</w:t>
      </w:r>
      <w:bookmarkEnd w:id="13"/>
    </w:p>
    <w:p>
      <w:pPr>
        <w:pStyle w:val="30"/>
      </w:pPr>
      <w:r>
        <w:rPr>
          <w:rFonts w:hint="eastAsia"/>
        </w:rPr>
        <w:t>建筑垃圾运输情况</w:t>
      </w:r>
    </w:p>
    <w:p>
      <w:pPr>
        <w:ind w:firstLine="640"/>
      </w:pPr>
      <w:r>
        <w:rPr>
          <w:rFonts w:hint="eastAsia"/>
        </w:rPr>
        <w:t>2022年，台州市综合行政执法局发布《台州市城市建筑垃圾处置核准规范及标准（试行）》，指导全市建筑垃圾运输单位工作要求。规定建筑垃圾运输车辆符合“四统一”要求，即统一颜色、统一标识、统一密封、统一定位系统。运输车辆按核定载质量运输，总重量不能超过50吨，运输单位按照台州市城市建筑垃圾运输路线单所示路线进行运输，并随车携带路线单。支持鼓励采用新能源车辆从事建筑垃圾运输。当前临海市的建筑垃圾运输体系整体较为完备，截至目前，临海市核准建筑垃圾运输公司</w:t>
      </w:r>
      <w:r>
        <w:rPr>
          <w:rFonts w:hint="eastAsia"/>
          <w:highlight w:val="green"/>
        </w:rPr>
        <w:t>共</w:t>
      </w:r>
      <w:r>
        <w:rPr>
          <w:highlight w:val="green"/>
        </w:rPr>
        <w:t>2</w:t>
      </w:r>
      <w:r>
        <w:rPr>
          <w:rFonts w:hint="eastAsia"/>
          <w:highlight w:val="green"/>
        </w:rPr>
        <w:t>8家</w:t>
      </w:r>
      <w:r>
        <w:rPr>
          <w:rFonts w:hint="eastAsia"/>
        </w:rPr>
        <w:t>，其中工程渣土运输1</w:t>
      </w:r>
      <w:r>
        <w:t>6</w:t>
      </w:r>
      <w:r>
        <w:rPr>
          <w:rFonts w:hint="eastAsia"/>
        </w:rPr>
        <w:t>家，装修垃圾运输</w:t>
      </w:r>
      <w:r>
        <w:rPr>
          <w:highlight w:val="green"/>
        </w:rPr>
        <w:t>1</w:t>
      </w:r>
      <w:r>
        <w:rPr>
          <w:rFonts w:hint="eastAsia"/>
          <w:highlight w:val="green"/>
        </w:rPr>
        <w:t>2家</w:t>
      </w:r>
      <w:r>
        <w:rPr>
          <w:rFonts w:hint="eastAsia"/>
        </w:rPr>
        <w:t>。</w:t>
      </w:r>
    </w:p>
    <w:p>
      <w:pPr>
        <w:ind w:firstLine="640"/>
      </w:pPr>
      <w:r>
        <w:rPr>
          <w:rFonts w:hint="eastAsia"/>
        </w:rPr>
        <w:t>在规范建筑垃圾运输和消纳企业的行业行为上，台州市出台了《台州市建筑垃圾运输和消纳企业信用等级考核评定办法》，引导和促进运输和消纳企业加强管理、保障安全、诚信经营、优质服务。2</w:t>
      </w:r>
      <w:r>
        <w:t>024</w:t>
      </w:r>
      <w:r>
        <w:rPr>
          <w:rFonts w:hint="eastAsia"/>
        </w:rPr>
        <w:t>年临海市计划出台《临海市建筑垃圾运输和消纳企业信用等级考核评定办法》。</w:t>
      </w:r>
    </w:p>
    <w:p>
      <w:pPr>
        <w:pStyle w:val="36"/>
      </w:pPr>
      <w:r>
        <w:drawing>
          <wp:inline distT="0" distB="0" distL="0" distR="0">
            <wp:extent cx="4931410" cy="2533650"/>
            <wp:effectExtent l="0" t="0" r="2540" b="0"/>
            <wp:docPr id="929715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15460" name="图片 1"/>
                    <pic:cNvPicPr>
                      <a:picLocks noChangeAspect="1"/>
                    </pic:cNvPicPr>
                  </pic:nvPicPr>
                  <pic:blipFill>
                    <a:blip r:embed="rId13"/>
                    <a:stretch>
                      <a:fillRect/>
                    </a:stretch>
                  </pic:blipFill>
                  <pic:spPr>
                    <a:xfrm>
                      <a:off x="0" y="0"/>
                      <a:ext cx="4933867" cy="2534651"/>
                    </a:xfrm>
                    <a:prstGeom prst="rect">
                      <a:avLst/>
                    </a:prstGeom>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t xml:space="preserve"> </w:t>
      </w:r>
      <w:r>
        <w:rPr>
          <w:rFonts w:hint="eastAsia"/>
        </w:rPr>
        <w:t>建筑垃圾运输车示意图</w:t>
      </w:r>
    </w:p>
    <w:p>
      <w:pPr>
        <w:pStyle w:val="36"/>
        <w:ind w:firstLine="560"/>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1</w:t>
      </w:r>
      <w:r>
        <w:fldChar w:fldCharType="end"/>
      </w:r>
      <w:r>
        <w:t xml:space="preserve"> </w:t>
      </w:r>
      <w:r>
        <w:rPr>
          <w:rFonts w:hint="eastAsia"/>
        </w:rPr>
        <w:t>临海市建筑垃圾运输公司统计表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3911"/>
        <w:gridCol w:w="2435"/>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405" w:type="pct"/>
            <w:noWrap/>
          </w:tcPr>
          <w:p>
            <w:pPr>
              <w:pStyle w:val="38"/>
              <w:rPr>
                <w:highlight w:val="green"/>
              </w:rPr>
            </w:pPr>
            <w:r>
              <w:rPr>
                <w:rFonts w:hint="eastAsia"/>
                <w:highlight w:val="green"/>
              </w:rPr>
              <w:t>序号</w:t>
            </w:r>
          </w:p>
        </w:tc>
        <w:tc>
          <w:tcPr>
            <w:tcW w:w="2106" w:type="pct"/>
            <w:noWrap/>
          </w:tcPr>
          <w:p>
            <w:pPr>
              <w:pStyle w:val="38"/>
              <w:rPr>
                <w:highlight w:val="green"/>
              </w:rPr>
            </w:pPr>
            <w:r>
              <w:rPr>
                <w:rFonts w:hint="eastAsia"/>
                <w:highlight w:val="green"/>
              </w:rPr>
              <w:t>企业名称</w:t>
            </w:r>
          </w:p>
        </w:tc>
        <w:tc>
          <w:tcPr>
            <w:tcW w:w="1311" w:type="pct"/>
            <w:noWrap/>
          </w:tcPr>
          <w:p>
            <w:pPr>
              <w:pStyle w:val="38"/>
              <w:rPr>
                <w:highlight w:val="green"/>
              </w:rPr>
            </w:pPr>
            <w:r>
              <w:rPr>
                <w:rFonts w:hint="eastAsia"/>
                <w:highlight w:val="green"/>
              </w:rPr>
              <w:t>工程车数量</w:t>
            </w:r>
          </w:p>
        </w:tc>
        <w:tc>
          <w:tcPr>
            <w:tcW w:w="1179" w:type="pct"/>
            <w:noWrap/>
          </w:tcPr>
          <w:p>
            <w:pPr>
              <w:pStyle w:val="38"/>
              <w:rPr>
                <w:highlight w:val="green"/>
              </w:rPr>
            </w:pPr>
            <w:r>
              <w:rPr>
                <w:rFonts w:hint="eastAsia"/>
                <w:highlight w:val="gree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w:t>
            </w:r>
          </w:p>
        </w:tc>
        <w:tc>
          <w:tcPr>
            <w:tcW w:w="2106" w:type="pct"/>
            <w:noWrap/>
          </w:tcPr>
          <w:p>
            <w:pPr>
              <w:pStyle w:val="38"/>
              <w:rPr>
                <w:highlight w:val="green"/>
              </w:rPr>
            </w:pPr>
            <w:r>
              <w:rPr>
                <w:rFonts w:hint="eastAsia"/>
                <w:highlight w:val="green"/>
              </w:rPr>
              <w:t>临海市洁佳环保工程有限公司</w:t>
            </w:r>
          </w:p>
        </w:tc>
        <w:tc>
          <w:tcPr>
            <w:tcW w:w="1311" w:type="pct"/>
            <w:noWrap/>
          </w:tcPr>
          <w:p>
            <w:pPr>
              <w:pStyle w:val="38"/>
              <w:rPr>
                <w:highlight w:val="green"/>
              </w:rPr>
            </w:pPr>
            <w:r>
              <w:rPr>
                <w:rFonts w:hint="eastAsia"/>
                <w:highlight w:val="green"/>
              </w:rPr>
              <w:t>23</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w:t>
            </w:r>
          </w:p>
        </w:tc>
        <w:tc>
          <w:tcPr>
            <w:tcW w:w="2106" w:type="pct"/>
            <w:noWrap/>
          </w:tcPr>
          <w:p>
            <w:pPr>
              <w:pStyle w:val="38"/>
              <w:rPr>
                <w:highlight w:val="green"/>
              </w:rPr>
            </w:pPr>
            <w:r>
              <w:rPr>
                <w:rFonts w:hint="eastAsia"/>
                <w:highlight w:val="green"/>
              </w:rPr>
              <w:t>临海市灵江运输有限公司</w:t>
            </w:r>
          </w:p>
        </w:tc>
        <w:tc>
          <w:tcPr>
            <w:tcW w:w="1311" w:type="pct"/>
            <w:noWrap/>
          </w:tcPr>
          <w:p>
            <w:pPr>
              <w:pStyle w:val="38"/>
              <w:rPr>
                <w:highlight w:val="green"/>
              </w:rPr>
            </w:pPr>
            <w:r>
              <w:rPr>
                <w:rFonts w:hint="eastAsia"/>
                <w:highlight w:val="green"/>
              </w:rPr>
              <w:t>17</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3</w:t>
            </w:r>
          </w:p>
        </w:tc>
        <w:tc>
          <w:tcPr>
            <w:tcW w:w="2106" w:type="pct"/>
            <w:noWrap/>
          </w:tcPr>
          <w:p>
            <w:pPr>
              <w:pStyle w:val="38"/>
              <w:rPr>
                <w:highlight w:val="green"/>
              </w:rPr>
            </w:pPr>
            <w:r>
              <w:rPr>
                <w:rFonts w:hint="eastAsia"/>
                <w:highlight w:val="green"/>
              </w:rPr>
              <w:t>临海市广宏建筑基础工程有限公司</w:t>
            </w:r>
          </w:p>
        </w:tc>
        <w:tc>
          <w:tcPr>
            <w:tcW w:w="1311" w:type="pct"/>
            <w:noWrap/>
          </w:tcPr>
          <w:p>
            <w:pPr>
              <w:pStyle w:val="38"/>
              <w:rPr>
                <w:highlight w:val="green"/>
              </w:rPr>
            </w:pPr>
            <w:r>
              <w:rPr>
                <w:rFonts w:hint="eastAsia"/>
                <w:highlight w:val="green"/>
              </w:rPr>
              <w:t>20</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4</w:t>
            </w:r>
          </w:p>
        </w:tc>
        <w:tc>
          <w:tcPr>
            <w:tcW w:w="2106" w:type="pct"/>
            <w:noWrap/>
          </w:tcPr>
          <w:p>
            <w:pPr>
              <w:pStyle w:val="38"/>
              <w:rPr>
                <w:highlight w:val="green"/>
              </w:rPr>
            </w:pPr>
            <w:r>
              <w:rPr>
                <w:rFonts w:hint="eastAsia"/>
                <w:highlight w:val="green"/>
              </w:rPr>
              <w:t>临海市鸿商道路运输有限公司</w:t>
            </w:r>
          </w:p>
        </w:tc>
        <w:tc>
          <w:tcPr>
            <w:tcW w:w="1311" w:type="pct"/>
            <w:noWrap/>
          </w:tcPr>
          <w:p>
            <w:pPr>
              <w:pStyle w:val="38"/>
              <w:rPr>
                <w:highlight w:val="green"/>
              </w:rPr>
            </w:pPr>
            <w:r>
              <w:rPr>
                <w:rFonts w:hint="eastAsia"/>
                <w:highlight w:val="green"/>
              </w:rPr>
              <w:t>23</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5</w:t>
            </w:r>
          </w:p>
        </w:tc>
        <w:tc>
          <w:tcPr>
            <w:tcW w:w="2106" w:type="pct"/>
            <w:noWrap/>
          </w:tcPr>
          <w:p>
            <w:pPr>
              <w:pStyle w:val="38"/>
              <w:rPr>
                <w:highlight w:val="green"/>
              </w:rPr>
            </w:pPr>
            <w:r>
              <w:rPr>
                <w:rFonts w:hint="eastAsia"/>
                <w:highlight w:val="green"/>
              </w:rPr>
              <w:t>临海市广发运输有限公司</w:t>
            </w:r>
          </w:p>
        </w:tc>
        <w:tc>
          <w:tcPr>
            <w:tcW w:w="1311" w:type="pct"/>
            <w:noWrap/>
          </w:tcPr>
          <w:p>
            <w:pPr>
              <w:pStyle w:val="38"/>
              <w:rPr>
                <w:highlight w:val="green"/>
              </w:rPr>
            </w:pPr>
            <w:r>
              <w:rPr>
                <w:rFonts w:hint="eastAsia"/>
                <w:highlight w:val="green"/>
              </w:rPr>
              <w:t>20</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6</w:t>
            </w:r>
          </w:p>
        </w:tc>
        <w:tc>
          <w:tcPr>
            <w:tcW w:w="2106" w:type="pct"/>
            <w:noWrap/>
          </w:tcPr>
          <w:p>
            <w:pPr>
              <w:pStyle w:val="38"/>
              <w:rPr>
                <w:highlight w:val="green"/>
              </w:rPr>
            </w:pPr>
            <w:r>
              <w:rPr>
                <w:rFonts w:hint="eastAsia"/>
                <w:highlight w:val="green"/>
              </w:rPr>
              <w:t>台州市鑫国运输有限公司</w:t>
            </w:r>
          </w:p>
        </w:tc>
        <w:tc>
          <w:tcPr>
            <w:tcW w:w="1311" w:type="pct"/>
            <w:noWrap/>
          </w:tcPr>
          <w:p>
            <w:pPr>
              <w:pStyle w:val="38"/>
              <w:rPr>
                <w:highlight w:val="green"/>
              </w:rPr>
            </w:pPr>
            <w:r>
              <w:rPr>
                <w:rFonts w:hint="eastAsia"/>
                <w:highlight w:val="green"/>
              </w:rPr>
              <w:t>20</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7</w:t>
            </w:r>
          </w:p>
        </w:tc>
        <w:tc>
          <w:tcPr>
            <w:tcW w:w="2106" w:type="pct"/>
            <w:noWrap/>
          </w:tcPr>
          <w:p>
            <w:pPr>
              <w:pStyle w:val="38"/>
              <w:rPr>
                <w:highlight w:val="green"/>
              </w:rPr>
            </w:pPr>
            <w:r>
              <w:rPr>
                <w:rFonts w:hint="eastAsia"/>
                <w:highlight w:val="green"/>
              </w:rPr>
              <w:t>台州昌运建设有限公司</w:t>
            </w:r>
          </w:p>
        </w:tc>
        <w:tc>
          <w:tcPr>
            <w:tcW w:w="1311" w:type="pct"/>
            <w:noWrap/>
          </w:tcPr>
          <w:p>
            <w:pPr>
              <w:pStyle w:val="38"/>
              <w:rPr>
                <w:highlight w:val="green"/>
              </w:rPr>
            </w:pPr>
            <w:r>
              <w:rPr>
                <w:rFonts w:hint="eastAsia"/>
                <w:highlight w:val="green"/>
              </w:rPr>
              <w:t>17</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8</w:t>
            </w:r>
          </w:p>
        </w:tc>
        <w:tc>
          <w:tcPr>
            <w:tcW w:w="2106" w:type="pct"/>
            <w:noWrap/>
          </w:tcPr>
          <w:p>
            <w:pPr>
              <w:pStyle w:val="38"/>
              <w:rPr>
                <w:highlight w:val="green"/>
              </w:rPr>
            </w:pPr>
            <w:r>
              <w:rPr>
                <w:rFonts w:hint="eastAsia"/>
                <w:highlight w:val="green"/>
              </w:rPr>
              <w:t>台州市鑫强运输有限公司</w:t>
            </w:r>
          </w:p>
        </w:tc>
        <w:tc>
          <w:tcPr>
            <w:tcW w:w="1311" w:type="pct"/>
            <w:noWrap/>
          </w:tcPr>
          <w:p>
            <w:pPr>
              <w:pStyle w:val="38"/>
              <w:rPr>
                <w:highlight w:val="green"/>
              </w:rPr>
            </w:pPr>
            <w:r>
              <w:rPr>
                <w:rFonts w:hint="eastAsia"/>
                <w:highlight w:val="green"/>
              </w:rPr>
              <w:t>20</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9</w:t>
            </w:r>
          </w:p>
        </w:tc>
        <w:tc>
          <w:tcPr>
            <w:tcW w:w="2106" w:type="pct"/>
            <w:noWrap/>
          </w:tcPr>
          <w:p>
            <w:pPr>
              <w:pStyle w:val="38"/>
              <w:rPr>
                <w:highlight w:val="green"/>
              </w:rPr>
            </w:pPr>
            <w:r>
              <w:rPr>
                <w:rFonts w:hint="eastAsia"/>
                <w:highlight w:val="green"/>
              </w:rPr>
              <w:t>临海市明盛运输有限公司</w:t>
            </w:r>
          </w:p>
        </w:tc>
        <w:tc>
          <w:tcPr>
            <w:tcW w:w="1311" w:type="pct"/>
            <w:noWrap/>
          </w:tcPr>
          <w:p>
            <w:pPr>
              <w:pStyle w:val="38"/>
              <w:rPr>
                <w:highlight w:val="green"/>
              </w:rPr>
            </w:pPr>
            <w:r>
              <w:rPr>
                <w:rFonts w:hint="eastAsia"/>
                <w:highlight w:val="green"/>
              </w:rPr>
              <w:t>20</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10</w:t>
            </w:r>
          </w:p>
        </w:tc>
        <w:tc>
          <w:tcPr>
            <w:tcW w:w="2106" w:type="pct"/>
            <w:noWrap/>
          </w:tcPr>
          <w:p>
            <w:pPr>
              <w:pStyle w:val="38"/>
              <w:rPr>
                <w:highlight w:val="green"/>
              </w:rPr>
            </w:pPr>
            <w:r>
              <w:rPr>
                <w:rFonts w:hint="eastAsia"/>
                <w:highlight w:val="green"/>
              </w:rPr>
              <w:t>临海市海悦物流有限公司</w:t>
            </w:r>
          </w:p>
        </w:tc>
        <w:tc>
          <w:tcPr>
            <w:tcW w:w="1311" w:type="pct"/>
            <w:noWrap/>
          </w:tcPr>
          <w:p>
            <w:pPr>
              <w:pStyle w:val="38"/>
              <w:rPr>
                <w:highlight w:val="green"/>
              </w:rPr>
            </w:pPr>
            <w:r>
              <w:rPr>
                <w:rFonts w:hint="eastAsia"/>
                <w:highlight w:val="green"/>
              </w:rPr>
              <w:t>26</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11</w:t>
            </w:r>
          </w:p>
        </w:tc>
        <w:tc>
          <w:tcPr>
            <w:tcW w:w="2106" w:type="pct"/>
            <w:noWrap/>
          </w:tcPr>
          <w:p>
            <w:pPr>
              <w:pStyle w:val="38"/>
              <w:rPr>
                <w:highlight w:val="green"/>
              </w:rPr>
            </w:pPr>
            <w:r>
              <w:rPr>
                <w:rFonts w:hint="eastAsia"/>
                <w:highlight w:val="green"/>
              </w:rPr>
              <w:t>台州市鸿商建筑工程有限公司</w:t>
            </w:r>
          </w:p>
        </w:tc>
        <w:tc>
          <w:tcPr>
            <w:tcW w:w="1311" w:type="pct"/>
            <w:noWrap/>
          </w:tcPr>
          <w:p>
            <w:pPr>
              <w:pStyle w:val="38"/>
              <w:rPr>
                <w:highlight w:val="green"/>
              </w:rPr>
            </w:pPr>
            <w:r>
              <w:rPr>
                <w:rFonts w:hint="eastAsia"/>
                <w:highlight w:val="green"/>
              </w:rPr>
              <w:t>20</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12</w:t>
            </w:r>
          </w:p>
        </w:tc>
        <w:tc>
          <w:tcPr>
            <w:tcW w:w="2106" w:type="pct"/>
            <w:noWrap/>
          </w:tcPr>
          <w:p>
            <w:pPr>
              <w:pStyle w:val="38"/>
              <w:rPr>
                <w:highlight w:val="green"/>
              </w:rPr>
            </w:pPr>
            <w:r>
              <w:rPr>
                <w:rFonts w:hint="eastAsia"/>
                <w:highlight w:val="green"/>
              </w:rPr>
              <w:t>临海市汇通运输有限公司</w:t>
            </w:r>
          </w:p>
        </w:tc>
        <w:tc>
          <w:tcPr>
            <w:tcW w:w="1311" w:type="pct"/>
            <w:noWrap/>
          </w:tcPr>
          <w:p>
            <w:pPr>
              <w:pStyle w:val="38"/>
              <w:rPr>
                <w:highlight w:val="green"/>
              </w:rPr>
            </w:pPr>
            <w:r>
              <w:rPr>
                <w:rFonts w:hint="eastAsia"/>
                <w:highlight w:val="green"/>
              </w:rPr>
              <w:t>21</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13</w:t>
            </w:r>
          </w:p>
        </w:tc>
        <w:tc>
          <w:tcPr>
            <w:tcW w:w="2106" w:type="pct"/>
            <w:noWrap/>
          </w:tcPr>
          <w:p>
            <w:pPr>
              <w:pStyle w:val="38"/>
              <w:rPr>
                <w:highlight w:val="green"/>
              </w:rPr>
            </w:pPr>
            <w:r>
              <w:rPr>
                <w:rFonts w:hint="eastAsia"/>
                <w:highlight w:val="green"/>
              </w:rPr>
              <w:t>临海光洁物流有限公司</w:t>
            </w:r>
          </w:p>
        </w:tc>
        <w:tc>
          <w:tcPr>
            <w:tcW w:w="1311" w:type="pct"/>
            <w:noWrap/>
          </w:tcPr>
          <w:p>
            <w:pPr>
              <w:pStyle w:val="38"/>
              <w:rPr>
                <w:highlight w:val="green"/>
              </w:rPr>
            </w:pPr>
            <w:r>
              <w:rPr>
                <w:rFonts w:hint="eastAsia"/>
                <w:highlight w:val="green"/>
              </w:rPr>
              <w:t>20</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14</w:t>
            </w:r>
          </w:p>
        </w:tc>
        <w:tc>
          <w:tcPr>
            <w:tcW w:w="2106" w:type="pct"/>
            <w:noWrap/>
          </w:tcPr>
          <w:p>
            <w:pPr>
              <w:pStyle w:val="38"/>
              <w:rPr>
                <w:highlight w:val="green"/>
              </w:rPr>
            </w:pPr>
            <w:r>
              <w:rPr>
                <w:rFonts w:hint="eastAsia"/>
                <w:highlight w:val="green"/>
              </w:rPr>
              <w:t>台州市康强运输有限公司</w:t>
            </w:r>
          </w:p>
        </w:tc>
        <w:tc>
          <w:tcPr>
            <w:tcW w:w="1311" w:type="pct"/>
            <w:noWrap/>
          </w:tcPr>
          <w:p>
            <w:pPr>
              <w:pStyle w:val="38"/>
              <w:rPr>
                <w:highlight w:val="green"/>
              </w:rPr>
            </w:pPr>
            <w:r>
              <w:rPr>
                <w:rFonts w:hint="eastAsia"/>
                <w:highlight w:val="green"/>
              </w:rPr>
              <w:t>24</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15</w:t>
            </w:r>
          </w:p>
        </w:tc>
        <w:tc>
          <w:tcPr>
            <w:tcW w:w="2106" w:type="pct"/>
            <w:noWrap/>
          </w:tcPr>
          <w:p>
            <w:pPr>
              <w:pStyle w:val="38"/>
              <w:rPr>
                <w:highlight w:val="green"/>
              </w:rPr>
            </w:pPr>
            <w:r>
              <w:rPr>
                <w:rFonts w:hint="eastAsia"/>
                <w:highlight w:val="green"/>
              </w:rPr>
              <w:t>台州众联运输有限公司</w:t>
            </w:r>
          </w:p>
        </w:tc>
        <w:tc>
          <w:tcPr>
            <w:tcW w:w="1311" w:type="pct"/>
            <w:noWrap/>
          </w:tcPr>
          <w:p>
            <w:pPr>
              <w:pStyle w:val="38"/>
              <w:rPr>
                <w:highlight w:val="green"/>
              </w:rPr>
            </w:pPr>
            <w:r>
              <w:rPr>
                <w:rFonts w:hint="eastAsia"/>
                <w:highlight w:val="green"/>
              </w:rPr>
              <w:t>22</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16</w:t>
            </w:r>
          </w:p>
        </w:tc>
        <w:tc>
          <w:tcPr>
            <w:tcW w:w="2106" w:type="pct"/>
            <w:noWrap/>
          </w:tcPr>
          <w:p>
            <w:pPr>
              <w:pStyle w:val="38"/>
              <w:rPr>
                <w:highlight w:val="green"/>
              </w:rPr>
            </w:pPr>
            <w:r>
              <w:rPr>
                <w:rFonts w:hint="eastAsia"/>
                <w:highlight w:val="green"/>
              </w:rPr>
              <w:t>临海市宏展运输有限公司</w:t>
            </w:r>
          </w:p>
        </w:tc>
        <w:tc>
          <w:tcPr>
            <w:tcW w:w="1311" w:type="pct"/>
            <w:noWrap/>
          </w:tcPr>
          <w:p>
            <w:pPr>
              <w:pStyle w:val="38"/>
              <w:rPr>
                <w:highlight w:val="green"/>
              </w:rPr>
            </w:pPr>
            <w:r>
              <w:rPr>
                <w:rFonts w:hint="eastAsia"/>
                <w:highlight w:val="green"/>
              </w:rPr>
              <w:t>12</w:t>
            </w:r>
          </w:p>
        </w:tc>
        <w:tc>
          <w:tcPr>
            <w:tcW w:w="1179" w:type="pct"/>
            <w:noWrap/>
          </w:tcPr>
          <w:p>
            <w:pPr>
              <w:pStyle w:val="38"/>
              <w:rPr>
                <w:highlight w:val="green"/>
              </w:rPr>
            </w:pPr>
            <w:r>
              <w:rPr>
                <w:rFonts w:hint="eastAsia"/>
                <w:highlight w:val="green"/>
              </w:rPr>
              <w:t>渣土运输车队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17</w:t>
            </w:r>
          </w:p>
        </w:tc>
        <w:tc>
          <w:tcPr>
            <w:tcW w:w="2106" w:type="pct"/>
            <w:noWrap/>
          </w:tcPr>
          <w:p>
            <w:pPr>
              <w:pStyle w:val="38"/>
              <w:rPr>
                <w:highlight w:val="green"/>
              </w:rPr>
            </w:pPr>
            <w:r>
              <w:rPr>
                <w:rFonts w:hint="eastAsia"/>
                <w:highlight w:val="green"/>
              </w:rPr>
              <w:t>临海市志诚保洁有限公司</w:t>
            </w:r>
          </w:p>
        </w:tc>
        <w:tc>
          <w:tcPr>
            <w:tcW w:w="1311" w:type="pct"/>
            <w:noWrap/>
          </w:tcPr>
          <w:p>
            <w:pPr>
              <w:pStyle w:val="38"/>
              <w:rPr>
                <w:highlight w:val="green"/>
              </w:rPr>
            </w:pPr>
            <w:r>
              <w:rPr>
                <w:rFonts w:hint="eastAsia"/>
                <w:highlight w:val="green"/>
              </w:rPr>
              <w:t>7</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18</w:t>
            </w:r>
          </w:p>
        </w:tc>
        <w:tc>
          <w:tcPr>
            <w:tcW w:w="2106" w:type="pct"/>
            <w:noWrap/>
          </w:tcPr>
          <w:p>
            <w:pPr>
              <w:pStyle w:val="38"/>
              <w:rPr>
                <w:highlight w:val="green"/>
              </w:rPr>
            </w:pPr>
            <w:r>
              <w:rPr>
                <w:rFonts w:hint="eastAsia"/>
                <w:highlight w:val="green"/>
              </w:rPr>
              <w:t>台州鼎大保洁服务有限公司</w:t>
            </w:r>
          </w:p>
        </w:tc>
        <w:tc>
          <w:tcPr>
            <w:tcW w:w="1311" w:type="pct"/>
            <w:noWrap/>
          </w:tcPr>
          <w:p>
            <w:pPr>
              <w:pStyle w:val="38"/>
              <w:rPr>
                <w:highlight w:val="green"/>
              </w:rPr>
            </w:pPr>
            <w:r>
              <w:rPr>
                <w:rFonts w:hint="eastAsia"/>
                <w:highlight w:val="green"/>
              </w:rPr>
              <w:t>7</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19</w:t>
            </w:r>
          </w:p>
        </w:tc>
        <w:tc>
          <w:tcPr>
            <w:tcW w:w="2106" w:type="pct"/>
            <w:noWrap/>
          </w:tcPr>
          <w:p>
            <w:pPr>
              <w:pStyle w:val="38"/>
              <w:rPr>
                <w:highlight w:val="green"/>
              </w:rPr>
            </w:pPr>
            <w:r>
              <w:rPr>
                <w:rFonts w:hint="eastAsia"/>
                <w:highlight w:val="green"/>
              </w:rPr>
              <w:t>临海市乐帮家政搬运服务有限公司</w:t>
            </w:r>
          </w:p>
        </w:tc>
        <w:tc>
          <w:tcPr>
            <w:tcW w:w="1311" w:type="pct"/>
            <w:noWrap/>
          </w:tcPr>
          <w:p>
            <w:pPr>
              <w:pStyle w:val="38"/>
              <w:rPr>
                <w:highlight w:val="green"/>
              </w:rPr>
            </w:pPr>
            <w:r>
              <w:rPr>
                <w:rFonts w:hint="eastAsia"/>
                <w:highlight w:val="green"/>
              </w:rPr>
              <w:t>7</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20</w:t>
            </w:r>
          </w:p>
        </w:tc>
        <w:tc>
          <w:tcPr>
            <w:tcW w:w="2106" w:type="pct"/>
            <w:noWrap/>
          </w:tcPr>
          <w:p>
            <w:pPr>
              <w:pStyle w:val="38"/>
              <w:rPr>
                <w:highlight w:val="green"/>
              </w:rPr>
            </w:pPr>
            <w:r>
              <w:rPr>
                <w:rFonts w:hint="eastAsia"/>
                <w:highlight w:val="green"/>
              </w:rPr>
              <w:t xml:space="preserve">台州市三吉环卫保洁有限公司  </w:t>
            </w:r>
          </w:p>
        </w:tc>
        <w:tc>
          <w:tcPr>
            <w:tcW w:w="1311" w:type="pct"/>
            <w:noWrap/>
          </w:tcPr>
          <w:p>
            <w:pPr>
              <w:pStyle w:val="38"/>
              <w:rPr>
                <w:highlight w:val="green"/>
              </w:rPr>
            </w:pPr>
            <w:r>
              <w:rPr>
                <w:rFonts w:hint="eastAsia"/>
                <w:highlight w:val="green"/>
              </w:rPr>
              <w:t>8</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21</w:t>
            </w:r>
          </w:p>
        </w:tc>
        <w:tc>
          <w:tcPr>
            <w:tcW w:w="2106" w:type="pct"/>
            <w:noWrap/>
          </w:tcPr>
          <w:p>
            <w:pPr>
              <w:pStyle w:val="38"/>
              <w:rPr>
                <w:highlight w:val="green"/>
              </w:rPr>
            </w:pPr>
            <w:r>
              <w:rPr>
                <w:rFonts w:hint="eastAsia"/>
                <w:highlight w:val="green"/>
              </w:rPr>
              <w:t>临海市小慧家政服务有限公司</w:t>
            </w:r>
          </w:p>
        </w:tc>
        <w:tc>
          <w:tcPr>
            <w:tcW w:w="1311" w:type="pct"/>
            <w:noWrap/>
          </w:tcPr>
          <w:p>
            <w:pPr>
              <w:pStyle w:val="38"/>
              <w:rPr>
                <w:highlight w:val="green"/>
              </w:rPr>
            </w:pPr>
            <w:r>
              <w:rPr>
                <w:rFonts w:hint="eastAsia"/>
                <w:highlight w:val="green"/>
              </w:rPr>
              <w:t>6</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22</w:t>
            </w:r>
          </w:p>
        </w:tc>
        <w:tc>
          <w:tcPr>
            <w:tcW w:w="2106" w:type="pct"/>
            <w:noWrap/>
          </w:tcPr>
          <w:p>
            <w:pPr>
              <w:pStyle w:val="38"/>
              <w:rPr>
                <w:highlight w:val="green"/>
              </w:rPr>
            </w:pPr>
            <w:r>
              <w:rPr>
                <w:rFonts w:hint="eastAsia"/>
                <w:highlight w:val="green"/>
              </w:rPr>
              <w:t>临海市大浦建筑垃圾运输有限公司</w:t>
            </w:r>
          </w:p>
        </w:tc>
        <w:tc>
          <w:tcPr>
            <w:tcW w:w="1311" w:type="pct"/>
            <w:noWrap/>
          </w:tcPr>
          <w:p>
            <w:pPr>
              <w:pStyle w:val="38"/>
              <w:rPr>
                <w:highlight w:val="green"/>
              </w:rPr>
            </w:pPr>
            <w:r>
              <w:rPr>
                <w:rFonts w:hint="eastAsia"/>
                <w:highlight w:val="green"/>
              </w:rPr>
              <w:t>17</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23</w:t>
            </w:r>
          </w:p>
        </w:tc>
        <w:tc>
          <w:tcPr>
            <w:tcW w:w="2106" w:type="pct"/>
            <w:noWrap/>
          </w:tcPr>
          <w:p>
            <w:pPr>
              <w:pStyle w:val="38"/>
              <w:rPr>
                <w:highlight w:val="green"/>
              </w:rPr>
            </w:pPr>
            <w:r>
              <w:rPr>
                <w:rFonts w:hint="eastAsia"/>
                <w:highlight w:val="green"/>
              </w:rPr>
              <w:t>临海市添益家政服务有限公司</w:t>
            </w:r>
          </w:p>
        </w:tc>
        <w:tc>
          <w:tcPr>
            <w:tcW w:w="1311" w:type="pct"/>
            <w:noWrap/>
          </w:tcPr>
          <w:p>
            <w:pPr>
              <w:pStyle w:val="38"/>
              <w:rPr>
                <w:highlight w:val="green"/>
              </w:rPr>
            </w:pPr>
            <w:r>
              <w:rPr>
                <w:rFonts w:hint="eastAsia"/>
                <w:highlight w:val="green"/>
              </w:rPr>
              <w:t>6</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24</w:t>
            </w:r>
          </w:p>
        </w:tc>
        <w:tc>
          <w:tcPr>
            <w:tcW w:w="2106" w:type="pct"/>
            <w:noWrap/>
          </w:tcPr>
          <w:p>
            <w:pPr>
              <w:pStyle w:val="38"/>
              <w:rPr>
                <w:highlight w:val="green"/>
              </w:rPr>
            </w:pPr>
            <w:r>
              <w:rPr>
                <w:rFonts w:hint="eastAsia"/>
                <w:highlight w:val="green"/>
              </w:rPr>
              <w:t>台州市伟龙保洁服务有限公司</w:t>
            </w:r>
          </w:p>
        </w:tc>
        <w:tc>
          <w:tcPr>
            <w:tcW w:w="1311" w:type="pct"/>
            <w:noWrap/>
          </w:tcPr>
          <w:p>
            <w:pPr>
              <w:pStyle w:val="38"/>
              <w:rPr>
                <w:highlight w:val="green"/>
              </w:rPr>
            </w:pPr>
            <w:r>
              <w:rPr>
                <w:rFonts w:hint="eastAsia"/>
                <w:highlight w:val="green"/>
              </w:rPr>
              <w:t>11</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25</w:t>
            </w:r>
          </w:p>
        </w:tc>
        <w:tc>
          <w:tcPr>
            <w:tcW w:w="2106" w:type="pct"/>
            <w:noWrap/>
          </w:tcPr>
          <w:p>
            <w:pPr>
              <w:pStyle w:val="38"/>
              <w:rPr>
                <w:highlight w:val="green"/>
              </w:rPr>
            </w:pPr>
            <w:r>
              <w:rPr>
                <w:rFonts w:hint="eastAsia"/>
                <w:highlight w:val="green"/>
              </w:rPr>
              <w:t>台州市易捷运输有限公司</w:t>
            </w:r>
          </w:p>
        </w:tc>
        <w:tc>
          <w:tcPr>
            <w:tcW w:w="1311" w:type="pct"/>
            <w:noWrap/>
          </w:tcPr>
          <w:p>
            <w:pPr>
              <w:pStyle w:val="38"/>
              <w:rPr>
                <w:highlight w:val="green"/>
              </w:rPr>
            </w:pPr>
            <w:r>
              <w:rPr>
                <w:rFonts w:hint="eastAsia"/>
                <w:highlight w:val="green"/>
              </w:rPr>
              <w:t>8</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26</w:t>
            </w:r>
          </w:p>
        </w:tc>
        <w:tc>
          <w:tcPr>
            <w:tcW w:w="2106" w:type="pct"/>
            <w:noWrap/>
          </w:tcPr>
          <w:p>
            <w:pPr>
              <w:pStyle w:val="38"/>
              <w:rPr>
                <w:highlight w:val="green"/>
              </w:rPr>
            </w:pPr>
            <w:r>
              <w:rPr>
                <w:rFonts w:hint="eastAsia"/>
                <w:highlight w:val="green"/>
              </w:rPr>
              <w:t>台州市大匀保洁服务有限公司</w:t>
            </w:r>
          </w:p>
        </w:tc>
        <w:tc>
          <w:tcPr>
            <w:tcW w:w="1311" w:type="pct"/>
            <w:noWrap/>
          </w:tcPr>
          <w:p>
            <w:pPr>
              <w:pStyle w:val="38"/>
              <w:rPr>
                <w:highlight w:val="green"/>
              </w:rPr>
            </w:pPr>
            <w:r>
              <w:rPr>
                <w:rFonts w:hint="eastAsia"/>
                <w:highlight w:val="green"/>
              </w:rPr>
              <w:t>7</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27</w:t>
            </w:r>
          </w:p>
        </w:tc>
        <w:tc>
          <w:tcPr>
            <w:tcW w:w="2106" w:type="pct"/>
            <w:noWrap/>
          </w:tcPr>
          <w:p>
            <w:pPr>
              <w:pStyle w:val="38"/>
              <w:rPr>
                <w:highlight w:val="green"/>
              </w:rPr>
            </w:pPr>
            <w:r>
              <w:rPr>
                <w:rFonts w:hint="eastAsia"/>
                <w:highlight w:val="green"/>
              </w:rPr>
              <w:t>临海市华玲运输有限公司</w:t>
            </w:r>
          </w:p>
        </w:tc>
        <w:tc>
          <w:tcPr>
            <w:tcW w:w="1311" w:type="pct"/>
            <w:noWrap/>
          </w:tcPr>
          <w:p>
            <w:pPr>
              <w:pStyle w:val="38"/>
              <w:rPr>
                <w:highlight w:val="green"/>
              </w:rPr>
            </w:pPr>
            <w:r>
              <w:rPr>
                <w:rFonts w:hint="eastAsia"/>
                <w:highlight w:val="green"/>
              </w:rPr>
              <w:t>6</w:t>
            </w:r>
          </w:p>
        </w:tc>
        <w:tc>
          <w:tcPr>
            <w:tcW w:w="1179" w:type="pct"/>
            <w:noWrap/>
          </w:tcPr>
          <w:p>
            <w:pPr>
              <w:pStyle w:val="38"/>
              <w:rPr>
                <w:highlight w:val="green"/>
              </w:rPr>
            </w:pPr>
            <w:r>
              <w:rPr>
                <w:rFonts w:hint="eastAsia"/>
                <w:highlight w:val="green"/>
              </w:rPr>
              <w:t>装修垃圾运输车队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5" w:type="pct"/>
            <w:noWrap/>
          </w:tcPr>
          <w:p>
            <w:pPr>
              <w:pStyle w:val="38"/>
              <w:rPr>
                <w:highlight w:val="green"/>
              </w:rPr>
            </w:pPr>
            <w:r>
              <w:rPr>
                <w:rFonts w:hint="eastAsia"/>
                <w:highlight w:val="green"/>
              </w:rPr>
              <w:t>28</w:t>
            </w:r>
          </w:p>
        </w:tc>
        <w:tc>
          <w:tcPr>
            <w:tcW w:w="2106" w:type="pct"/>
            <w:noWrap/>
          </w:tcPr>
          <w:p>
            <w:pPr>
              <w:pStyle w:val="38"/>
              <w:rPr>
                <w:highlight w:val="green"/>
              </w:rPr>
            </w:pPr>
            <w:r>
              <w:rPr>
                <w:rFonts w:hint="eastAsia"/>
                <w:highlight w:val="green"/>
              </w:rPr>
              <w:t>临海市大云运输有限公司</w:t>
            </w:r>
          </w:p>
        </w:tc>
        <w:tc>
          <w:tcPr>
            <w:tcW w:w="1311" w:type="pct"/>
            <w:noWrap/>
          </w:tcPr>
          <w:p>
            <w:pPr>
              <w:pStyle w:val="38"/>
              <w:rPr>
                <w:highlight w:val="green"/>
              </w:rPr>
            </w:pPr>
            <w:r>
              <w:rPr>
                <w:rFonts w:hint="eastAsia"/>
                <w:highlight w:val="green"/>
              </w:rPr>
              <w:t>6</w:t>
            </w:r>
          </w:p>
        </w:tc>
        <w:tc>
          <w:tcPr>
            <w:tcW w:w="1179" w:type="pct"/>
            <w:noWrap/>
          </w:tcPr>
          <w:p>
            <w:pPr>
              <w:pStyle w:val="38"/>
            </w:pPr>
            <w:r>
              <w:rPr>
                <w:rFonts w:hint="eastAsia"/>
                <w:highlight w:val="green"/>
              </w:rPr>
              <w:t>装修垃圾运输车队</w:t>
            </w:r>
          </w:p>
        </w:tc>
      </w:tr>
    </w:tbl>
    <w:p>
      <w:pPr>
        <w:pStyle w:val="38"/>
      </w:pPr>
    </w:p>
    <w:p>
      <w:pPr>
        <w:pStyle w:val="30"/>
      </w:pPr>
      <w:r>
        <w:rPr>
          <w:rFonts w:hint="eastAsia"/>
        </w:rPr>
        <w:t>建筑垃圾处置情况</w:t>
      </w:r>
    </w:p>
    <w:p>
      <w:pPr>
        <w:pStyle w:val="5"/>
      </w:pPr>
      <w:r>
        <w:rPr>
          <w:rFonts w:hint="eastAsia"/>
        </w:rPr>
        <w:t>工程渣土处置情况</w:t>
      </w:r>
    </w:p>
    <w:p>
      <w:pPr>
        <w:ind w:firstLine="640"/>
      </w:pPr>
      <w:r>
        <w:rPr>
          <w:rFonts w:hint="eastAsia"/>
        </w:rPr>
        <w:t>临海市2020年至2022年期间共处置备案工程渣土562.62万吨，其中2020年230.5万吨，2021年205.1万吨，2022年127.02万吨，</w:t>
      </w:r>
      <w:r>
        <w:rPr>
          <w:rFonts w:hint="eastAsia"/>
          <w:highlight w:val="green"/>
        </w:rPr>
        <w:t>2023年192.3万吨</w:t>
      </w:r>
      <w:r>
        <w:rPr>
          <w:rFonts w:hint="eastAsia"/>
        </w:rPr>
        <w:t>。工程渣土产出基本以表层土、青丝泥为主，工程渣土产出主要为本市房地产项目，一般产生周期为3-5个月。</w:t>
      </w:r>
    </w:p>
    <w:p>
      <w:pPr>
        <w:ind w:firstLine="640"/>
      </w:pPr>
      <w:r>
        <w:rPr>
          <w:rFonts w:hint="eastAsia"/>
        </w:rPr>
        <w:t>当前临海市工程渣土主要有三种正式消纳渠道。一是运至专门的渣土消纳场进行堆放储存。2</w:t>
      </w:r>
      <w:r>
        <w:t>023</w:t>
      </w:r>
      <w:r>
        <w:rPr>
          <w:rFonts w:hint="eastAsia"/>
        </w:rPr>
        <w:t>年以前，临海市工程渣土主要运至头门港城投渣土消纳场进行堆放贮存，</w:t>
      </w:r>
      <w:r>
        <w:rPr>
          <w:rFonts w:hint="eastAsia"/>
          <w:highlight w:val="yellow"/>
        </w:rPr>
        <w:t>截至2023年填埋建筑渣土126万方，目前该渣土消纳场容量饱和，已于2023年底封场</w:t>
      </w:r>
      <w:r>
        <w:rPr>
          <w:rFonts w:hint="eastAsia"/>
        </w:rPr>
        <w:t>；二是经过建筑垃圾综合利用申请备案，直接利用于其他项目，利用方式包括低洼地回填、小区绿化、土地复耕等。现台州湾新材料产业园场地平整项目因项目实际需要，具备工程渣土消纳能力，是临海市目前重要的渣土综合调运场地之一；三是以渣土为原料通过加工进行资源化利用。现有资源化利用临海市恒泰新型墙体材料有限公司、临海市里洋建材厂、临海市岙坑建材厂、临海市邵家渡前湾轮窑厂、临海市福冠建材有限公司、临海市宇源页岩建材厂、</w:t>
      </w:r>
      <w:r>
        <w:rPr>
          <w:rFonts w:hint="eastAsia"/>
          <w:highlight w:val="green"/>
        </w:rPr>
        <w:t>临海市红发建筑材料厂</w:t>
      </w:r>
      <w:r>
        <w:rPr>
          <w:rFonts w:hint="eastAsia"/>
        </w:rPr>
        <w:t>。</w:t>
      </w:r>
    </w:p>
    <w:p>
      <w:pPr>
        <w:pStyle w:val="47"/>
        <w:spacing w:before="62" w:after="93"/>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2</w:t>
      </w:r>
      <w:r>
        <w:fldChar w:fldCharType="end"/>
      </w:r>
      <w:r>
        <w:t xml:space="preserve"> </w:t>
      </w:r>
      <w:r>
        <w:rPr>
          <w:rFonts w:hint="eastAsia"/>
        </w:rPr>
        <w:t>头门港城投渣土消纳场信息表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5690"/>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805" w:type="pct"/>
            <w:vAlign w:val="center"/>
          </w:tcPr>
          <w:p>
            <w:pPr>
              <w:pStyle w:val="38"/>
            </w:pPr>
            <w:r>
              <w:rPr>
                <w:rFonts w:hint="eastAsia"/>
              </w:rPr>
              <w:t>序号</w:t>
            </w:r>
          </w:p>
        </w:tc>
        <w:tc>
          <w:tcPr>
            <w:tcW w:w="3064" w:type="pct"/>
            <w:vAlign w:val="center"/>
          </w:tcPr>
          <w:p>
            <w:pPr>
              <w:pStyle w:val="38"/>
            </w:pPr>
            <w:r>
              <w:rPr>
                <w:rFonts w:hint="eastAsia"/>
              </w:rPr>
              <w:t>企业名称</w:t>
            </w:r>
          </w:p>
        </w:tc>
        <w:tc>
          <w:tcPr>
            <w:tcW w:w="1131" w:type="pct"/>
            <w:vAlign w:val="center"/>
          </w:tcPr>
          <w:p>
            <w:pPr>
              <w:pStyle w:val="38"/>
            </w:pPr>
            <w:r>
              <w:rPr>
                <w:rFonts w:hint="eastAsia"/>
              </w:rPr>
              <w:t>承接项目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05" w:type="pct"/>
            <w:shd w:val="clear" w:color="auto" w:fill="auto"/>
            <w:vAlign w:val="center"/>
          </w:tcPr>
          <w:p>
            <w:pPr>
              <w:pStyle w:val="38"/>
            </w:pPr>
            <w:r>
              <w:rPr>
                <w:rFonts w:hint="eastAsia"/>
              </w:rPr>
              <w:t>1</w:t>
            </w:r>
          </w:p>
        </w:tc>
        <w:tc>
          <w:tcPr>
            <w:tcW w:w="3064" w:type="pct"/>
            <w:shd w:val="clear" w:color="auto" w:fill="auto"/>
            <w:vAlign w:val="center"/>
          </w:tcPr>
          <w:p>
            <w:pPr>
              <w:pStyle w:val="38"/>
            </w:pPr>
            <w:r>
              <w:rPr>
                <w:rFonts w:hint="eastAsia"/>
              </w:rPr>
              <w:t>临海市城投建筑垃圾消纳有限公司（头门港城投渣土消纳场）</w:t>
            </w:r>
          </w:p>
        </w:tc>
        <w:tc>
          <w:tcPr>
            <w:tcW w:w="1131" w:type="pct"/>
            <w:shd w:val="clear" w:color="auto" w:fill="auto"/>
            <w:vAlign w:val="center"/>
          </w:tcPr>
          <w:p>
            <w:pPr>
              <w:pStyle w:val="38"/>
            </w:pPr>
            <w:r>
              <w:rPr>
                <w:rFonts w:hint="eastAsia"/>
              </w:rPr>
              <w:t>渣土</w:t>
            </w:r>
          </w:p>
        </w:tc>
      </w:tr>
    </w:tbl>
    <w:p>
      <w:pPr>
        <w:pStyle w:val="36"/>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3</w:t>
      </w:r>
      <w:r>
        <w:fldChar w:fldCharType="end"/>
      </w:r>
      <w:r>
        <w:rPr>
          <w:rFonts w:hint="eastAsia"/>
        </w:rPr>
        <w:t>临海市2</w:t>
      </w:r>
      <w:r>
        <w:t>022</w:t>
      </w:r>
      <w:r>
        <w:rPr>
          <w:rFonts w:hint="eastAsia"/>
        </w:rPr>
        <w:t>年渣土消纳综合利用调剂信息表</w:t>
      </w:r>
    </w:p>
    <w:tbl>
      <w:tblPr>
        <w:tblStyle w:val="2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178"/>
        <w:gridCol w:w="1889"/>
        <w:gridCol w:w="1454"/>
        <w:gridCol w:w="1740"/>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blHeader/>
        </w:trPr>
        <w:tc>
          <w:tcPr>
            <w:tcW w:w="470" w:type="pct"/>
            <w:vAlign w:val="center"/>
          </w:tcPr>
          <w:p>
            <w:pPr>
              <w:pStyle w:val="38"/>
            </w:pPr>
            <w:r>
              <w:rPr>
                <w:rFonts w:hint="eastAsia"/>
              </w:rPr>
              <w:t>序号</w:t>
            </w:r>
          </w:p>
        </w:tc>
        <w:tc>
          <w:tcPr>
            <w:tcW w:w="1173" w:type="pct"/>
            <w:noWrap/>
            <w:vAlign w:val="center"/>
          </w:tcPr>
          <w:p>
            <w:pPr>
              <w:pStyle w:val="38"/>
            </w:pPr>
            <w:r>
              <w:rPr>
                <w:rFonts w:hint="eastAsia"/>
              </w:rPr>
              <w:t>出土单位</w:t>
            </w:r>
          </w:p>
        </w:tc>
        <w:tc>
          <w:tcPr>
            <w:tcW w:w="1017" w:type="pct"/>
            <w:noWrap/>
            <w:vAlign w:val="center"/>
          </w:tcPr>
          <w:p>
            <w:pPr>
              <w:pStyle w:val="38"/>
            </w:pPr>
            <w:r>
              <w:rPr>
                <w:rFonts w:hint="eastAsia"/>
              </w:rPr>
              <w:t>进土单位</w:t>
            </w:r>
          </w:p>
        </w:tc>
        <w:tc>
          <w:tcPr>
            <w:tcW w:w="783" w:type="pct"/>
            <w:noWrap/>
            <w:vAlign w:val="center"/>
          </w:tcPr>
          <w:p>
            <w:pPr>
              <w:pStyle w:val="38"/>
            </w:pPr>
            <w:r>
              <w:rPr>
                <w:rFonts w:hint="eastAsia"/>
              </w:rPr>
              <w:t>用途</w:t>
            </w:r>
          </w:p>
        </w:tc>
        <w:tc>
          <w:tcPr>
            <w:tcW w:w="937" w:type="pct"/>
            <w:noWrap/>
            <w:vAlign w:val="center"/>
          </w:tcPr>
          <w:p>
            <w:pPr>
              <w:pStyle w:val="38"/>
            </w:pPr>
            <w:r>
              <w:rPr>
                <w:rFonts w:hint="eastAsia"/>
              </w:rPr>
              <w:t>建筑垃圾种类</w:t>
            </w:r>
          </w:p>
        </w:tc>
        <w:tc>
          <w:tcPr>
            <w:tcW w:w="621" w:type="pct"/>
            <w:noWrap/>
            <w:vAlign w:val="center"/>
          </w:tcPr>
          <w:p>
            <w:pPr>
              <w:pStyle w:val="38"/>
            </w:pPr>
            <w:r>
              <w:rPr>
                <w:rFonts w:hint="eastAsia"/>
              </w:rPr>
              <w:t>方量/立方米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70" w:type="pct"/>
            <w:vMerge w:val="restart"/>
            <w:vAlign w:val="center"/>
          </w:tcPr>
          <w:p>
            <w:pPr>
              <w:pStyle w:val="38"/>
            </w:pPr>
            <w:r>
              <w:rPr>
                <w:rFonts w:hint="eastAsia"/>
              </w:rPr>
              <w:t>1</w:t>
            </w:r>
          </w:p>
        </w:tc>
        <w:tc>
          <w:tcPr>
            <w:tcW w:w="1173" w:type="pct"/>
            <w:noWrap/>
            <w:vAlign w:val="center"/>
          </w:tcPr>
          <w:p>
            <w:pPr>
              <w:pStyle w:val="38"/>
            </w:pPr>
            <w:r>
              <w:rPr>
                <w:rFonts w:hint="eastAsia"/>
              </w:rPr>
              <w:t>伟星云庐花园</w:t>
            </w:r>
          </w:p>
        </w:tc>
        <w:tc>
          <w:tcPr>
            <w:tcW w:w="1017" w:type="pct"/>
            <w:vMerge w:val="restart"/>
            <w:noWrap/>
            <w:vAlign w:val="center"/>
          </w:tcPr>
          <w:p>
            <w:pPr>
              <w:pStyle w:val="38"/>
            </w:pPr>
            <w:r>
              <w:rPr>
                <w:rFonts w:hint="eastAsia"/>
              </w:rPr>
              <w:t>临海市括苍镇长潭村</w:t>
            </w:r>
          </w:p>
        </w:tc>
        <w:tc>
          <w:tcPr>
            <w:tcW w:w="783" w:type="pct"/>
            <w:vMerge w:val="restart"/>
            <w:noWrap/>
            <w:vAlign w:val="center"/>
          </w:tcPr>
          <w:p>
            <w:pPr>
              <w:pStyle w:val="38"/>
            </w:pPr>
            <w:r>
              <w:rPr>
                <w:rFonts w:hint="eastAsia"/>
              </w:rPr>
              <w:t>耕种层复土</w:t>
            </w:r>
          </w:p>
        </w:tc>
        <w:tc>
          <w:tcPr>
            <w:tcW w:w="937" w:type="pct"/>
            <w:vMerge w:val="restart"/>
            <w:noWrap/>
            <w:vAlign w:val="center"/>
          </w:tcPr>
          <w:p>
            <w:pPr>
              <w:pStyle w:val="38"/>
            </w:pPr>
            <w:r>
              <w:rPr>
                <w:rFonts w:hint="eastAsia"/>
              </w:rPr>
              <w:t>基层耕作土</w:t>
            </w:r>
          </w:p>
        </w:tc>
        <w:tc>
          <w:tcPr>
            <w:tcW w:w="621" w:type="pct"/>
            <w:vMerge w:val="restart"/>
            <w:noWrap/>
            <w:vAlign w:val="center"/>
          </w:tcPr>
          <w:p>
            <w:pPr>
              <w:pStyle w:val="38"/>
            </w:pPr>
            <w:r>
              <w:rPr>
                <w:rFonts w:hint="eastAsia"/>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Merge w:val="continue"/>
            <w:vAlign w:val="center"/>
          </w:tcPr>
          <w:p>
            <w:pPr>
              <w:pStyle w:val="38"/>
            </w:pPr>
          </w:p>
        </w:tc>
        <w:tc>
          <w:tcPr>
            <w:tcW w:w="1173" w:type="pct"/>
            <w:noWrap/>
            <w:vAlign w:val="center"/>
          </w:tcPr>
          <w:p>
            <w:pPr>
              <w:pStyle w:val="38"/>
            </w:pPr>
            <w:r>
              <w:rPr>
                <w:rFonts w:hint="eastAsia"/>
              </w:rPr>
              <w:t>灵湖名著园</w:t>
            </w:r>
          </w:p>
        </w:tc>
        <w:tc>
          <w:tcPr>
            <w:tcW w:w="1017" w:type="pct"/>
            <w:vMerge w:val="continue"/>
            <w:vAlign w:val="center"/>
          </w:tcPr>
          <w:p>
            <w:pPr>
              <w:pStyle w:val="38"/>
            </w:pPr>
          </w:p>
        </w:tc>
        <w:tc>
          <w:tcPr>
            <w:tcW w:w="783" w:type="pct"/>
            <w:vMerge w:val="continue"/>
            <w:vAlign w:val="center"/>
          </w:tcPr>
          <w:p>
            <w:pPr>
              <w:pStyle w:val="38"/>
            </w:pPr>
          </w:p>
        </w:tc>
        <w:tc>
          <w:tcPr>
            <w:tcW w:w="937" w:type="pct"/>
            <w:vMerge w:val="continue"/>
            <w:vAlign w:val="center"/>
          </w:tcPr>
          <w:p>
            <w:pPr>
              <w:pStyle w:val="38"/>
            </w:pPr>
          </w:p>
        </w:tc>
        <w:tc>
          <w:tcPr>
            <w:tcW w:w="621" w:type="pct"/>
            <w:vMerge w:val="continue"/>
            <w:vAlign w:val="center"/>
          </w:tcPr>
          <w:p>
            <w:pPr>
              <w:pStyle w:val="3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470" w:type="pct"/>
            <w:vAlign w:val="center"/>
          </w:tcPr>
          <w:p>
            <w:pPr>
              <w:pStyle w:val="38"/>
            </w:pPr>
            <w:r>
              <w:rPr>
                <w:rFonts w:hint="eastAsia"/>
              </w:rPr>
              <w:t>2</w:t>
            </w:r>
          </w:p>
        </w:tc>
        <w:tc>
          <w:tcPr>
            <w:tcW w:w="1173" w:type="pct"/>
            <w:noWrap/>
            <w:vAlign w:val="center"/>
          </w:tcPr>
          <w:p>
            <w:pPr>
              <w:pStyle w:val="38"/>
            </w:pPr>
            <w:r>
              <w:rPr>
                <w:rFonts w:hint="eastAsia"/>
              </w:rPr>
              <w:t>灵湖名著园</w:t>
            </w:r>
          </w:p>
        </w:tc>
        <w:tc>
          <w:tcPr>
            <w:tcW w:w="1017" w:type="pct"/>
            <w:noWrap/>
            <w:vAlign w:val="center"/>
          </w:tcPr>
          <w:p>
            <w:pPr>
              <w:pStyle w:val="38"/>
            </w:pPr>
            <w:r>
              <w:rPr>
                <w:rFonts w:hint="eastAsia"/>
              </w:rPr>
              <w:t>临海市括苍镇箬溪村</w:t>
            </w:r>
          </w:p>
        </w:tc>
        <w:tc>
          <w:tcPr>
            <w:tcW w:w="783" w:type="pct"/>
            <w:noWrap/>
            <w:vAlign w:val="center"/>
          </w:tcPr>
          <w:p>
            <w:pPr>
              <w:pStyle w:val="38"/>
            </w:pPr>
            <w:r>
              <w:rPr>
                <w:rFonts w:hint="eastAsia"/>
              </w:rPr>
              <w:t>耕作土回填</w:t>
            </w:r>
          </w:p>
        </w:tc>
        <w:tc>
          <w:tcPr>
            <w:tcW w:w="937" w:type="pct"/>
            <w:noWrap/>
            <w:vAlign w:val="center"/>
          </w:tcPr>
          <w:p>
            <w:pPr>
              <w:pStyle w:val="38"/>
            </w:pPr>
            <w:r>
              <w:rPr>
                <w:rFonts w:hint="eastAsia"/>
              </w:rPr>
              <w:t>渣土</w:t>
            </w:r>
          </w:p>
        </w:tc>
        <w:tc>
          <w:tcPr>
            <w:tcW w:w="621" w:type="pct"/>
            <w:noWrap/>
            <w:vAlign w:val="center"/>
          </w:tcPr>
          <w:p>
            <w:pPr>
              <w:pStyle w:val="38"/>
            </w:pPr>
            <w:r>
              <w:rPr>
                <w:rFonts w:hint="eastAsia"/>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3</w:t>
            </w:r>
          </w:p>
        </w:tc>
        <w:tc>
          <w:tcPr>
            <w:tcW w:w="1173" w:type="pct"/>
            <w:noWrap/>
            <w:vAlign w:val="center"/>
          </w:tcPr>
          <w:p>
            <w:pPr>
              <w:pStyle w:val="38"/>
            </w:pPr>
            <w:r>
              <w:rPr>
                <w:rFonts w:hint="eastAsia"/>
              </w:rPr>
              <w:t>城投大厦</w:t>
            </w:r>
          </w:p>
        </w:tc>
        <w:tc>
          <w:tcPr>
            <w:tcW w:w="1017" w:type="pct"/>
            <w:noWrap/>
            <w:vAlign w:val="center"/>
          </w:tcPr>
          <w:p>
            <w:pPr>
              <w:pStyle w:val="38"/>
            </w:pPr>
            <w:r>
              <w:rPr>
                <w:rFonts w:hint="eastAsia"/>
              </w:rPr>
              <w:t>临海市括苍镇下井潭村</w:t>
            </w:r>
          </w:p>
        </w:tc>
        <w:tc>
          <w:tcPr>
            <w:tcW w:w="783" w:type="pct"/>
            <w:noWrap/>
            <w:vAlign w:val="center"/>
          </w:tcPr>
          <w:p>
            <w:pPr>
              <w:pStyle w:val="38"/>
            </w:pPr>
            <w:r>
              <w:rPr>
                <w:rFonts w:hint="eastAsia"/>
              </w:rPr>
              <w:t>低洼地改造</w:t>
            </w:r>
          </w:p>
        </w:tc>
        <w:tc>
          <w:tcPr>
            <w:tcW w:w="937" w:type="pct"/>
            <w:tcBorders>
              <w:bottom w:val="single" w:color="auto" w:sz="4" w:space="0"/>
            </w:tcBorders>
            <w:noWrap/>
            <w:vAlign w:val="center"/>
          </w:tcPr>
          <w:p>
            <w:pPr>
              <w:pStyle w:val="38"/>
            </w:pPr>
            <w:r>
              <w:rPr>
                <w:rFonts w:hint="eastAsia"/>
              </w:rPr>
              <w:t>渣土</w:t>
            </w:r>
          </w:p>
        </w:tc>
        <w:tc>
          <w:tcPr>
            <w:tcW w:w="621" w:type="pct"/>
            <w:noWrap/>
            <w:vAlign w:val="center"/>
          </w:tcPr>
          <w:p>
            <w:pPr>
              <w:pStyle w:val="38"/>
            </w:pPr>
            <w:r>
              <w:rPr>
                <w:rFonts w:hint="eastAsi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4</w:t>
            </w:r>
          </w:p>
        </w:tc>
        <w:tc>
          <w:tcPr>
            <w:tcW w:w="1173" w:type="pct"/>
            <w:noWrap/>
            <w:vAlign w:val="center"/>
          </w:tcPr>
          <w:p>
            <w:pPr>
              <w:pStyle w:val="38"/>
            </w:pPr>
            <w:r>
              <w:rPr>
                <w:rFonts w:hint="eastAsia"/>
              </w:rPr>
              <w:t>灵湖名著园</w:t>
            </w:r>
          </w:p>
        </w:tc>
        <w:tc>
          <w:tcPr>
            <w:tcW w:w="1017" w:type="pct"/>
            <w:noWrap/>
            <w:vAlign w:val="center"/>
          </w:tcPr>
          <w:p>
            <w:pPr>
              <w:pStyle w:val="38"/>
            </w:pPr>
            <w:r>
              <w:rPr>
                <w:rFonts w:hint="eastAsia"/>
              </w:rPr>
              <w:t>临海市邵家渡街道下洋底村</w:t>
            </w:r>
          </w:p>
        </w:tc>
        <w:tc>
          <w:tcPr>
            <w:tcW w:w="783" w:type="pct"/>
            <w:noWrap/>
            <w:vAlign w:val="center"/>
          </w:tcPr>
          <w:p>
            <w:pPr>
              <w:pStyle w:val="38"/>
            </w:pPr>
            <w:r>
              <w:rPr>
                <w:rFonts w:hint="eastAsia"/>
              </w:rPr>
              <w:t>低洼地改造</w:t>
            </w:r>
          </w:p>
        </w:tc>
        <w:tc>
          <w:tcPr>
            <w:tcW w:w="937" w:type="pct"/>
            <w:shd w:val="clear" w:color="auto" w:fill="auto"/>
            <w:noWrap/>
            <w:vAlign w:val="center"/>
          </w:tcPr>
          <w:p>
            <w:pPr>
              <w:pStyle w:val="38"/>
            </w:pPr>
            <w:r>
              <w:rPr>
                <w:rFonts w:hint="eastAsia"/>
              </w:rPr>
              <w:t>隔离层表土</w:t>
            </w:r>
          </w:p>
        </w:tc>
        <w:tc>
          <w:tcPr>
            <w:tcW w:w="621" w:type="pct"/>
            <w:noWrap/>
            <w:vAlign w:val="center"/>
          </w:tcPr>
          <w:p>
            <w:pPr>
              <w:pStyle w:val="38"/>
            </w:pPr>
            <w:r>
              <w:rPr>
                <w:rFonts w:hint="eastAsia"/>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5</w:t>
            </w:r>
          </w:p>
        </w:tc>
        <w:tc>
          <w:tcPr>
            <w:tcW w:w="1173" w:type="pct"/>
            <w:noWrap/>
            <w:vAlign w:val="center"/>
          </w:tcPr>
          <w:p>
            <w:pPr>
              <w:pStyle w:val="38"/>
            </w:pPr>
            <w:r>
              <w:rPr>
                <w:rFonts w:hint="eastAsia"/>
              </w:rPr>
              <w:t>灵湖名著</w:t>
            </w:r>
          </w:p>
        </w:tc>
        <w:tc>
          <w:tcPr>
            <w:tcW w:w="1017" w:type="pct"/>
            <w:noWrap/>
            <w:vAlign w:val="center"/>
          </w:tcPr>
          <w:p>
            <w:pPr>
              <w:pStyle w:val="38"/>
            </w:pPr>
            <w:r>
              <w:rPr>
                <w:rFonts w:hint="eastAsia"/>
              </w:rPr>
              <w:t>临海市汛桥镇杨梅村</w:t>
            </w:r>
          </w:p>
        </w:tc>
        <w:tc>
          <w:tcPr>
            <w:tcW w:w="783" w:type="pct"/>
            <w:noWrap/>
            <w:vAlign w:val="center"/>
          </w:tcPr>
          <w:p>
            <w:pPr>
              <w:pStyle w:val="38"/>
            </w:pPr>
            <w:r>
              <w:rPr>
                <w:rFonts w:hint="eastAsia"/>
              </w:rPr>
              <w:t>其他</w:t>
            </w:r>
          </w:p>
        </w:tc>
        <w:tc>
          <w:tcPr>
            <w:tcW w:w="937" w:type="pct"/>
            <w:noWrap/>
            <w:vAlign w:val="center"/>
          </w:tcPr>
          <w:p>
            <w:pPr>
              <w:pStyle w:val="38"/>
            </w:pPr>
            <w:r>
              <w:rPr>
                <w:rFonts w:hint="eastAsia"/>
              </w:rPr>
              <w:t>种植土</w:t>
            </w:r>
          </w:p>
        </w:tc>
        <w:tc>
          <w:tcPr>
            <w:tcW w:w="621" w:type="pct"/>
            <w:noWrap/>
            <w:vAlign w:val="center"/>
          </w:tcPr>
          <w:p>
            <w:pPr>
              <w:pStyle w:val="38"/>
            </w:pPr>
            <w:r>
              <w:rPr>
                <w:rFonts w:hint="eastAsi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6</w:t>
            </w:r>
          </w:p>
        </w:tc>
        <w:tc>
          <w:tcPr>
            <w:tcW w:w="1173" w:type="pct"/>
            <w:noWrap/>
            <w:vAlign w:val="center"/>
          </w:tcPr>
          <w:p>
            <w:pPr>
              <w:pStyle w:val="38"/>
            </w:pPr>
            <w:r>
              <w:rPr>
                <w:rFonts w:hint="eastAsia"/>
              </w:rPr>
              <w:t>总部商务区城投大厦</w:t>
            </w:r>
          </w:p>
        </w:tc>
        <w:tc>
          <w:tcPr>
            <w:tcW w:w="1017" w:type="pct"/>
            <w:noWrap/>
            <w:vAlign w:val="center"/>
          </w:tcPr>
          <w:p>
            <w:pPr>
              <w:pStyle w:val="38"/>
            </w:pPr>
            <w:r>
              <w:rPr>
                <w:rFonts w:hint="eastAsia"/>
              </w:rPr>
              <w:t>临海市括苍镇小岭村</w:t>
            </w:r>
          </w:p>
        </w:tc>
        <w:tc>
          <w:tcPr>
            <w:tcW w:w="783" w:type="pct"/>
            <w:noWrap/>
            <w:vAlign w:val="center"/>
          </w:tcPr>
          <w:p>
            <w:pPr>
              <w:pStyle w:val="38"/>
            </w:pPr>
            <w:r>
              <w:rPr>
                <w:rFonts w:hint="eastAsia"/>
              </w:rPr>
              <w:t>复耕</w:t>
            </w:r>
          </w:p>
        </w:tc>
        <w:tc>
          <w:tcPr>
            <w:tcW w:w="937" w:type="pct"/>
            <w:noWrap/>
            <w:vAlign w:val="center"/>
          </w:tcPr>
          <w:p>
            <w:pPr>
              <w:pStyle w:val="38"/>
            </w:pPr>
            <w:r>
              <w:rPr>
                <w:rFonts w:hint="eastAsia"/>
              </w:rPr>
              <w:t>耕作土</w:t>
            </w:r>
          </w:p>
        </w:tc>
        <w:tc>
          <w:tcPr>
            <w:tcW w:w="621" w:type="pct"/>
            <w:noWrap/>
            <w:vAlign w:val="center"/>
          </w:tcPr>
          <w:p>
            <w:pPr>
              <w:pStyle w:val="38"/>
            </w:pPr>
            <w:r>
              <w:rPr>
                <w:rFonts w:hint="eastAsi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7</w:t>
            </w:r>
          </w:p>
        </w:tc>
        <w:tc>
          <w:tcPr>
            <w:tcW w:w="1173" w:type="pct"/>
            <w:noWrap/>
            <w:vAlign w:val="center"/>
          </w:tcPr>
          <w:p>
            <w:pPr>
              <w:pStyle w:val="38"/>
            </w:pPr>
            <w:r>
              <w:rPr>
                <w:rFonts w:hint="eastAsia"/>
              </w:rPr>
              <w:t>德信观澜府项目部</w:t>
            </w:r>
          </w:p>
        </w:tc>
        <w:tc>
          <w:tcPr>
            <w:tcW w:w="1017" w:type="pct"/>
            <w:noWrap/>
            <w:vAlign w:val="center"/>
          </w:tcPr>
          <w:p>
            <w:pPr>
              <w:pStyle w:val="38"/>
            </w:pPr>
            <w:r>
              <w:rPr>
                <w:rFonts w:hint="eastAsia"/>
              </w:rPr>
              <w:t>临海市洞港青年农场</w:t>
            </w:r>
          </w:p>
        </w:tc>
        <w:tc>
          <w:tcPr>
            <w:tcW w:w="783" w:type="pct"/>
            <w:noWrap/>
            <w:vAlign w:val="center"/>
          </w:tcPr>
          <w:p>
            <w:pPr>
              <w:pStyle w:val="38"/>
            </w:pPr>
            <w:r>
              <w:rPr>
                <w:rFonts w:hint="eastAsia"/>
              </w:rPr>
              <w:t>养殖塘修理</w:t>
            </w:r>
          </w:p>
        </w:tc>
        <w:tc>
          <w:tcPr>
            <w:tcW w:w="937" w:type="pct"/>
            <w:noWrap/>
            <w:vAlign w:val="center"/>
          </w:tcPr>
          <w:p>
            <w:pPr>
              <w:pStyle w:val="38"/>
            </w:pPr>
            <w:r>
              <w:rPr>
                <w:rFonts w:hint="eastAsia"/>
              </w:rPr>
              <w:t>泥土</w:t>
            </w:r>
          </w:p>
        </w:tc>
        <w:tc>
          <w:tcPr>
            <w:tcW w:w="621" w:type="pct"/>
            <w:noWrap/>
            <w:vAlign w:val="center"/>
          </w:tcPr>
          <w:p>
            <w:pPr>
              <w:pStyle w:val="38"/>
            </w:pPr>
            <w:r>
              <w:rPr>
                <w:rFonts w:hint="eastAsi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8</w:t>
            </w:r>
          </w:p>
        </w:tc>
        <w:tc>
          <w:tcPr>
            <w:tcW w:w="1173" w:type="pct"/>
            <w:noWrap/>
            <w:vAlign w:val="center"/>
          </w:tcPr>
          <w:p>
            <w:pPr>
              <w:pStyle w:val="38"/>
            </w:pPr>
            <w:r>
              <w:rPr>
                <w:rFonts w:hint="eastAsia"/>
              </w:rPr>
              <w:t>伟星星都府</w:t>
            </w:r>
          </w:p>
        </w:tc>
        <w:tc>
          <w:tcPr>
            <w:tcW w:w="1017" w:type="pct"/>
            <w:noWrap/>
            <w:vAlign w:val="center"/>
          </w:tcPr>
          <w:p>
            <w:pPr>
              <w:pStyle w:val="38"/>
            </w:pPr>
            <w:r>
              <w:rPr>
                <w:rFonts w:hint="eastAsia"/>
              </w:rPr>
              <w:t>大田大岙岩仓复绿工程</w:t>
            </w:r>
          </w:p>
        </w:tc>
        <w:tc>
          <w:tcPr>
            <w:tcW w:w="783" w:type="pct"/>
            <w:noWrap/>
            <w:vAlign w:val="center"/>
          </w:tcPr>
          <w:p>
            <w:pPr>
              <w:pStyle w:val="38"/>
            </w:pPr>
            <w:r>
              <w:rPr>
                <w:rFonts w:hint="eastAsia"/>
              </w:rPr>
              <w:t>绿化用土</w:t>
            </w:r>
          </w:p>
        </w:tc>
        <w:tc>
          <w:tcPr>
            <w:tcW w:w="937" w:type="pct"/>
            <w:noWrap/>
            <w:vAlign w:val="center"/>
          </w:tcPr>
          <w:p>
            <w:pPr>
              <w:pStyle w:val="38"/>
            </w:pPr>
            <w:r>
              <w:rPr>
                <w:rFonts w:hint="eastAsia"/>
              </w:rPr>
              <w:t>种植土</w:t>
            </w:r>
          </w:p>
        </w:tc>
        <w:tc>
          <w:tcPr>
            <w:tcW w:w="621" w:type="pct"/>
            <w:noWrap/>
            <w:vAlign w:val="center"/>
          </w:tcPr>
          <w:p>
            <w:pPr>
              <w:pStyle w:val="38"/>
            </w:pPr>
            <w:r>
              <w:rPr>
                <w:rFonts w:hint="eastAsia"/>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9</w:t>
            </w:r>
          </w:p>
        </w:tc>
        <w:tc>
          <w:tcPr>
            <w:tcW w:w="1173" w:type="pct"/>
            <w:noWrap/>
            <w:vAlign w:val="center"/>
          </w:tcPr>
          <w:p>
            <w:pPr>
              <w:pStyle w:val="38"/>
            </w:pPr>
            <w:r>
              <w:rPr>
                <w:rFonts w:hint="eastAsia"/>
              </w:rPr>
              <w:t>伟星星都府</w:t>
            </w:r>
          </w:p>
        </w:tc>
        <w:tc>
          <w:tcPr>
            <w:tcW w:w="1017" w:type="pct"/>
            <w:noWrap/>
            <w:vAlign w:val="center"/>
          </w:tcPr>
          <w:p>
            <w:pPr>
              <w:pStyle w:val="38"/>
            </w:pPr>
            <w:r>
              <w:rPr>
                <w:rFonts w:hint="eastAsia"/>
              </w:rPr>
              <w:t>杜桥镇福岙村土地复垦项目</w:t>
            </w:r>
          </w:p>
        </w:tc>
        <w:tc>
          <w:tcPr>
            <w:tcW w:w="783" w:type="pct"/>
            <w:noWrap/>
            <w:vAlign w:val="center"/>
          </w:tcPr>
          <w:p>
            <w:pPr>
              <w:pStyle w:val="38"/>
            </w:pPr>
            <w:r>
              <w:rPr>
                <w:rFonts w:hint="eastAsia"/>
              </w:rPr>
              <w:t>低洼地改造</w:t>
            </w:r>
          </w:p>
        </w:tc>
        <w:tc>
          <w:tcPr>
            <w:tcW w:w="937" w:type="pct"/>
            <w:noWrap/>
            <w:vAlign w:val="center"/>
          </w:tcPr>
          <w:p>
            <w:pPr>
              <w:pStyle w:val="38"/>
            </w:pPr>
            <w:r>
              <w:rPr>
                <w:rFonts w:hint="eastAsia"/>
              </w:rPr>
              <w:t>渣土</w:t>
            </w:r>
          </w:p>
        </w:tc>
        <w:tc>
          <w:tcPr>
            <w:tcW w:w="621" w:type="pct"/>
            <w:noWrap/>
            <w:vAlign w:val="center"/>
          </w:tcPr>
          <w:p>
            <w:pPr>
              <w:pStyle w:val="38"/>
            </w:pPr>
            <w:r>
              <w:rPr>
                <w:rFonts w:hint="eastAsia"/>
              </w:rPr>
              <w:t>19519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1</w:t>
            </w:r>
            <w:r>
              <w:t>0</w:t>
            </w:r>
          </w:p>
        </w:tc>
        <w:tc>
          <w:tcPr>
            <w:tcW w:w="1173" w:type="pct"/>
            <w:noWrap/>
            <w:vAlign w:val="center"/>
          </w:tcPr>
          <w:p>
            <w:pPr>
              <w:pStyle w:val="38"/>
            </w:pPr>
            <w:r>
              <w:rPr>
                <w:rFonts w:hint="eastAsia"/>
              </w:rPr>
              <w:t>伟星星都府</w:t>
            </w:r>
          </w:p>
        </w:tc>
        <w:tc>
          <w:tcPr>
            <w:tcW w:w="1017" w:type="pct"/>
            <w:noWrap/>
            <w:vAlign w:val="center"/>
          </w:tcPr>
          <w:p>
            <w:pPr>
              <w:pStyle w:val="38"/>
            </w:pPr>
            <w:r>
              <w:rPr>
                <w:rFonts w:hint="eastAsia"/>
              </w:rPr>
              <w:t>头门港金沙湾区块疏港大道北侧生态绿廊工程Ⅰ标段</w:t>
            </w:r>
          </w:p>
        </w:tc>
        <w:tc>
          <w:tcPr>
            <w:tcW w:w="783" w:type="pct"/>
            <w:noWrap/>
            <w:vAlign w:val="center"/>
          </w:tcPr>
          <w:p>
            <w:pPr>
              <w:pStyle w:val="38"/>
            </w:pPr>
            <w:r>
              <w:rPr>
                <w:rFonts w:hint="eastAsia"/>
              </w:rPr>
              <w:t>绿化用土</w:t>
            </w:r>
          </w:p>
        </w:tc>
        <w:tc>
          <w:tcPr>
            <w:tcW w:w="937" w:type="pct"/>
            <w:noWrap/>
            <w:vAlign w:val="center"/>
          </w:tcPr>
          <w:p>
            <w:pPr>
              <w:pStyle w:val="38"/>
            </w:pPr>
            <w:r>
              <w:rPr>
                <w:rFonts w:hint="eastAsia"/>
              </w:rPr>
              <w:t>种植土</w:t>
            </w:r>
          </w:p>
        </w:tc>
        <w:tc>
          <w:tcPr>
            <w:tcW w:w="621" w:type="pct"/>
            <w:noWrap/>
            <w:vAlign w:val="center"/>
          </w:tcPr>
          <w:p>
            <w:pPr>
              <w:pStyle w:val="38"/>
            </w:pPr>
            <w:r>
              <w:rPr>
                <w:rFonts w:hint="eastAsia"/>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1</w:t>
            </w:r>
            <w:r>
              <w:t>1</w:t>
            </w:r>
          </w:p>
        </w:tc>
        <w:tc>
          <w:tcPr>
            <w:tcW w:w="1173" w:type="pct"/>
            <w:noWrap/>
            <w:vAlign w:val="center"/>
          </w:tcPr>
          <w:p>
            <w:pPr>
              <w:pStyle w:val="38"/>
            </w:pPr>
            <w:r>
              <w:rPr>
                <w:rFonts w:hint="eastAsia"/>
              </w:rPr>
              <w:t>伟星星都府</w:t>
            </w:r>
          </w:p>
        </w:tc>
        <w:tc>
          <w:tcPr>
            <w:tcW w:w="1017" w:type="pct"/>
            <w:noWrap/>
            <w:vAlign w:val="center"/>
          </w:tcPr>
          <w:p>
            <w:pPr>
              <w:pStyle w:val="38"/>
            </w:pPr>
            <w:r>
              <w:rPr>
                <w:rFonts w:hint="eastAsia"/>
              </w:rPr>
              <w:t>头门港金沙湾区块疏港大道北侧生态绿廊工程Ⅱ标段</w:t>
            </w:r>
          </w:p>
        </w:tc>
        <w:tc>
          <w:tcPr>
            <w:tcW w:w="783" w:type="pct"/>
            <w:noWrap/>
            <w:vAlign w:val="center"/>
          </w:tcPr>
          <w:p>
            <w:pPr>
              <w:pStyle w:val="38"/>
            </w:pPr>
            <w:r>
              <w:rPr>
                <w:rFonts w:hint="eastAsia"/>
              </w:rPr>
              <w:t>绿化用土</w:t>
            </w:r>
          </w:p>
        </w:tc>
        <w:tc>
          <w:tcPr>
            <w:tcW w:w="937" w:type="pct"/>
            <w:noWrap/>
            <w:vAlign w:val="center"/>
          </w:tcPr>
          <w:p>
            <w:pPr>
              <w:pStyle w:val="38"/>
            </w:pPr>
            <w:r>
              <w:rPr>
                <w:rFonts w:hint="eastAsia"/>
              </w:rPr>
              <w:t>种植土</w:t>
            </w:r>
          </w:p>
        </w:tc>
        <w:tc>
          <w:tcPr>
            <w:tcW w:w="621" w:type="pct"/>
            <w:noWrap/>
            <w:vAlign w:val="center"/>
          </w:tcPr>
          <w:p>
            <w:pPr>
              <w:pStyle w:val="38"/>
            </w:pPr>
            <w:r>
              <w:rPr>
                <w:rFonts w:hint="eastAsia"/>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1</w:t>
            </w:r>
            <w:r>
              <w:t>2</w:t>
            </w:r>
          </w:p>
        </w:tc>
        <w:tc>
          <w:tcPr>
            <w:tcW w:w="1173" w:type="pct"/>
            <w:noWrap/>
            <w:vAlign w:val="center"/>
          </w:tcPr>
          <w:p>
            <w:pPr>
              <w:pStyle w:val="38"/>
            </w:pPr>
            <w:r>
              <w:rPr>
                <w:rFonts w:hint="eastAsia"/>
              </w:rPr>
              <w:t>伟星星都府</w:t>
            </w:r>
          </w:p>
        </w:tc>
        <w:tc>
          <w:tcPr>
            <w:tcW w:w="1017" w:type="pct"/>
            <w:noWrap/>
            <w:vAlign w:val="center"/>
          </w:tcPr>
          <w:p>
            <w:pPr>
              <w:pStyle w:val="38"/>
            </w:pPr>
            <w:r>
              <w:rPr>
                <w:rFonts w:hint="eastAsia"/>
              </w:rPr>
              <w:t>涌泉镇管岙村</w:t>
            </w:r>
          </w:p>
        </w:tc>
        <w:tc>
          <w:tcPr>
            <w:tcW w:w="783" w:type="pct"/>
            <w:noWrap/>
            <w:vAlign w:val="center"/>
          </w:tcPr>
          <w:p>
            <w:pPr>
              <w:pStyle w:val="38"/>
            </w:pPr>
            <w:r>
              <w:rPr>
                <w:rFonts w:hint="eastAsia"/>
              </w:rPr>
              <w:t>低洼地改造</w:t>
            </w:r>
          </w:p>
        </w:tc>
        <w:tc>
          <w:tcPr>
            <w:tcW w:w="937" w:type="pct"/>
            <w:noWrap/>
            <w:vAlign w:val="center"/>
          </w:tcPr>
          <w:p>
            <w:pPr>
              <w:pStyle w:val="38"/>
            </w:pPr>
            <w:r>
              <w:rPr>
                <w:rFonts w:hint="eastAsia"/>
              </w:rPr>
              <w:t>渣土</w:t>
            </w:r>
          </w:p>
        </w:tc>
        <w:tc>
          <w:tcPr>
            <w:tcW w:w="621" w:type="pct"/>
            <w:noWrap/>
            <w:vAlign w:val="center"/>
          </w:tcPr>
          <w:p>
            <w:pPr>
              <w:pStyle w:val="38"/>
            </w:pPr>
            <w:r>
              <w:rPr>
                <w:rFonts w:hint="eastAsia"/>
              </w:rPr>
              <w:t>21600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1</w:t>
            </w:r>
            <w:r>
              <w:t>3</w:t>
            </w:r>
          </w:p>
        </w:tc>
        <w:tc>
          <w:tcPr>
            <w:tcW w:w="1173" w:type="pct"/>
            <w:noWrap/>
            <w:vAlign w:val="center"/>
          </w:tcPr>
          <w:p>
            <w:pPr>
              <w:pStyle w:val="38"/>
            </w:pPr>
            <w:r>
              <w:rPr>
                <w:rFonts w:hint="eastAsia"/>
              </w:rPr>
              <w:t>耀达·喜汇苑</w:t>
            </w:r>
          </w:p>
        </w:tc>
        <w:tc>
          <w:tcPr>
            <w:tcW w:w="1017" w:type="pct"/>
            <w:noWrap/>
            <w:vAlign w:val="center"/>
          </w:tcPr>
          <w:p>
            <w:pPr>
              <w:pStyle w:val="38"/>
            </w:pPr>
            <w:r>
              <w:rPr>
                <w:rFonts w:hint="eastAsia"/>
              </w:rPr>
              <w:t>白水洋镇祥里村旱改水项目</w:t>
            </w:r>
          </w:p>
        </w:tc>
        <w:tc>
          <w:tcPr>
            <w:tcW w:w="783" w:type="pct"/>
            <w:noWrap/>
            <w:vAlign w:val="center"/>
          </w:tcPr>
          <w:p>
            <w:pPr>
              <w:pStyle w:val="38"/>
            </w:pPr>
            <w:r>
              <w:rPr>
                <w:rFonts w:hint="eastAsia"/>
              </w:rPr>
              <w:t>回填</w:t>
            </w:r>
          </w:p>
        </w:tc>
        <w:tc>
          <w:tcPr>
            <w:tcW w:w="937" w:type="pct"/>
            <w:noWrap/>
            <w:vAlign w:val="center"/>
          </w:tcPr>
          <w:p>
            <w:pPr>
              <w:pStyle w:val="38"/>
            </w:pPr>
            <w:r>
              <w:rPr>
                <w:rFonts w:hint="eastAsia"/>
              </w:rPr>
              <w:t>渣土</w:t>
            </w:r>
          </w:p>
        </w:tc>
        <w:tc>
          <w:tcPr>
            <w:tcW w:w="621" w:type="pct"/>
            <w:noWrap/>
            <w:vAlign w:val="center"/>
          </w:tcPr>
          <w:p>
            <w:pPr>
              <w:pStyle w:val="38"/>
            </w:pPr>
            <w:r>
              <w:rPr>
                <w:rFonts w:hint="eastAsi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1</w:t>
            </w:r>
            <w:r>
              <w:t>4</w:t>
            </w:r>
          </w:p>
        </w:tc>
        <w:tc>
          <w:tcPr>
            <w:tcW w:w="1173" w:type="pct"/>
            <w:noWrap/>
            <w:vAlign w:val="center"/>
          </w:tcPr>
          <w:p>
            <w:pPr>
              <w:pStyle w:val="38"/>
            </w:pPr>
            <w:r>
              <w:rPr>
                <w:rFonts w:hint="eastAsia"/>
              </w:rPr>
              <w:t>椒江治理工程（临海段）</w:t>
            </w:r>
          </w:p>
        </w:tc>
        <w:tc>
          <w:tcPr>
            <w:tcW w:w="1017" w:type="pct"/>
            <w:noWrap/>
            <w:vAlign w:val="center"/>
          </w:tcPr>
          <w:p>
            <w:pPr>
              <w:pStyle w:val="38"/>
            </w:pPr>
            <w:r>
              <w:rPr>
                <w:rFonts w:hint="eastAsia"/>
              </w:rPr>
              <w:t>桃渚镇上蒋村台州市君梦建筑工程有限公司</w:t>
            </w:r>
          </w:p>
        </w:tc>
        <w:tc>
          <w:tcPr>
            <w:tcW w:w="783" w:type="pct"/>
            <w:noWrap/>
            <w:vAlign w:val="center"/>
          </w:tcPr>
          <w:p>
            <w:pPr>
              <w:pStyle w:val="38"/>
            </w:pPr>
            <w:r>
              <w:rPr>
                <w:rFonts w:hint="eastAsia"/>
              </w:rPr>
              <w:t>回填</w:t>
            </w:r>
          </w:p>
        </w:tc>
        <w:tc>
          <w:tcPr>
            <w:tcW w:w="937" w:type="pct"/>
            <w:noWrap/>
            <w:vAlign w:val="center"/>
          </w:tcPr>
          <w:p>
            <w:pPr>
              <w:pStyle w:val="38"/>
            </w:pPr>
            <w:r>
              <w:rPr>
                <w:rFonts w:hint="eastAsia"/>
              </w:rPr>
              <w:t>渣土</w:t>
            </w:r>
          </w:p>
        </w:tc>
        <w:tc>
          <w:tcPr>
            <w:tcW w:w="621" w:type="pct"/>
            <w:noWrap/>
            <w:vAlign w:val="center"/>
          </w:tcPr>
          <w:p>
            <w:pPr>
              <w:pStyle w:val="38"/>
            </w:pPr>
            <w:r>
              <w:rPr>
                <w:rFonts w:hint="eastAsia"/>
              </w:rPr>
              <w:t>12321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1</w:t>
            </w:r>
            <w:r>
              <w:t>5</w:t>
            </w:r>
          </w:p>
        </w:tc>
        <w:tc>
          <w:tcPr>
            <w:tcW w:w="1173" w:type="pct"/>
            <w:noWrap/>
            <w:vAlign w:val="center"/>
          </w:tcPr>
          <w:p>
            <w:pPr>
              <w:pStyle w:val="38"/>
            </w:pPr>
            <w:r>
              <w:rPr>
                <w:rFonts w:hint="eastAsia"/>
              </w:rPr>
              <w:t>伟星星都府</w:t>
            </w:r>
          </w:p>
        </w:tc>
        <w:tc>
          <w:tcPr>
            <w:tcW w:w="1017" w:type="pct"/>
            <w:noWrap/>
            <w:vAlign w:val="center"/>
          </w:tcPr>
          <w:p>
            <w:pPr>
              <w:pStyle w:val="38"/>
            </w:pPr>
            <w:r>
              <w:rPr>
                <w:rFonts w:hint="eastAsia"/>
              </w:rPr>
              <w:t>临海市汛桥镇汛桥村建设用地复垦项目</w:t>
            </w:r>
          </w:p>
        </w:tc>
        <w:tc>
          <w:tcPr>
            <w:tcW w:w="783" w:type="pct"/>
            <w:noWrap/>
            <w:vAlign w:val="center"/>
          </w:tcPr>
          <w:p>
            <w:pPr>
              <w:pStyle w:val="38"/>
            </w:pPr>
            <w:r>
              <w:rPr>
                <w:rFonts w:hint="eastAsia"/>
              </w:rPr>
              <w:t>回填、低洼地改造</w:t>
            </w:r>
          </w:p>
        </w:tc>
        <w:tc>
          <w:tcPr>
            <w:tcW w:w="937" w:type="pct"/>
            <w:noWrap/>
            <w:vAlign w:val="center"/>
          </w:tcPr>
          <w:p>
            <w:pPr>
              <w:pStyle w:val="38"/>
            </w:pPr>
            <w:r>
              <w:rPr>
                <w:rFonts w:hint="eastAsia"/>
              </w:rPr>
              <w:t>复耕土、填筑土</w:t>
            </w:r>
          </w:p>
        </w:tc>
        <w:tc>
          <w:tcPr>
            <w:tcW w:w="621" w:type="pct"/>
            <w:noWrap/>
            <w:vAlign w:val="center"/>
          </w:tcPr>
          <w:p>
            <w:pPr>
              <w:pStyle w:val="38"/>
            </w:pPr>
            <w:r>
              <w:rPr>
                <w:rFonts w:hint="eastAsia"/>
              </w:rPr>
              <w:t>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1</w:t>
            </w:r>
            <w:r>
              <w:t>6</w:t>
            </w:r>
          </w:p>
        </w:tc>
        <w:tc>
          <w:tcPr>
            <w:tcW w:w="1173" w:type="pct"/>
            <w:noWrap/>
            <w:vAlign w:val="center"/>
          </w:tcPr>
          <w:p>
            <w:pPr>
              <w:pStyle w:val="38"/>
            </w:pPr>
            <w:r>
              <w:rPr>
                <w:rFonts w:hint="eastAsia"/>
              </w:rPr>
              <w:t>伟星盛东府</w:t>
            </w:r>
          </w:p>
        </w:tc>
        <w:tc>
          <w:tcPr>
            <w:tcW w:w="1017" w:type="pct"/>
            <w:noWrap/>
            <w:vAlign w:val="center"/>
          </w:tcPr>
          <w:p>
            <w:pPr>
              <w:pStyle w:val="38"/>
            </w:pPr>
            <w:r>
              <w:rPr>
                <w:rFonts w:hint="eastAsia"/>
              </w:rPr>
              <w:t>临海市汛桥镇利民村建设用地复垦项目</w:t>
            </w:r>
          </w:p>
        </w:tc>
        <w:tc>
          <w:tcPr>
            <w:tcW w:w="783" w:type="pct"/>
            <w:noWrap/>
            <w:vAlign w:val="center"/>
          </w:tcPr>
          <w:p>
            <w:pPr>
              <w:pStyle w:val="38"/>
            </w:pPr>
            <w:r>
              <w:rPr>
                <w:rFonts w:hint="eastAsia"/>
              </w:rPr>
              <w:t>回填、低洼地改造</w:t>
            </w:r>
          </w:p>
        </w:tc>
        <w:tc>
          <w:tcPr>
            <w:tcW w:w="937" w:type="pct"/>
            <w:noWrap/>
            <w:vAlign w:val="center"/>
          </w:tcPr>
          <w:p>
            <w:pPr>
              <w:pStyle w:val="38"/>
            </w:pPr>
            <w:r>
              <w:rPr>
                <w:rFonts w:hint="eastAsia"/>
              </w:rPr>
              <w:t>复耕土、填筑土</w:t>
            </w:r>
          </w:p>
        </w:tc>
        <w:tc>
          <w:tcPr>
            <w:tcW w:w="621" w:type="pct"/>
            <w:noWrap/>
            <w:vAlign w:val="center"/>
          </w:tcPr>
          <w:p>
            <w:pPr>
              <w:pStyle w:val="38"/>
            </w:pPr>
            <w:r>
              <w:rPr>
                <w:rFonts w:hint="eastAsia"/>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1</w:t>
            </w:r>
            <w:r>
              <w:t>7</w:t>
            </w:r>
          </w:p>
        </w:tc>
        <w:tc>
          <w:tcPr>
            <w:tcW w:w="1173" w:type="pct"/>
            <w:noWrap/>
            <w:vAlign w:val="center"/>
          </w:tcPr>
          <w:p>
            <w:pPr>
              <w:pStyle w:val="38"/>
            </w:pPr>
            <w:r>
              <w:rPr>
                <w:rFonts w:hint="eastAsia"/>
              </w:rPr>
              <w:t>中玺置业香江钰府</w:t>
            </w:r>
          </w:p>
        </w:tc>
        <w:tc>
          <w:tcPr>
            <w:tcW w:w="1017" w:type="pct"/>
            <w:noWrap/>
            <w:vAlign w:val="center"/>
          </w:tcPr>
          <w:p>
            <w:pPr>
              <w:pStyle w:val="38"/>
            </w:pPr>
            <w:r>
              <w:rPr>
                <w:rFonts w:hint="eastAsia"/>
              </w:rPr>
              <w:t>临海市涌泉镇东岙村</w:t>
            </w:r>
          </w:p>
        </w:tc>
        <w:tc>
          <w:tcPr>
            <w:tcW w:w="783" w:type="pct"/>
            <w:noWrap/>
            <w:vAlign w:val="center"/>
          </w:tcPr>
          <w:p>
            <w:pPr>
              <w:pStyle w:val="38"/>
            </w:pPr>
            <w:r>
              <w:rPr>
                <w:rFonts w:hint="eastAsia"/>
              </w:rPr>
              <w:t>绿化</w:t>
            </w:r>
          </w:p>
        </w:tc>
        <w:tc>
          <w:tcPr>
            <w:tcW w:w="937" w:type="pct"/>
            <w:noWrap/>
            <w:vAlign w:val="center"/>
          </w:tcPr>
          <w:p>
            <w:pPr>
              <w:pStyle w:val="38"/>
            </w:pPr>
            <w:r>
              <w:rPr>
                <w:rFonts w:hint="eastAsia"/>
              </w:rPr>
              <w:t>绿化用土</w:t>
            </w:r>
          </w:p>
        </w:tc>
        <w:tc>
          <w:tcPr>
            <w:tcW w:w="621" w:type="pct"/>
            <w:noWrap/>
            <w:vAlign w:val="center"/>
          </w:tcPr>
          <w:p>
            <w:pPr>
              <w:pStyle w:val="38"/>
            </w:pPr>
            <w:r>
              <w:rPr>
                <w:rFonts w:hint="eastAsia"/>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0" w:type="pct"/>
            <w:vAlign w:val="center"/>
          </w:tcPr>
          <w:p>
            <w:pPr>
              <w:pStyle w:val="38"/>
            </w:pPr>
            <w:r>
              <w:rPr>
                <w:rFonts w:hint="eastAsia"/>
              </w:rPr>
              <w:t>1</w:t>
            </w:r>
            <w:r>
              <w:t>8</w:t>
            </w:r>
          </w:p>
        </w:tc>
        <w:tc>
          <w:tcPr>
            <w:tcW w:w="1173" w:type="pct"/>
            <w:noWrap/>
            <w:vAlign w:val="center"/>
          </w:tcPr>
          <w:p>
            <w:pPr>
              <w:pStyle w:val="38"/>
            </w:pPr>
            <w:r>
              <w:rPr>
                <w:rFonts w:hint="eastAsia"/>
              </w:rPr>
              <w:t>临海市第二人民医院</w:t>
            </w:r>
          </w:p>
        </w:tc>
        <w:tc>
          <w:tcPr>
            <w:tcW w:w="1017" w:type="pct"/>
            <w:noWrap/>
            <w:vAlign w:val="center"/>
          </w:tcPr>
          <w:p>
            <w:pPr>
              <w:pStyle w:val="38"/>
            </w:pPr>
            <w:r>
              <w:rPr>
                <w:rFonts w:hint="eastAsia"/>
              </w:rPr>
              <w:t>杜桥镇溪头村土地整治项目</w:t>
            </w:r>
          </w:p>
        </w:tc>
        <w:tc>
          <w:tcPr>
            <w:tcW w:w="783" w:type="pct"/>
            <w:noWrap/>
            <w:vAlign w:val="center"/>
          </w:tcPr>
          <w:p>
            <w:pPr>
              <w:pStyle w:val="38"/>
            </w:pPr>
            <w:r>
              <w:rPr>
                <w:rFonts w:hint="eastAsia"/>
              </w:rPr>
              <w:t>填土</w:t>
            </w:r>
          </w:p>
        </w:tc>
        <w:tc>
          <w:tcPr>
            <w:tcW w:w="937" w:type="pct"/>
            <w:noWrap/>
            <w:vAlign w:val="center"/>
          </w:tcPr>
          <w:p>
            <w:pPr>
              <w:pStyle w:val="38"/>
            </w:pPr>
            <w:r>
              <w:rPr>
                <w:rFonts w:hint="eastAsia"/>
              </w:rPr>
              <w:t>还耕用土</w:t>
            </w:r>
          </w:p>
        </w:tc>
        <w:tc>
          <w:tcPr>
            <w:tcW w:w="621" w:type="pct"/>
            <w:noWrap/>
            <w:vAlign w:val="center"/>
          </w:tcPr>
          <w:p>
            <w:pPr>
              <w:pStyle w:val="38"/>
            </w:pPr>
            <w:r>
              <w:rPr>
                <w:rFonts w:hint="eastAsia"/>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70" w:type="pct"/>
            <w:vAlign w:val="center"/>
          </w:tcPr>
          <w:p>
            <w:pPr>
              <w:pStyle w:val="38"/>
            </w:pPr>
            <w:r>
              <w:rPr>
                <w:rFonts w:hint="eastAsia"/>
              </w:rPr>
              <w:t>1</w:t>
            </w:r>
            <w:r>
              <w:t>9</w:t>
            </w:r>
          </w:p>
        </w:tc>
        <w:tc>
          <w:tcPr>
            <w:tcW w:w="1173" w:type="pct"/>
            <w:noWrap/>
            <w:vAlign w:val="center"/>
          </w:tcPr>
          <w:p>
            <w:pPr>
              <w:pStyle w:val="38"/>
            </w:pPr>
            <w:r>
              <w:rPr>
                <w:rFonts w:hint="eastAsia"/>
              </w:rPr>
              <w:t>伟星盛东府</w:t>
            </w:r>
          </w:p>
        </w:tc>
        <w:tc>
          <w:tcPr>
            <w:tcW w:w="1017" w:type="pct"/>
            <w:noWrap/>
            <w:vAlign w:val="center"/>
          </w:tcPr>
          <w:p>
            <w:pPr>
              <w:pStyle w:val="38"/>
            </w:pPr>
            <w:r>
              <w:rPr>
                <w:rFonts w:hint="eastAsia"/>
              </w:rPr>
              <w:t>中煤浙江生态环境发展有限公司</w:t>
            </w:r>
          </w:p>
        </w:tc>
        <w:tc>
          <w:tcPr>
            <w:tcW w:w="783" w:type="pct"/>
            <w:noWrap/>
            <w:vAlign w:val="center"/>
          </w:tcPr>
          <w:p>
            <w:pPr>
              <w:pStyle w:val="38"/>
            </w:pPr>
            <w:r>
              <w:rPr>
                <w:rFonts w:hint="eastAsia"/>
              </w:rPr>
              <w:t>绿化</w:t>
            </w:r>
          </w:p>
        </w:tc>
        <w:tc>
          <w:tcPr>
            <w:tcW w:w="937" w:type="pct"/>
            <w:noWrap/>
            <w:vAlign w:val="center"/>
          </w:tcPr>
          <w:p>
            <w:pPr>
              <w:pStyle w:val="38"/>
            </w:pPr>
            <w:r>
              <w:rPr>
                <w:rFonts w:hint="eastAsia"/>
              </w:rPr>
              <w:t>泥土</w:t>
            </w:r>
          </w:p>
        </w:tc>
        <w:tc>
          <w:tcPr>
            <w:tcW w:w="621" w:type="pct"/>
            <w:noWrap/>
            <w:vAlign w:val="center"/>
          </w:tcPr>
          <w:p>
            <w:pPr>
              <w:pStyle w:val="38"/>
            </w:pPr>
            <w:r>
              <w:rPr>
                <w:rFonts w:hint="eastAsia"/>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470" w:type="pct"/>
            <w:vAlign w:val="center"/>
          </w:tcPr>
          <w:p>
            <w:pPr>
              <w:pStyle w:val="38"/>
            </w:pPr>
            <w:r>
              <w:rPr>
                <w:rFonts w:hint="eastAsia"/>
              </w:rPr>
              <w:t>2</w:t>
            </w:r>
            <w:r>
              <w:t>0</w:t>
            </w:r>
          </w:p>
        </w:tc>
        <w:tc>
          <w:tcPr>
            <w:tcW w:w="1173" w:type="pct"/>
            <w:noWrap/>
            <w:vAlign w:val="center"/>
          </w:tcPr>
          <w:p>
            <w:pPr>
              <w:pStyle w:val="38"/>
            </w:pPr>
            <w:r>
              <w:rPr>
                <w:rFonts w:hint="eastAsia"/>
              </w:rPr>
              <w:t>杜桥镇蟾洋村金鼎一品</w:t>
            </w:r>
          </w:p>
        </w:tc>
        <w:tc>
          <w:tcPr>
            <w:tcW w:w="1017" w:type="pct"/>
            <w:noWrap/>
            <w:vAlign w:val="center"/>
          </w:tcPr>
          <w:p>
            <w:pPr>
              <w:pStyle w:val="38"/>
            </w:pPr>
            <w:r>
              <w:rPr>
                <w:rFonts w:hint="eastAsia"/>
              </w:rPr>
              <w:t>临海市杜桥镇斜岙村</w:t>
            </w:r>
          </w:p>
        </w:tc>
        <w:tc>
          <w:tcPr>
            <w:tcW w:w="783" w:type="pct"/>
            <w:noWrap/>
            <w:vAlign w:val="center"/>
          </w:tcPr>
          <w:p>
            <w:pPr>
              <w:pStyle w:val="38"/>
            </w:pPr>
            <w:r>
              <w:rPr>
                <w:rFonts w:hint="eastAsia"/>
              </w:rPr>
              <w:t>绿化</w:t>
            </w:r>
          </w:p>
        </w:tc>
        <w:tc>
          <w:tcPr>
            <w:tcW w:w="937" w:type="pct"/>
            <w:noWrap/>
            <w:vAlign w:val="center"/>
          </w:tcPr>
          <w:p>
            <w:pPr>
              <w:pStyle w:val="38"/>
            </w:pPr>
            <w:r>
              <w:rPr>
                <w:rFonts w:hint="eastAsia"/>
              </w:rPr>
              <w:t>土壤</w:t>
            </w:r>
          </w:p>
        </w:tc>
        <w:tc>
          <w:tcPr>
            <w:tcW w:w="621" w:type="pct"/>
            <w:noWrap/>
            <w:vAlign w:val="center"/>
          </w:tcPr>
          <w:p>
            <w:pPr>
              <w:pStyle w:val="38"/>
            </w:pPr>
            <w:r>
              <w:rPr>
                <w:rFonts w:hint="eastAsia"/>
              </w:rPr>
              <w:t>5000</w:t>
            </w:r>
          </w:p>
        </w:tc>
      </w:tr>
    </w:tbl>
    <w:p>
      <w:pPr>
        <w:pStyle w:val="36"/>
      </w:pPr>
      <w:r>
        <w:rPr>
          <w:rFonts w:hint="eastAsia"/>
        </w:rPr>
        <w:drawing>
          <wp:inline distT="0" distB="0" distL="114300" distR="114300">
            <wp:extent cx="5016500" cy="3319780"/>
            <wp:effectExtent l="0" t="0" r="0" b="0"/>
            <wp:docPr id="1613624902" name="图片 1613624902" descr="mmexport160525259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24902" name="图片 1613624902" descr="mmexport1605252599312"/>
                    <pic:cNvPicPr>
                      <a:picLocks noChangeAspect="1"/>
                    </pic:cNvPicPr>
                  </pic:nvPicPr>
                  <pic:blipFill>
                    <a:blip r:embed="rId14"/>
                    <a:stretch>
                      <a:fillRect/>
                    </a:stretch>
                  </pic:blipFill>
                  <pic:spPr>
                    <a:xfrm>
                      <a:off x="0" y="0"/>
                      <a:ext cx="5018291" cy="3321211"/>
                    </a:xfrm>
                    <a:prstGeom prst="rect">
                      <a:avLst/>
                    </a:prstGeom>
                    <a:noFill/>
                    <a:ln>
                      <a:noFill/>
                    </a:ln>
                  </pic:spPr>
                </pic:pic>
              </a:graphicData>
            </a:graphic>
          </wp:inline>
        </w:drawing>
      </w:r>
    </w:p>
    <w:p>
      <w:pPr>
        <w:pStyle w:val="36"/>
      </w:pPr>
      <w:r>
        <w:rPr>
          <w:rFonts w:hint="eastAsia"/>
        </w:rPr>
        <w:drawing>
          <wp:inline distT="0" distB="0" distL="114300" distR="114300">
            <wp:extent cx="5084445" cy="3689985"/>
            <wp:effectExtent l="0" t="0" r="1905" b="5715"/>
            <wp:docPr id="9" name="图片 9" descr="mmexport160525260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605252601347"/>
                    <pic:cNvPicPr>
                      <a:picLocks noChangeAspect="1"/>
                    </pic:cNvPicPr>
                  </pic:nvPicPr>
                  <pic:blipFill>
                    <a:blip r:embed="rId15"/>
                    <a:stretch>
                      <a:fillRect/>
                    </a:stretch>
                  </pic:blipFill>
                  <pic:spPr>
                    <a:xfrm>
                      <a:off x="0" y="0"/>
                      <a:ext cx="5089380" cy="3693459"/>
                    </a:xfrm>
                    <a:prstGeom prst="rect">
                      <a:avLst/>
                    </a:prstGeom>
                    <a:noFill/>
                    <a:ln>
                      <a:noFill/>
                    </a:ln>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hint="eastAsia"/>
        </w:rPr>
        <w:t>临海市城投建筑垃圾消纳有限公司</w:t>
      </w:r>
    </w:p>
    <w:p>
      <w:pPr>
        <w:pStyle w:val="36"/>
        <w:ind w:firstLine="640"/>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4</w:t>
      </w:r>
      <w:r>
        <w:fldChar w:fldCharType="end"/>
      </w:r>
      <w:r>
        <w:t xml:space="preserve"> </w:t>
      </w:r>
      <w:r>
        <w:rPr>
          <w:rFonts w:hint="eastAsia"/>
        </w:rPr>
        <w:t>临海市渣土消纳场所一览表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5690"/>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805" w:type="pct"/>
            <w:vAlign w:val="center"/>
          </w:tcPr>
          <w:p>
            <w:pPr>
              <w:pStyle w:val="38"/>
            </w:pPr>
            <w:r>
              <w:rPr>
                <w:rFonts w:hint="eastAsia"/>
              </w:rPr>
              <w:t>序号</w:t>
            </w:r>
          </w:p>
        </w:tc>
        <w:tc>
          <w:tcPr>
            <w:tcW w:w="3064" w:type="pct"/>
            <w:vAlign w:val="center"/>
          </w:tcPr>
          <w:p>
            <w:pPr>
              <w:pStyle w:val="38"/>
            </w:pPr>
            <w:r>
              <w:rPr>
                <w:rFonts w:hint="eastAsia"/>
              </w:rPr>
              <w:t>企业名称</w:t>
            </w:r>
          </w:p>
        </w:tc>
        <w:tc>
          <w:tcPr>
            <w:tcW w:w="1131" w:type="pct"/>
            <w:vAlign w:val="center"/>
          </w:tcPr>
          <w:p>
            <w:pPr>
              <w:pStyle w:val="38"/>
            </w:pPr>
            <w:r>
              <w:rPr>
                <w:rFonts w:hint="eastAsia"/>
              </w:rPr>
              <w:t>承接项目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05" w:type="pct"/>
            <w:shd w:val="clear" w:color="auto" w:fill="auto"/>
            <w:vAlign w:val="center"/>
          </w:tcPr>
          <w:p>
            <w:pPr>
              <w:pStyle w:val="38"/>
            </w:pPr>
            <w:r>
              <w:t>1</w:t>
            </w:r>
          </w:p>
        </w:tc>
        <w:tc>
          <w:tcPr>
            <w:tcW w:w="3064" w:type="pct"/>
            <w:shd w:val="clear" w:color="auto" w:fill="auto"/>
            <w:vAlign w:val="center"/>
          </w:tcPr>
          <w:p>
            <w:pPr>
              <w:pStyle w:val="38"/>
            </w:pPr>
            <w:r>
              <w:rPr>
                <w:rFonts w:hint="eastAsia"/>
              </w:rPr>
              <w:t>临海市恒泰新型墙体材料有限公司</w:t>
            </w:r>
          </w:p>
        </w:tc>
        <w:tc>
          <w:tcPr>
            <w:tcW w:w="1131" w:type="pct"/>
            <w:shd w:val="clear" w:color="auto" w:fill="auto"/>
            <w:vAlign w:val="center"/>
          </w:tcPr>
          <w:p>
            <w:pPr>
              <w:pStyle w:val="38"/>
            </w:pPr>
            <w:r>
              <w:rPr>
                <w:rFonts w:hint="eastAsia"/>
              </w:rPr>
              <w:t>渣土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5" w:type="pct"/>
            <w:shd w:val="clear" w:color="auto" w:fill="auto"/>
            <w:vAlign w:val="center"/>
          </w:tcPr>
          <w:p>
            <w:pPr>
              <w:pStyle w:val="38"/>
            </w:pPr>
            <w:r>
              <w:rPr>
                <w:rFonts w:hint="eastAsia"/>
              </w:rPr>
              <w:t>2</w:t>
            </w:r>
          </w:p>
        </w:tc>
        <w:tc>
          <w:tcPr>
            <w:tcW w:w="3064" w:type="pct"/>
            <w:shd w:val="clear" w:color="auto" w:fill="auto"/>
            <w:vAlign w:val="center"/>
          </w:tcPr>
          <w:p>
            <w:pPr>
              <w:pStyle w:val="38"/>
            </w:pPr>
            <w:r>
              <w:rPr>
                <w:rFonts w:hint="eastAsia"/>
              </w:rPr>
              <w:t>临海市里洋建材厂</w:t>
            </w:r>
          </w:p>
        </w:tc>
        <w:tc>
          <w:tcPr>
            <w:tcW w:w="1131" w:type="pct"/>
            <w:shd w:val="clear" w:color="auto" w:fill="auto"/>
            <w:vAlign w:val="center"/>
          </w:tcPr>
          <w:p>
            <w:pPr>
              <w:pStyle w:val="38"/>
            </w:pPr>
            <w:r>
              <w:rPr>
                <w:rFonts w:hint="eastAsia"/>
              </w:rPr>
              <w:t>渣土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5" w:type="pct"/>
            <w:shd w:val="clear" w:color="auto" w:fill="auto"/>
            <w:vAlign w:val="center"/>
          </w:tcPr>
          <w:p>
            <w:pPr>
              <w:pStyle w:val="38"/>
            </w:pPr>
            <w:r>
              <w:rPr>
                <w:rFonts w:hint="eastAsia"/>
              </w:rPr>
              <w:t>3</w:t>
            </w:r>
          </w:p>
        </w:tc>
        <w:tc>
          <w:tcPr>
            <w:tcW w:w="3064" w:type="pct"/>
            <w:shd w:val="clear" w:color="auto" w:fill="auto"/>
            <w:vAlign w:val="center"/>
          </w:tcPr>
          <w:p>
            <w:pPr>
              <w:pStyle w:val="38"/>
            </w:pPr>
            <w:r>
              <w:rPr>
                <w:rFonts w:hint="eastAsia"/>
              </w:rPr>
              <w:t>临海市岙坑建材厂</w:t>
            </w:r>
          </w:p>
        </w:tc>
        <w:tc>
          <w:tcPr>
            <w:tcW w:w="1131" w:type="pct"/>
            <w:shd w:val="clear" w:color="auto" w:fill="auto"/>
            <w:vAlign w:val="center"/>
          </w:tcPr>
          <w:p>
            <w:pPr>
              <w:pStyle w:val="38"/>
            </w:pPr>
            <w:r>
              <w:rPr>
                <w:rFonts w:hint="eastAsia"/>
              </w:rPr>
              <w:t>渣土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5" w:type="pct"/>
            <w:shd w:val="clear" w:color="auto" w:fill="auto"/>
            <w:vAlign w:val="center"/>
          </w:tcPr>
          <w:p>
            <w:pPr>
              <w:pStyle w:val="38"/>
            </w:pPr>
            <w:r>
              <w:rPr>
                <w:rFonts w:hint="eastAsia"/>
              </w:rPr>
              <w:t>4</w:t>
            </w:r>
          </w:p>
        </w:tc>
        <w:tc>
          <w:tcPr>
            <w:tcW w:w="3064" w:type="pct"/>
            <w:shd w:val="clear" w:color="auto" w:fill="auto"/>
            <w:vAlign w:val="center"/>
          </w:tcPr>
          <w:p>
            <w:pPr>
              <w:pStyle w:val="38"/>
            </w:pPr>
            <w:r>
              <w:rPr>
                <w:rFonts w:hint="eastAsia"/>
              </w:rPr>
              <w:t>临海市邵家渡前湾轮窑厂</w:t>
            </w:r>
          </w:p>
        </w:tc>
        <w:tc>
          <w:tcPr>
            <w:tcW w:w="1131" w:type="pct"/>
            <w:shd w:val="clear" w:color="auto" w:fill="auto"/>
            <w:vAlign w:val="center"/>
          </w:tcPr>
          <w:p>
            <w:pPr>
              <w:pStyle w:val="38"/>
            </w:pPr>
            <w:r>
              <w:rPr>
                <w:rFonts w:hint="eastAsia"/>
              </w:rPr>
              <w:t>渣土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5" w:type="pct"/>
            <w:shd w:val="clear" w:color="auto" w:fill="auto"/>
            <w:vAlign w:val="center"/>
          </w:tcPr>
          <w:p>
            <w:pPr>
              <w:pStyle w:val="38"/>
            </w:pPr>
            <w:r>
              <w:rPr>
                <w:rFonts w:hint="eastAsia"/>
              </w:rPr>
              <w:t>5</w:t>
            </w:r>
          </w:p>
        </w:tc>
        <w:tc>
          <w:tcPr>
            <w:tcW w:w="3064" w:type="pct"/>
            <w:shd w:val="clear" w:color="auto" w:fill="auto"/>
            <w:vAlign w:val="center"/>
          </w:tcPr>
          <w:p>
            <w:pPr>
              <w:pStyle w:val="38"/>
            </w:pPr>
            <w:r>
              <w:rPr>
                <w:rFonts w:hint="eastAsia"/>
              </w:rPr>
              <w:t>临海市福冠建材有限公司</w:t>
            </w:r>
          </w:p>
        </w:tc>
        <w:tc>
          <w:tcPr>
            <w:tcW w:w="1131" w:type="pct"/>
            <w:shd w:val="clear" w:color="auto" w:fill="auto"/>
            <w:vAlign w:val="center"/>
          </w:tcPr>
          <w:p>
            <w:pPr>
              <w:pStyle w:val="38"/>
            </w:pPr>
            <w:r>
              <w:rPr>
                <w:rFonts w:hint="eastAsia"/>
              </w:rPr>
              <w:t>渣土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5" w:type="pct"/>
            <w:shd w:val="clear" w:color="auto" w:fill="auto"/>
            <w:vAlign w:val="center"/>
          </w:tcPr>
          <w:p>
            <w:pPr>
              <w:pStyle w:val="38"/>
            </w:pPr>
            <w:r>
              <w:rPr>
                <w:rFonts w:hint="eastAsia"/>
              </w:rPr>
              <w:t>6</w:t>
            </w:r>
          </w:p>
        </w:tc>
        <w:tc>
          <w:tcPr>
            <w:tcW w:w="3064" w:type="pct"/>
            <w:shd w:val="clear" w:color="auto" w:fill="auto"/>
            <w:vAlign w:val="center"/>
          </w:tcPr>
          <w:p>
            <w:pPr>
              <w:pStyle w:val="38"/>
            </w:pPr>
            <w:r>
              <w:rPr>
                <w:rFonts w:hint="eastAsia"/>
              </w:rPr>
              <w:t>临海市宇源页岩建材厂</w:t>
            </w:r>
          </w:p>
        </w:tc>
        <w:tc>
          <w:tcPr>
            <w:tcW w:w="1131" w:type="pct"/>
            <w:shd w:val="clear" w:color="auto" w:fill="auto"/>
            <w:vAlign w:val="center"/>
          </w:tcPr>
          <w:p>
            <w:pPr>
              <w:pStyle w:val="38"/>
            </w:pPr>
            <w:r>
              <w:rPr>
                <w:rFonts w:hint="eastAsia"/>
              </w:rPr>
              <w:t>渣土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5" w:type="pct"/>
            <w:shd w:val="clear" w:color="auto" w:fill="auto"/>
            <w:vAlign w:val="center"/>
          </w:tcPr>
          <w:p>
            <w:pPr>
              <w:pStyle w:val="38"/>
              <w:rPr>
                <w:highlight w:val="green"/>
              </w:rPr>
            </w:pPr>
            <w:r>
              <w:rPr>
                <w:rFonts w:hint="eastAsia"/>
                <w:highlight w:val="green"/>
              </w:rPr>
              <w:t>7</w:t>
            </w:r>
          </w:p>
        </w:tc>
        <w:tc>
          <w:tcPr>
            <w:tcW w:w="3064" w:type="pct"/>
            <w:shd w:val="clear" w:color="auto" w:fill="auto"/>
            <w:vAlign w:val="center"/>
          </w:tcPr>
          <w:p>
            <w:pPr>
              <w:pStyle w:val="38"/>
              <w:rPr>
                <w:highlight w:val="green"/>
              </w:rPr>
            </w:pPr>
            <w:r>
              <w:rPr>
                <w:rFonts w:hint="eastAsia"/>
                <w:highlight w:val="green"/>
              </w:rPr>
              <w:t>临海市红发建筑材料厂</w:t>
            </w:r>
          </w:p>
        </w:tc>
        <w:tc>
          <w:tcPr>
            <w:tcW w:w="1131" w:type="pct"/>
            <w:shd w:val="clear" w:color="auto" w:fill="auto"/>
            <w:vAlign w:val="center"/>
          </w:tcPr>
          <w:p>
            <w:pPr>
              <w:pStyle w:val="38"/>
              <w:rPr>
                <w:highlight w:val="green"/>
              </w:rPr>
            </w:pPr>
            <w:r>
              <w:rPr>
                <w:rFonts w:hint="eastAsia"/>
                <w:highlight w:val="green"/>
              </w:rPr>
              <w:t>渣土</w:t>
            </w:r>
          </w:p>
        </w:tc>
      </w:tr>
    </w:tbl>
    <w:p>
      <w:pPr>
        <w:pStyle w:val="38"/>
      </w:pPr>
    </w:p>
    <w:p>
      <w:pPr>
        <w:pStyle w:val="5"/>
      </w:pPr>
      <w:r>
        <w:rPr>
          <w:rFonts w:hint="eastAsia"/>
        </w:rPr>
        <w:t>工程泥浆处置情况</w:t>
      </w:r>
    </w:p>
    <w:p>
      <w:pPr>
        <w:ind w:firstLine="640"/>
      </w:pPr>
      <w:r>
        <w:rPr>
          <w:rFonts w:hint="eastAsia"/>
        </w:rPr>
        <w:t>我市工程泥浆主要采用两种方式消纳：第一种采用罐装车运至固化企业；第二种是将固化设备运至施工工地现场固化。</w:t>
      </w:r>
    </w:p>
    <w:p>
      <w:pPr>
        <w:ind w:firstLine="640"/>
      </w:pPr>
      <w:r>
        <w:rPr>
          <w:rFonts w:hint="eastAsia"/>
        </w:rPr>
        <w:t>目前全市共有2家标准泥浆固化企业，分别是浙江远新环保科技有限公司、台州市启程建筑工程有限公司。</w:t>
      </w:r>
    </w:p>
    <w:p>
      <w:pPr>
        <w:pStyle w:val="36"/>
      </w:pPr>
    </w:p>
    <w:p>
      <w:pPr>
        <w:pStyle w:val="36"/>
      </w:pPr>
    </w:p>
    <w:p>
      <w:pPr>
        <w:pStyle w:val="36"/>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5</w:t>
      </w:r>
      <w:r>
        <w:fldChar w:fldCharType="end"/>
      </w:r>
      <w:r>
        <w:t xml:space="preserve"> </w:t>
      </w:r>
      <w:r>
        <w:rPr>
          <w:rFonts w:hint="eastAsia"/>
        </w:rPr>
        <w:t>临海市泥浆固化企业一览表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5468"/>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blHeader/>
        </w:trPr>
        <w:tc>
          <w:tcPr>
            <w:tcW w:w="836" w:type="pct"/>
            <w:vAlign w:val="center"/>
          </w:tcPr>
          <w:p>
            <w:pPr>
              <w:pStyle w:val="38"/>
              <w:adjustRightInd w:val="0"/>
              <w:snapToGrid w:val="0"/>
            </w:pPr>
            <w:r>
              <w:rPr>
                <w:rFonts w:hint="eastAsia"/>
              </w:rPr>
              <w:t>序号</w:t>
            </w:r>
          </w:p>
        </w:tc>
        <w:tc>
          <w:tcPr>
            <w:tcW w:w="2944" w:type="pct"/>
            <w:vAlign w:val="center"/>
          </w:tcPr>
          <w:p>
            <w:pPr>
              <w:pStyle w:val="38"/>
              <w:adjustRightInd w:val="0"/>
              <w:snapToGrid w:val="0"/>
            </w:pPr>
            <w:r>
              <w:rPr>
                <w:rFonts w:hint="eastAsia"/>
              </w:rPr>
              <w:t>企业名称</w:t>
            </w:r>
          </w:p>
        </w:tc>
        <w:tc>
          <w:tcPr>
            <w:tcW w:w="1220" w:type="pct"/>
            <w:vAlign w:val="center"/>
          </w:tcPr>
          <w:p>
            <w:pPr>
              <w:pStyle w:val="38"/>
              <w:adjustRightInd w:val="0"/>
              <w:snapToGrid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36" w:type="pct"/>
            <w:shd w:val="clear" w:color="auto" w:fill="auto"/>
            <w:vAlign w:val="center"/>
          </w:tcPr>
          <w:p>
            <w:pPr>
              <w:pStyle w:val="38"/>
              <w:adjustRightInd w:val="0"/>
              <w:snapToGrid w:val="0"/>
            </w:pPr>
            <w:r>
              <w:rPr>
                <w:rFonts w:hint="eastAsia"/>
              </w:rPr>
              <w:t>1</w:t>
            </w:r>
          </w:p>
        </w:tc>
        <w:tc>
          <w:tcPr>
            <w:tcW w:w="2944" w:type="pct"/>
            <w:shd w:val="clear" w:color="auto" w:fill="auto"/>
            <w:vAlign w:val="center"/>
          </w:tcPr>
          <w:p>
            <w:pPr>
              <w:pStyle w:val="38"/>
              <w:adjustRightInd w:val="0"/>
              <w:snapToGrid w:val="0"/>
            </w:pPr>
            <w:r>
              <w:rPr>
                <w:rFonts w:hint="eastAsia"/>
              </w:rPr>
              <w:t>浙江远新环保科技有限公司</w:t>
            </w:r>
          </w:p>
        </w:tc>
        <w:tc>
          <w:tcPr>
            <w:tcW w:w="1220" w:type="pct"/>
            <w:shd w:val="clear" w:color="auto" w:fill="auto"/>
            <w:noWrap/>
          </w:tcPr>
          <w:p>
            <w:pPr>
              <w:pStyle w:val="38"/>
              <w:adjustRightInd w:val="0"/>
              <w:snapToGrid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36" w:type="pct"/>
            <w:shd w:val="clear" w:color="auto" w:fill="auto"/>
            <w:vAlign w:val="center"/>
          </w:tcPr>
          <w:p>
            <w:pPr>
              <w:pStyle w:val="38"/>
              <w:adjustRightInd w:val="0"/>
              <w:snapToGrid w:val="0"/>
            </w:pPr>
            <w:r>
              <w:rPr>
                <w:rFonts w:hint="eastAsia"/>
              </w:rPr>
              <w:t>2</w:t>
            </w:r>
          </w:p>
        </w:tc>
        <w:tc>
          <w:tcPr>
            <w:tcW w:w="2944" w:type="pct"/>
            <w:shd w:val="clear" w:color="auto" w:fill="auto"/>
            <w:vAlign w:val="center"/>
          </w:tcPr>
          <w:p>
            <w:pPr>
              <w:pStyle w:val="38"/>
              <w:adjustRightInd w:val="0"/>
              <w:snapToGrid w:val="0"/>
            </w:pPr>
            <w:r>
              <w:rPr>
                <w:rFonts w:hint="eastAsia"/>
              </w:rPr>
              <w:t>台州市启程建筑工程有限公司</w:t>
            </w:r>
          </w:p>
        </w:tc>
        <w:tc>
          <w:tcPr>
            <w:tcW w:w="1220" w:type="pct"/>
            <w:shd w:val="clear" w:color="auto" w:fill="auto"/>
            <w:noWrap/>
          </w:tcPr>
          <w:p>
            <w:pPr>
              <w:pStyle w:val="38"/>
              <w:adjustRightInd w:val="0"/>
              <w:snapToGrid w:val="0"/>
            </w:pPr>
            <w:r>
              <w:rPr>
                <w:rFonts w:hint="eastAsia"/>
              </w:rPr>
              <w:t>进场固化</w:t>
            </w:r>
          </w:p>
        </w:tc>
      </w:tr>
    </w:tbl>
    <w:p>
      <w:pPr>
        <w:pStyle w:val="36"/>
      </w:pPr>
      <w:r>
        <w:drawing>
          <wp:inline distT="0" distB="0" distL="0" distR="0">
            <wp:extent cx="5759450" cy="4323715"/>
            <wp:effectExtent l="0" t="0" r="0" b="635"/>
            <wp:docPr id="2089090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0536"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59450" cy="4323715"/>
                    </a:xfrm>
                    <a:prstGeom prst="rect">
                      <a:avLst/>
                    </a:prstGeom>
                    <a:noFill/>
                    <a:ln>
                      <a:noFill/>
                    </a:ln>
                  </pic:spPr>
                </pic:pic>
              </a:graphicData>
            </a:graphic>
          </wp:inline>
        </w:drawing>
      </w:r>
    </w:p>
    <w:p>
      <w:pPr>
        <w:pStyle w:val="36"/>
      </w:pPr>
      <w:r>
        <w:drawing>
          <wp:inline distT="0" distB="0" distL="0" distR="0">
            <wp:extent cx="5759450" cy="2731770"/>
            <wp:effectExtent l="0" t="0" r="0" b="0"/>
            <wp:docPr id="989710983" name="图片 2" descr="在房子外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10983" name="图片 2" descr="在房子外面&#10;&#10;中度可信度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59450" cy="2731770"/>
                    </a:xfrm>
                    <a:prstGeom prst="rect">
                      <a:avLst/>
                    </a:prstGeom>
                    <a:noFill/>
                    <a:ln>
                      <a:noFill/>
                    </a:ln>
                  </pic:spPr>
                </pic:pic>
              </a:graphicData>
            </a:graphic>
          </wp:inline>
        </w:drawing>
      </w:r>
    </w:p>
    <w:p>
      <w:pPr>
        <w:pStyle w:val="36"/>
      </w:pPr>
      <w:r>
        <w:rPr>
          <w:rFonts w:hint="eastAsia"/>
        </w:rPr>
        <w:t>图</w:t>
      </w:r>
      <w:r>
        <w:t xml:space="preserve"> </w:t>
      </w:r>
      <w:r>
        <w:fldChar w:fldCharType="begin"/>
      </w:r>
      <w:r>
        <w:instrText xml:space="preserve"> STYLEREF 1 \s </w:instrText>
      </w:r>
      <w:r>
        <w:fldChar w:fldCharType="separate"/>
      </w:r>
      <w:r>
        <w:t>2</w:t>
      </w:r>
      <w:r>
        <w:fldChar w:fldCharType="end"/>
      </w:r>
      <w:r>
        <w:noBreakHyphen/>
      </w:r>
      <w:r>
        <w:fldChar w:fldCharType="begin"/>
      </w:r>
      <w:r>
        <w:instrText xml:space="preserve"> SEQ </w:instrText>
      </w:r>
      <w:r>
        <w:rPr>
          <w:rFonts w:hint="eastAsia"/>
        </w:rPr>
        <w:instrText xml:space="preserve">图</w:instrText>
      </w:r>
      <w:r>
        <w:instrText xml:space="preserve"> \* ARABIC \s 1 </w:instrText>
      </w:r>
      <w:r>
        <w:fldChar w:fldCharType="separate"/>
      </w:r>
      <w:r>
        <w:t>3</w:t>
      </w:r>
      <w:r>
        <w:fldChar w:fldCharType="end"/>
      </w:r>
      <w:r>
        <w:rPr>
          <w:rFonts w:hint="eastAsia"/>
        </w:rPr>
        <w:t>浙江远新环保科技有限公司</w:t>
      </w:r>
    </w:p>
    <w:p>
      <w:pPr>
        <w:pStyle w:val="36"/>
      </w:pPr>
      <w:r>
        <w:rPr>
          <w:rFonts w:hint="eastAsia"/>
          <w:shd w:val="clear" w:color="auto" w:fill="FFFFFF"/>
        </w:rPr>
        <w:drawing>
          <wp:inline distT="0" distB="0" distL="114300" distR="114300">
            <wp:extent cx="5568950" cy="4159250"/>
            <wp:effectExtent l="0" t="0" r="0" b="0"/>
            <wp:docPr id="18" name="图片 18" descr="550c2b8baa2a45413eb7a83a168c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50c2b8baa2a45413eb7a83a168c57c"/>
                    <pic:cNvPicPr>
                      <a:picLocks noChangeAspect="1"/>
                    </pic:cNvPicPr>
                  </pic:nvPicPr>
                  <pic:blipFill>
                    <a:blip r:embed="rId18"/>
                    <a:srcRect b="404"/>
                    <a:stretch>
                      <a:fillRect/>
                    </a:stretch>
                  </pic:blipFill>
                  <pic:spPr>
                    <a:xfrm>
                      <a:off x="0" y="0"/>
                      <a:ext cx="5588663" cy="4173927"/>
                    </a:xfrm>
                    <a:prstGeom prst="rect">
                      <a:avLst/>
                    </a:prstGeom>
                    <a:ln>
                      <a:noFill/>
                    </a:ln>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r>
        <w:rPr>
          <w:rFonts w:hint="eastAsia"/>
        </w:rPr>
        <w:t>启程公司施工现场固化</w:t>
      </w:r>
    </w:p>
    <w:p>
      <w:pPr>
        <w:pStyle w:val="5"/>
      </w:pPr>
      <w:r>
        <w:rPr>
          <w:rFonts w:hint="eastAsia"/>
        </w:rPr>
        <w:t>装修垃圾处置情况</w:t>
      </w:r>
    </w:p>
    <w:p>
      <w:pPr>
        <w:ind w:firstLine="640"/>
      </w:pPr>
      <w:r>
        <w:rPr>
          <w:rFonts w:hint="eastAsia"/>
        </w:rPr>
        <w:t>目前，临海市共有2处装修垃圾处置中心，一是梅岙建筑垃圾分拣中心，二是古楼装修大件垃圾分拣中心。其中，梅岙建筑垃圾分拣中心目前因土地问题暂时封场。</w:t>
      </w:r>
    </w:p>
    <w:p>
      <w:pPr>
        <w:ind w:firstLine="640"/>
      </w:pPr>
      <w:r>
        <w:rPr>
          <w:rFonts w:hint="eastAsia"/>
        </w:rPr>
        <w:t>目前临海市装修垃圾主要通过古楼装修大件垃圾分拣中心进行分拣处置，经分拣后大致上可形成土、可焚烧物、碎砖石等。其中，大部分砖、石、混凝土等废料经破碎后，用作建材，如砌筑砂浆、抹灰砂浆、打混凝土垫层等，部分用于制作环保砖、铺道砖、花格砖等建材制品；废钢筋、废铁丝、废电线和废钢配件等各类金属以及建筑模板等，经现场分类收集后回收利用；可焚烧物则送至指定地点进行焚烧。</w:t>
      </w:r>
    </w:p>
    <w:p>
      <w:pPr>
        <w:pStyle w:val="36"/>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6</w:t>
      </w:r>
      <w:r>
        <w:fldChar w:fldCharType="end"/>
      </w:r>
      <w:r>
        <w:t xml:space="preserve"> </w:t>
      </w:r>
      <w:r>
        <w:rPr>
          <w:rFonts w:hint="eastAsia"/>
        </w:rPr>
        <w:t>临海市装修垃圾处置设施表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4175"/>
        <w:gridCol w:w="2167"/>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blHeader/>
        </w:trPr>
        <w:tc>
          <w:tcPr>
            <w:tcW w:w="644" w:type="pct"/>
            <w:vAlign w:val="center"/>
          </w:tcPr>
          <w:p>
            <w:pPr>
              <w:pStyle w:val="38"/>
            </w:pPr>
            <w:bookmarkStart w:id="14" w:name="_Hlk147860304"/>
            <w:r>
              <w:rPr>
                <w:rFonts w:hint="eastAsia"/>
              </w:rPr>
              <w:t>序号</w:t>
            </w:r>
          </w:p>
        </w:tc>
        <w:tc>
          <w:tcPr>
            <w:tcW w:w="2248" w:type="pct"/>
            <w:vAlign w:val="center"/>
          </w:tcPr>
          <w:p>
            <w:pPr>
              <w:pStyle w:val="38"/>
            </w:pPr>
            <w:r>
              <w:rPr>
                <w:rFonts w:hint="eastAsia"/>
              </w:rPr>
              <w:t>企业名称</w:t>
            </w:r>
          </w:p>
        </w:tc>
        <w:tc>
          <w:tcPr>
            <w:tcW w:w="1167" w:type="pct"/>
            <w:vAlign w:val="center"/>
          </w:tcPr>
          <w:p>
            <w:pPr>
              <w:pStyle w:val="38"/>
            </w:pPr>
            <w:r>
              <w:rPr>
                <w:rFonts w:hint="eastAsia"/>
              </w:rPr>
              <w:t>日处理量（吨）</w:t>
            </w:r>
          </w:p>
        </w:tc>
        <w:tc>
          <w:tcPr>
            <w:tcW w:w="941" w:type="pct"/>
            <w:vAlign w:val="center"/>
          </w:tcPr>
          <w:p>
            <w:pPr>
              <w:pStyle w:val="38"/>
            </w:pPr>
            <w:r>
              <w:rPr>
                <w:rFonts w:hint="eastAsia"/>
              </w:rPr>
              <w:t>承接项目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4" w:type="pct"/>
            <w:shd w:val="clear" w:color="auto" w:fill="auto"/>
            <w:vAlign w:val="center"/>
          </w:tcPr>
          <w:p>
            <w:pPr>
              <w:pStyle w:val="38"/>
            </w:pPr>
            <w:r>
              <w:rPr>
                <w:rFonts w:hint="eastAsia"/>
              </w:rPr>
              <w:t>1</w:t>
            </w:r>
          </w:p>
        </w:tc>
        <w:tc>
          <w:tcPr>
            <w:tcW w:w="2248" w:type="pct"/>
            <w:shd w:val="clear" w:color="auto" w:fill="auto"/>
            <w:vAlign w:val="center"/>
          </w:tcPr>
          <w:p>
            <w:pPr>
              <w:pStyle w:val="38"/>
            </w:pPr>
            <w:r>
              <w:rPr>
                <w:rFonts w:hint="eastAsia"/>
              </w:rPr>
              <w:t>临海市古楼装修大件垃圾分拣中心</w:t>
            </w:r>
          </w:p>
        </w:tc>
        <w:tc>
          <w:tcPr>
            <w:tcW w:w="1167" w:type="pct"/>
            <w:shd w:val="clear" w:color="auto" w:fill="auto"/>
            <w:vAlign w:val="center"/>
          </w:tcPr>
          <w:p>
            <w:pPr>
              <w:pStyle w:val="38"/>
            </w:pPr>
            <w:r>
              <w:rPr>
                <w:rFonts w:hint="eastAsia"/>
              </w:rPr>
              <w:t>6</w:t>
            </w:r>
            <w:r>
              <w:t>00</w:t>
            </w:r>
          </w:p>
        </w:tc>
        <w:tc>
          <w:tcPr>
            <w:tcW w:w="941" w:type="pct"/>
            <w:shd w:val="clear" w:color="auto" w:fill="auto"/>
            <w:vAlign w:val="center"/>
          </w:tcPr>
          <w:p>
            <w:pPr>
              <w:pStyle w:val="38"/>
            </w:pPr>
            <w:r>
              <w:rPr>
                <w:rFonts w:hint="eastAsia"/>
              </w:rPr>
              <w:t>装修垃圾</w:t>
            </w:r>
          </w:p>
        </w:tc>
      </w:tr>
      <w:bookmarkEnd w:id="14"/>
    </w:tbl>
    <w:p>
      <w:pPr>
        <w:pStyle w:val="3"/>
      </w:pPr>
      <w:bookmarkStart w:id="15" w:name="_Toc168062381"/>
      <w:r>
        <w:rPr>
          <w:rFonts w:hint="eastAsia"/>
        </w:rPr>
        <w:t>建筑垃圾处置能力建设情况</w:t>
      </w:r>
      <w:bookmarkEnd w:id="15"/>
    </w:p>
    <w:p>
      <w:pPr>
        <w:pStyle w:val="30"/>
      </w:pPr>
      <w:r>
        <w:rPr>
          <w:rFonts w:hint="eastAsia"/>
        </w:rPr>
        <w:t>公共设施处置设施情况</w:t>
      </w:r>
    </w:p>
    <w:p>
      <w:pPr>
        <w:ind w:firstLine="640"/>
      </w:pPr>
      <w:r>
        <w:rPr>
          <w:rFonts w:hint="eastAsia"/>
        </w:rPr>
        <w:t>临海市现状共有3处建筑垃圾末端处置场所，分别是梅岙建筑垃圾分拣中心、头门港城投渣土消纳场和古楼装修大件垃圾分拣中心，由国有平台市社发集团建筑垃圾消纳有限公司负责实施。</w:t>
      </w:r>
    </w:p>
    <w:p>
      <w:pPr>
        <w:ind w:firstLine="640"/>
      </w:pPr>
      <w:r>
        <w:rPr>
          <w:rFonts w:hint="eastAsia"/>
        </w:rPr>
        <w:t>其中，梅岙建筑垃圾分拣中心位于大洋街道，主要收纳城区装修垃圾，目前因土地问题暂时封场；头门港城投渣土消纳场于台州湾经济技术开发区，主要处置城区工程渣土，设计容量1</w:t>
      </w:r>
      <w:r>
        <w:t>50</w:t>
      </w:r>
      <w:r>
        <w:rPr>
          <w:rFonts w:hint="eastAsia"/>
        </w:rPr>
        <w:t>万吨；古楼装修大件垃圾分拣中心位于古城街道，处理规模600吨/日。</w:t>
      </w:r>
    </w:p>
    <w:p>
      <w:pPr>
        <w:ind w:firstLine="640"/>
      </w:pPr>
      <w:r>
        <w:rPr>
          <w:rFonts w:hint="eastAsia"/>
        </w:rPr>
        <w:t>目前，已建的建筑垃圾处置设施在处理规模上难以满足近远期建筑垃圾消纳的需求，亟需提升或新建；此外，部分建筑垃圾末端处置场所在用地上已经纳入国土空间规划，但后续落实仍需要进一步协调推进。</w:t>
      </w:r>
    </w:p>
    <w:p>
      <w:pPr>
        <w:pStyle w:val="36"/>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7</w:t>
      </w:r>
      <w:r>
        <w:fldChar w:fldCharType="end"/>
      </w:r>
      <w:r>
        <w:rPr>
          <w:rFonts w:hint="eastAsia"/>
        </w:rPr>
        <w:t>建筑垃圾末端处置设施一览表</w:t>
      </w:r>
    </w:p>
    <w:tbl>
      <w:tblPr>
        <w:tblStyle w:val="20"/>
        <w:tblW w:w="0" w:type="auto"/>
        <w:tblInd w:w="0" w:type="dxa"/>
        <w:tblLayout w:type="autofit"/>
        <w:tblCellMar>
          <w:top w:w="0" w:type="dxa"/>
          <w:left w:w="108" w:type="dxa"/>
          <w:bottom w:w="0" w:type="dxa"/>
          <w:right w:w="108" w:type="dxa"/>
        </w:tblCellMar>
      </w:tblPr>
      <w:tblGrid>
        <w:gridCol w:w="978"/>
        <w:gridCol w:w="3830"/>
        <w:gridCol w:w="2417"/>
        <w:gridCol w:w="1835"/>
      </w:tblGrid>
      <w:tr>
        <w:tblPrEx>
          <w:tblCellMar>
            <w:top w:w="0" w:type="dxa"/>
            <w:left w:w="108" w:type="dxa"/>
            <w:bottom w:w="0" w:type="dxa"/>
            <w:right w:w="108" w:type="dxa"/>
          </w:tblCellMar>
        </w:tblPrEx>
        <w:trPr>
          <w:trHeight w:val="285" w:hRule="atLeast"/>
          <w:tblHeader/>
        </w:trPr>
        <w:tc>
          <w:tcPr>
            <w:tcW w:w="978" w:type="dxa"/>
            <w:tcBorders>
              <w:top w:val="single" w:color="auto" w:sz="4" w:space="0"/>
              <w:left w:val="single" w:color="auto" w:sz="4" w:space="0"/>
              <w:bottom w:val="single" w:color="auto" w:sz="4" w:space="0"/>
              <w:right w:val="single" w:color="auto" w:sz="4" w:space="0"/>
            </w:tcBorders>
            <w:shd w:val="clear" w:color="auto" w:fill="auto"/>
            <w:noWrap/>
            <w:vAlign w:val="bottom"/>
          </w:tcPr>
          <w:p>
            <w:pPr>
              <w:pStyle w:val="38"/>
            </w:pPr>
            <w:r>
              <w:rPr>
                <w:rFonts w:hint="eastAsia"/>
              </w:rPr>
              <w:t>序号</w:t>
            </w:r>
          </w:p>
        </w:tc>
        <w:tc>
          <w:tcPr>
            <w:tcW w:w="3830" w:type="dxa"/>
            <w:tcBorders>
              <w:top w:val="single" w:color="auto" w:sz="4" w:space="0"/>
              <w:left w:val="nil"/>
              <w:bottom w:val="single" w:color="auto" w:sz="4" w:space="0"/>
              <w:right w:val="single" w:color="auto" w:sz="4" w:space="0"/>
            </w:tcBorders>
            <w:shd w:val="clear" w:color="auto" w:fill="auto"/>
            <w:noWrap/>
            <w:vAlign w:val="bottom"/>
          </w:tcPr>
          <w:p>
            <w:pPr>
              <w:pStyle w:val="38"/>
            </w:pPr>
            <w:r>
              <w:rPr>
                <w:rFonts w:hint="eastAsia"/>
              </w:rPr>
              <w:t>处理场名称</w:t>
            </w:r>
          </w:p>
        </w:tc>
        <w:tc>
          <w:tcPr>
            <w:tcW w:w="2417" w:type="dxa"/>
            <w:tcBorders>
              <w:top w:val="single" w:color="auto" w:sz="4" w:space="0"/>
              <w:left w:val="nil"/>
              <w:bottom w:val="single" w:color="auto" w:sz="4" w:space="0"/>
              <w:right w:val="single" w:color="auto" w:sz="4" w:space="0"/>
            </w:tcBorders>
            <w:shd w:val="clear" w:color="auto" w:fill="auto"/>
            <w:noWrap/>
            <w:vAlign w:val="bottom"/>
          </w:tcPr>
          <w:p>
            <w:pPr>
              <w:pStyle w:val="38"/>
            </w:pPr>
            <w:r>
              <w:rPr>
                <w:rFonts w:hint="eastAsia"/>
              </w:rPr>
              <w:t>收纳垃圾类型</w:t>
            </w:r>
          </w:p>
        </w:tc>
        <w:tc>
          <w:tcPr>
            <w:tcW w:w="1835" w:type="dxa"/>
            <w:tcBorders>
              <w:top w:val="single" w:color="auto" w:sz="4" w:space="0"/>
              <w:left w:val="nil"/>
              <w:bottom w:val="single" w:color="auto" w:sz="4" w:space="0"/>
              <w:right w:val="single" w:color="auto" w:sz="4" w:space="0"/>
            </w:tcBorders>
            <w:shd w:val="clear" w:color="auto" w:fill="auto"/>
            <w:noWrap/>
            <w:vAlign w:val="bottom"/>
          </w:tcPr>
          <w:p>
            <w:pPr>
              <w:pStyle w:val="38"/>
            </w:pPr>
            <w:r>
              <w:rPr>
                <w:rFonts w:hint="eastAsia"/>
              </w:rPr>
              <w:t xml:space="preserve">容量/规模 </w:t>
            </w:r>
          </w:p>
        </w:tc>
      </w:tr>
      <w:tr>
        <w:tblPrEx>
          <w:tblCellMar>
            <w:top w:w="0" w:type="dxa"/>
            <w:left w:w="108" w:type="dxa"/>
            <w:bottom w:w="0" w:type="dxa"/>
            <w:right w:w="108" w:type="dxa"/>
          </w:tblCellMar>
        </w:tblPrEx>
        <w:trPr>
          <w:trHeight w:val="285" w:hRule="atLeast"/>
        </w:trPr>
        <w:tc>
          <w:tcPr>
            <w:tcW w:w="978" w:type="dxa"/>
            <w:tcBorders>
              <w:top w:val="nil"/>
              <w:left w:val="single" w:color="auto" w:sz="4" w:space="0"/>
              <w:bottom w:val="single" w:color="auto" w:sz="4" w:space="0"/>
              <w:right w:val="single" w:color="auto" w:sz="4" w:space="0"/>
            </w:tcBorders>
            <w:shd w:val="clear" w:color="auto" w:fill="auto"/>
            <w:noWrap/>
            <w:vAlign w:val="bottom"/>
          </w:tcPr>
          <w:p>
            <w:pPr>
              <w:pStyle w:val="38"/>
            </w:pPr>
            <w:r>
              <w:rPr>
                <w:rFonts w:hint="eastAsia"/>
              </w:rPr>
              <w:t>1</w:t>
            </w:r>
          </w:p>
        </w:tc>
        <w:tc>
          <w:tcPr>
            <w:tcW w:w="3830" w:type="dxa"/>
            <w:tcBorders>
              <w:top w:val="nil"/>
              <w:left w:val="nil"/>
              <w:bottom w:val="single" w:color="auto" w:sz="4" w:space="0"/>
              <w:right w:val="single" w:color="auto" w:sz="4" w:space="0"/>
            </w:tcBorders>
            <w:shd w:val="clear" w:color="auto" w:fill="auto"/>
            <w:noWrap/>
            <w:vAlign w:val="bottom"/>
          </w:tcPr>
          <w:p>
            <w:pPr>
              <w:pStyle w:val="38"/>
            </w:pPr>
            <w:r>
              <w:rPr>
                <w:rFonts w:hint="eastAsia"/>
              </w:rPr>
              <w:t>梅岙建筑垃圾分拣中心</w:t>
            </w:r>
          </w:p>
        </w:tc>
        <w:tc>
          <w:tcPr>
            <w:tcW w:w="2417" w:type="dxa"/>
            <w:tcBorders>
              <w:top w:val="nil"/>
              <w:left w:val="nil"/>
              <w:bottom w:val="single" w:color="auto" w:sz="4" w:space="0"/>
              <w:right w:val="single" w:color="auto" w:sz="4" w:space="0"/>
            </w:tcBorders>
            <w:shd w:val="clear" w:color="auto" w:fill="auto"/>
            <w:noWrap/>
            <w:vAlign w:val="bottom"/>
          </w:tcPr>
          <w:p>
            <w:pPr>
              <w:pStyle w:val="38"/>
            </w:pPr>
            <w:r>
              <w:rPr>
                <w:rFonts w:hint="eastAsia"/>
              </w:rPr>
              <w:t>装修垃圾</w:t>
            </w:r>
          </w:p>
        </w:tc>
        <w:tc>
          <w:tcPr>
            <w:tcW w:w="1835" w:type="dxa"/>
            <w:tcBorders>
              <w:top w:val="nil"/>
              <w:left w:val="nil"/>
              <w:bottom w:val="single" w:color="auto" w:sz="4" w:space="0"/>
              <w:right w:val="single" w:color="auto" w:sz="4" w:space="0"/>
            </w:tcBorders>
            <w:shd w:val="clear" w:color="auto" w:fill="auto"/>
            <w:noWrap/>
            <w:vAlign w:val="bottom"/>
          </w:tcPr>
          <w:p>
            <w:pPr>
              <w:pStyle w:val="38"/>
            </w:pPr>
            <w:r>
              <w:rPr>
                <w:rFonts w:hint="eastAsia"/>
              </w:rPr>
              <w:t>/</w:t>
            </w:r>
          </w:p>
        </w:tc>
      </w:tr>
      <w:tr>
        <w:tblPrEx>
          <w:tblCellMar>
            <w:top w:w="0" w:type="dxa"/>
            <w:left w:w="108" w:type="dxa"/>
            <w:bottom w:w="0" w:type="dxa"/>
            <w:right w:w="108" w:type="dxa"/>
          </w:tblCellMar>
        </w:tblPrEx>
        <w:trPr>
          <w:trHeight w:val="285" w:hRule="atLeast"/>
        </w:trPr>
        <w:tc>
          <w:tcPr>
            <w:tcW w:w="978" w:type="dxa"/>
            <w:tcBorders>
              <w:top w:val="nil"/>
              <w:left w:val="single" w:color="auto" w:sz="4" w:space="0"/>
              <w:bottom w:val="single" w:color="auto" w:sz="4" w:space="0"/>
              <w:right w:val="single" w:color="auto" w:sz="4" w:space="0"/>
            </w:tcBorders>
            <w:shd w:val="clear" w:color="auto" w:fill="auto"/>
            <w:noWrap/>
            <w:vAlign w:val="bottom"/>
          </w:tcPr>
          <w:p>
            <w:pPr>
              <w:pStyle w:val="38"/>
            </w:pPr>
            <w:r>
              <w:rPr>
                <w:rFonts w:hint="eastAsia"/>
              </w:rPr>
              <w:t>2</w:t>
            </w:r>
          </w:p>
        </w:tc>
        <w:tc>
          <w:tcPr>
            <w:tcW w:w="3830" w:type="dxa"/>
            <w:tcBorders>
              <w:top w:val="nil"/>
              <w:left w:val="nil"/>
              <w:bottom w:val="single" w:color="auto" w:sz="4" w:space="0"/>
              <w:right w:val="single" w:color="auto" w:sz="4" w:space="0"/>
            </w:tcBorders>
            <w:shd w:val="clear" w:color="auto" w:fill="auto"/>
            <w:noWrap/>
            <w:vAlign w:val="bottom"/>
          </w:tcPr>
          <w:p>
            <w:pPr>
              <w:pStyle w:val="38"/>
            </w:pPr>
            <w:r>
              <w:rPr>
                <w:rFonts w:hint="eastAsia"/>
              </w:rPr>
              <w:t>头门港城投渣土消纳场</w:t>
            </w:r>
          </w:p>
        </w:tc>
        <w:tc>
          <w:tcPr>
            <w:tcW w:w="2417" w:type="dxa"/>
            <w:tcBorders>
              <w:top w:val="nil"/>
              <w:left w:val="nil"/>
              <w:bottom w:val="single" w:color="auto" w:sz="4" w:space="0"/>
              <w:right w:val="single" w:color="auto" w:sz="4" w:space="0"/>
            </w:tcBorders>
            <w:shd w:val="clear" w:color="auto" w:fill="auto"/>
            <w:noWrap/>
            <w:vAlign w:val="bottom"/>
          </w:tcPr>
          <w:p>
            <w:pPr>
              <w:pStyle w:val="38"/>
            </w:pPr>
            <w:r>
              <w:rPr>
                <w:rFonts w:hint="eastAsia"/>
              </w:rPr>
              <w:t>工程渣土</w:t>
            </w:r>
          </w:p>
        </w:tc>
        <w:tc>
          <w:tcPr>
            <w:tcW w:w="1835" w:type="dxa"/>
            <w:tcBorders>
              <w:top w:val="nil"/>
              <w:left w:val="nil"/>
              <w:bottom w:val="single" w:color="auto" w:sz="4" w:space="0"/>
              <w:right w:val="single" w:color="auto" w:sz="4" w:space="0"/>
            </w:tcBorders>
            <w:shd w:val="clear" w:color="auto" w:fill="auto"/>
            <w:noWrap/>
            <w:vAlign w:val="bottom"/>
          </w:tcPr>
          <w:p>
            <w:pPr>
              <w:pStyle w:val="38"/>
            </w:pPr>
            <w:r>
              <w:rPr>
                <w:rFonts w:hint="eastAsia"/>
              </w:rPr>
              <w:t>150万吨</w:t>
            </w:r>
          </w:p>
        </w:tc>
      </w:tr>
      <w:tr>
        <w:tblPrEx>
          <w:tblCellMar>
            <w:top w:w="0" w:type="dxa"/>
            <w:left w:w="108" w:type="dxa"/>
            <w:bottom w:w="0" w:type="dxa"/>
            <w:right w:w="108" w:type="dxa"/>
          </w:tblCellMar>
        </w:tblPrEx>
        <w:trPr>
          <w:trHeight w:val="285" w:hRule="atLeast"/>
        </w:trPr>
        <w:tc>
          <w:tcPr>
            <w:tcW w:w="978" w:type="dxa"/>
            <w:tcBorders>
              <w:top w:val="nil"/>
              <w:left w:val="single" w:color="auto" w:sz="4" w:space="0"/>
              <w:bottom w:val="single" w:color="auto" w:sz="4" w:space="0"/>
              <w:right w:val="single" w:color="auto" w:sz="4" w:space="0"/>
            </w:tcBorders>
            <w:shd w:val="clear" w:color="auto" w:fill="auto"/>
            <w:noWrap/>
            <w:vAlign w:val="bottom"/>
          </w:tcPr>
          <w:p>
            <w:pPr>
              <w:pStyle w:val="38"/>
            </w:pPr>
            <w:r>
              <w:rPr>
                <w:rFonts w:hint="eastAsia"/>
              </w:rPr>
              <w:t>3</w:t>
            </w:r>
          </w:p>
        </w:tc>
        <w:tc>
          <w:tcPr>
            <w:tcW w:w="3830" w:type="dxa"/>
            <w:tcBorders>
              <w:top w:val="nil"/>
              <w:left w:val="nil"/>
              <w:bottom w:val="single" w:color="auto" w:sz="4" w:space="0"/>
              <w:right w:val="single" w:color="auto" w:sz="4" w:space="0"/>
            </w:tcBorders>
            <w:shd w:val="clear" w:color="auto" w:fill="auto"/>
            <w:noWrap/>
            <w:vAlign w:val="bottom"/>
          </w:tcPr>
          <w:p>
            <w:pPr>
              <w:pStyle w:val="38"/>
            </w:pPr>
            <w:r>
              <w:rPr>
                <w:rFonts w:hint="eastAsia"/>
              </w:rPr>
              <w:t>古楼装修大件垃圾分拣中心</w:t>
            </w:r>
          </w:p>
        </w:tc>
        <w:tc>
          <w:tcPr>
            <w:tcW w:w="2417" w:type="dxa"/>
            <w:tcBorders>
              <w:top w:val="nil"/>
              <w:left w:val="nil"/>
              <w:bottom w:val="single" w:color="auto" w:sz="4" w:space="0"/>
              <w:right w:val="single" w:color="auto" w:sz="4" w:space="0"/>
            </w:tcBorders>
            <w:shd w:val="clear" w:color="auto" w:fill="auto"/>
            <w:noWrap/>
            <w:vAlign w:val="bottom"/>
          </w:tcPr>
          <w:p>
            <w:pPr>
              <w:pStyle w:val="38"/>
            </w:pPr>
            <w:r>
              <w:rPr>
                <w:rFonts w:hint="eastAsia"/>
              </w:rPr>
              <w:t>大件垃圾</w:t>
            </w:r>
          </w:p>
        </w:tc>
        <w:tc>
          <w:tcPr>
            <w:tcW w:w="1835" w:type="dxa"/>
            <w:tcBorders>
              <w:top w:val="nil"/>
              <w:left w:val="nil"/>
              <w:bottom w:val="single" w:color="auto" w:sz="4" w:space="0"/>
              <w:right w:val="single" w:color="auto" w:sz="4" w:space="0"/>
            </w:tcBorders>
            <w:shd w:val="clear" w:color="auto" w:fill="auto"/>
            <w:noWrap/>
            <w:vAlign w:val="bottom"/>
          </w:tcPr>
          <w:p>
            <w:pPr>
              <w:pStyle w:val="38"/>
            </w:pPr>
            <w:r>
              <w:rPr>
                <w:rFonts w:hint="eastAsia"/>
              </w:rPr>
              <w:t>600吨/日</w:t>
            </w:r>
          </w:p>
        </w:tc>
      </w:tr>
    </w:tbl>
    <w:p>
      <w:pPr>
        <w:pStyle w:val="36"/>
      </w:pPr>
      <w:r>
        <w:rPr>
          <w:rFonts w:hint="eastAsia"/>
        </w:rPr>
        <w:drawing>
          <wp:inline distT="0" distB="0" distL="0" distR="0">
            <wp:extent cx="5623560" cy="4711700"/>
            <wp:effectExtent l="0" t="0" r="0" b="0"/>
            <wp:docPr id="89992068" name="图片 1" descr="火车开在铁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2068" name="图片 1" descr="火车开在铁轨上&#10;&#10;中度可信度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37780" cy="4807623"/>
                    </a:xfrm>
                    <a:prstGeom prst="rect">
                      <a:avLst/>
                    </a:prstGeom>
                    <a:noFill/>
                    <a:ln>
                      <a:noFill/>
                    </a:ln>
                  </pic:spPr>
                </pic:pic>
              </a:graphicData>
            </a:graphic>
          </wp:inline>
        </w:drawing>
      </w:r>
      <w:r>
        <w:rPr>
          <w:rFonts w:hint="eastAsia"/>
        </w:rPr>
        <w:t xml:space="preserve"> </w:t>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6</w:t>
      </w:r>
      <w:r>
        <w:fldChar w:fldCharType="end"/>
      </w:r>
      <w:r>
        <w:rPr>
          <w:rFonts w:hint="eastAsia"/>
        </w:rPr>
        <w:t>古楼装修大件垃圾分拣中心用地</w:t>
      </w:r>
    </w:p>
    <w:p>
      <w:pPr>
        <w:pStyle w:val="36"/>
        <w:rPr>
          <w:bCs/>
          <w:sz w:val="21"/>
          <w:szCs w:val="21"/>
        </w:rPr>
      </w:pPr>
      <w:r>
        <w:rPr>
          <w:bCs/>
          <w:sz w:val="21"/>
          <w:szCs w:val="21"/>
        </w:rPr>
        <w:drawing>
          <wp:inline distT="0" distB="0" distL="0" distR="0">
            <wp:extent cx="2788285" cy="2092960"/>
            <wp:effectExtent l="0" t="0" r="0" b="2540"/>
            <wp:docPr id="20059122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12239"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23384" cy="2119563"/>
                    </a:xfrm>
                    <a:prstGeom prst="rect">
                      <a:avLst/>
                    </a:prstGeom>
                    <a:noFill/>
                    <a:ln>
                      <a:noFill/>
                    </a:ln>
                  </pic:spPr>
                </pic:pic>
              </a:graphicData>
            </a:graphic>
          </wp:inline>
        </w:drawing>
      </w:r>
      <w:r>
        <w:rPr>
          <w:rFonts w:hint="eastAsia"/>
          <w:bCs/>
          <w:sz w:val="21"/>
          <w:szCs w:val="21"/>
        </w:rPr>
        <w:t xml:space="preserve"> </w:t>
      </w:r>
      <w:r>
        <w:drawing>
          <wp:inline distT="0" distB="0" distL="0" distR="0">
            <wp:extent cx="2792095" cy="2093595"/>
            <wp:effectExtent l="0" t="0" r="8255" b="1905"/>
            <wp:docPr id="31" name="图片 6" descr="房间里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房间里的摆设布局&#10;&#10;低可信度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8944" cy="2114208"/>
                    </a:xfrm>
                    <a:prstGeom prst="rect">
                      <a:avLst/>
                    </a:prstGeom>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7</w:t>
      </w:r>
      <w:r>
        <w:fldChar w:fldCharType="end"/>
      </w:r>
      <w:r>
        <w:rPr>
          <w:rFonts w:hint="eastAsia"/>
        </w:rPr>
        <w:t>古楼装修大件垃圾分拣中心实景图</w:t>
      </w:r>
    </w:p>
    <w:p>
      <w:pPr>
        <w:pStyle w:val="36"/>
      </w:pPr>
      <w:r>
        <w:drawing>
          <wp:inline distT="0" distB="0" distL="0" distR="0">
            <wp:extent cx="5514975" cy="4014470"/>
            <wp:effectExtent l="0" t="0" r="0" b="5080"/>
            <wp:docPr id="131196700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67000" name="图片 1" descr="地图&#10;&#10;描述已自动生成"/>
                    <pic:cNvPicPr>
                      <a:picLocks noChangeAspect="1"/>
                    </pic:cNvPicPr>
                  </pic:nvPicPr>
                  <pic:blipFill>
                    <a:blip r:embed="rId22"/>
                    <a:srcRect l="3967"/>
                    <a:stretch>
                      <a:fillRect/>
                    </a:stretch>
                  </pic:blipFill>
                  <pic:spPr>
                    <a:xfrm>
                      <a:off x="0" y="0"/>
                      <a:ext cx="5561146" cy="4048492"/>
                    </a:xfrm>
                    <a:prstGeom prst="rect">
                      <a:avLst/>
                    </a:prstGeom>
                    <a:ln>
                      <a:noFill/>
                    </a:ln>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r>
        <w:rPr>
          <w:rFonts w:hint="eastAsia"/>
        </w:rPr>
        <w:t>梅岙建筑垃圾分拣中心用地</w:t>
      </w:r>
    </w:p>
    <w:p>
      <w:pPr>
        <w:pStyle w:val="30"/>
      </w:pPr>
      <w:r>
        <w:rPr>
          <w:rFonts w:hint="eastAsia"/>
        </w:rPr>
        <w:t>企业性质处置设施情况</w:t>
      </w:r>
    </w:p>
    <w:p>
      <w:pPr>
        <w:pStyle w:val="5"/>
      </w:pPr>
      <w:r>
        <w:rPr>
          <w:rFonts w:hint="eastAsia"/>
        </w:rPr>
        <w:t>工程渣土资源化利用企业</w:t>
      </w:r>
    </w:p>
    <w:p>
      <w:pPr>
        <w:ind w:firstLine="640"/>
      </w:pPr>
      <w:r>
        <w:rPr>
          <w:rFonts w:hint="eastAsia"/>
        </w:rPr>
        <w:t>临海市现有工程渣土资源化利用企业</w:t>
      </w:r>
      <w:r>
        <w:rPr>
          <w:rFonts w:hint="eastAsia"/>
          <w:highlight w:val="yellow"/>
        </w:rPr>
        <w:t>7家</w:t>
      </w:r>
      <w:r>
        <w:rPr>
          <w:rFonts w:hint="eastAsia"/>
        </w:rPr>
        <w:t>，主要产品为页岩砖，年利用渣土约</w:t>
      </w:r>
      <w:r>
        <w:rPr>
          <w:rFonts w:hint="eastAsia"/>
          <w:highlight w:val="yellow"/>
        </w:rPr>
        <w:t>104万方</w:t>
      </w:r>
      <w:r>
        <w:rPr>
          <w:rFonts w:hint="eastAsia"/>
        </w:rPr>
        <w:t>。</w:t>
      </w:r>
    </w:p>
    <w:p>
      <w:pPr>
        <w:pStyle w:val="36"/>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8</w:t>
      </w:r>
      <w:r>
        <w:fldChar w:fldCharType="end"/>
      </w:r>
      <w:r>
        <w:t xml:space="preserve"> </w:t>
      </w:r>
      <w:r>
        <w:rPr>
          <w:rFonts w:hint="eastAsia"/>
        </w:rPr>
        <w:t>临海市工程渣土资源化利用企业汇总</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3116"/>
        <w:gridCol w:w="1842"/>
        <w:gridCol w:w="1599"/>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00" w:type="pct"/>
            <w:vAlign w:val="center"/>
          </w:tcPr>
          <w:p>
            <w:pPr>
              <w:pStyle w:val="38"/>
            </w:pPr>
            <w:r>
              <w:rPr>
                <w:rFonts w:hint="eastAsia"/>
              </w:rPr>
              <w:t>序号</w:t>
            </w:r>
          </w:p>
        </w:tc>
        <w:tc>
          <w:tcPr>
            <w:tcW w:w="1678" w:type="pct"/>
            <w:vAlign w:val="center"/>
          </w:tcPr>
          <w:p>
            <w:pPr>
              <w:pStyle w:val="38"/>
            </w:pPr>
            <w:r>
              <w:rPr>
                <w:rFonts w:hint="eastAsia"/>
              </w:rPr>
              <w:t>企业名称</w:t>
            </w:r>
          </w:p>
        </w:tc>
        <w:tc>
          <w:tcPr>
            <w:tcW w:w="992" w:type="pct"/>
            <w:vAlign w:val="center"/>
          </w:tcPr>
          <w:p>
            <w:pPr>
              <w:pStyle w:val="38"/>
            </w:pPr>
            <w:r>
              <w:rPr>
                <w:rFonts w:hint="eastAsia"/>
              </w:rPr>
              <w:t>处理方式</w:t>
            </w:r>
          </w:p>
        </w:tc>
        <w:tc>
          <w:tcPr>
            <w:tcW w:w="861" w:type="pct"/>
            <w:vAlign w:val="center"/>
          </w:tcPr>
          <w:p>
            <w:pPr>
              <w:pStyle w:val="38"/>
            </w:pPr>
            <w:r>
              <w:rPr>
                <w:rFonts w:hint="eastAsia"/>
              </w:rPr>
              <w:t>占地面积</w:t>
            </w:r>
          </w:p>
          <w:p>
            <w:pPr>
              <w:pStyle w:val="38"/>
            </w:pPr>
            <w:r>
              <w:rPr>
                <w:rFonts w:hint="eastAsia"/>
              </w:rPr>
              <w:t>（平方米）</w:t>
            </w:r>
          </w:p>
        </w:tc>
        <w:tc>
          <w:tcPr>
            <w:tcW w:w="1169" w:type="pct"/>
            <w:vAlign w:val="center"/>
          </w:tcPr>
          <w:p>
            <w:pPr>
              <w:pStyle w:val="38"/>
            </w:pPr>
            <w:r>
              <w:rPr>
                <w:rFonts w:hint="eastAsia"/>
              </w:rPr>
              <w:t>年设计处理能力（吨）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1</w:t>
            </w:r>
          </w:p>
        </w:tc>
        <w:tc>
          <w:tcPr>
            <w:tcW w:w="1678" w:type="pct"/>
            <w:vAlign w:val="center"/>
          </w:tcPr>
          <w:p>
            <w:pPr>
              <w:pStyle w:val="38"/>
            </w:pPr>
            <w:r>
              <w:rPr>
                <w:rFonts w:hint="eastAsia"/>
              </w:rPr>
              <w:t>临海市恒泰新型墙体材料有限公司</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30000</w:t>
            </w:r>
          </w:p>
        </w:tc>
        <w:tc>
          <w:tcPr>
            <w:tcW w:w="1169" w:type="pct"/>
            <w:vAlign w:val="center"/>
          </w:tcPr>
          <w:p>
            <w:pPr>
              <w:pStyle w:val="38"/>
            </w:pPr>
            <w:r>
              <w:rPr>
                <w:rFonts w:hint="eastAsia"/>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2</w:t>
            </w:r>
          </w:p>
        </w:tc>
        <w:tc>
          <w:tcPr>
            <w:tcW w:w="1678" w:type="pct"/>
            <w:vAlign w:val="center"/>
          </w:tcPr>
          <w:p>
            <w:pPr>
              <w:pStyle w:val="38"/>
            </w:pPr>
            <w:r>
              <w:rPr>
                <w:rFonts w:hint="eastAsia"/>
              </w:rPr>
              <w:t>临海市里洋建材厂</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26666</w:t>
            </w:r>
          </w:p>
        </w:tc>
        <w:tc>
          <w:tcPr>
            <w:tcW w:w="1169" w:type="pct"/>
            <w:vAlign w:val="center"/>
          </w:tcPr>
          <w:p>
            <w:pPr>
              <w:pStyle w:val="38"/>
            </w:pPr>
            <w:r>
              <w:rPr>
                <w:rFonts w:hint="eastAsia"/>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3</w:t>
            </w:r>
          </w:p>
        </w:tc>
        <w:tc>
          <w:tcPr>
            <w:tcW w:w="1678" w:type="pct"/>
            <w:vAlign w:val="center"/>
          </w:tcPr>
          <w:p>
            <w:pPr>
              <w:pStyle w:val="38"/>
            </w:pPr>
            <w:r>
              <w:rPr>
                <w:rFonts w:hint="eastAsia"/>
              </w:rPr>
              <w:t>临海市岙坑建材厂</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33333</w:t>
            </w:r>
          </w:p>
        </w:tc>
        <w:tc>
          <w:tcPr>
            <w:tcW w:w="1169" w:type="pct"/>
            <w:vAlign w:val="center"/>
          </w:tcPr>
          <w:p>
            <w:pPr>
              <w:pStyle w:val="38"/>
            </w:pPr>
            <w:r>
              <w:rPr>
                <w:rFonts w:hint="eastAsia"/>
              </w:rPr>
              <w:t>192000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4</w:t>
            </w:r>
          </w:p>
        </w:tc>
        <w:tc>
          <w:tcPr>
            <w:tcW w:w="1678" w:type="pct"/>
            <w:vAlign w:val="center"/>
          </w:tcPr>
          <w:p>
            <w:pPr>
              <w:pStyle w:val="38"/>
            </w:pPr>
            <w:r>
              <w:rPr>
                <w:rFonts w:hint="eastAsia"/>
              </w:rPr>
              <w:t>临海市邵家渡前湾轮窑厂</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33333</w:t>
            </w:r>
          </w:p>
        </w:tc>
        <w:tc>
          <w:tcPr>
            <w:tcW w:w="1169" w:type="pct"/>
            <w:vAlign w:val="center"/>
          </w:tcPr>
          <w:p>
            <w:pPr>
              <w:pStyle w:val="38"/>
            </w:pPr>
            <w:r>
              <w:rPr>
                <w:rFonts w:hint="eastAsia"/>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5</w:t>
            </w:r>
          </w:p>
        </w:tc>
        <w:tc>
          <w:tcPr>
            <w:tcW w:w="1678" w:type="pct"/>
            <w:vAlign w:val="center"/>
          </w:tcPr>
          <w:p>
            <w:pPr>
              <w:pStyle w:val="38"/>
            </w:pPr>
            <w:r>
              <w:rPr>
                <w:rFonts w:hint="eastAsia"/>
              </w:rPr>
              <w:t>临海市冠福建材有限公司</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36666</w:t>
            </w:r>
          </w:p>
        </w:tc>
        <w:tc>
          <w:tcPr>
            <w:tcW w:w="1169" w:type="pct"/>
            <w:vAlign w:val="center"/>
          </w:tcPr>
          <w:p>
            <w:pPr>
              <w:pStyle w:val="38"/>
            </w:pPr>
            <w:r>
              <w:rPr>
                <w:rFonts w:hint="eastAsia"/>
              </w:rPr>
              <w:t>176000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6</w:t>
            </w:r>
          </w:p>
        </w:tc>
        <w:tc>
          <w:tcPr>
            <w:tcW w:w="1678" w:type="pct"/>
            <w:vAlign w:val="center"/>
          </w:tcPr>
          <w:p>
            <w:pPr>
              <w:pStyle w:val="38"/>
            </w:pPr>
            <w:r>
              <w:rPr>
                <w:rFonts w:hint="eastAsia"/>
              </w:rPr>
              <w:t>临海市宇源页岩建材厂</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40000</w:t>
            </w:r>
          </w:p>
        </w:tc>
        <w:tc>
          <w:tcPr>
            <w:tcW w:w="1169" w:type="pct"/>
            <w:vAlign w:val="center"/>
          </w:tcPr>
          <w:p>
            <w:pPr>
              <w:pStyle w:val="38"/>
            </w:pPr>
            <w:r>
              <w:rPr>
                <w:rFonts w:hint="eastAsia"/>
              </w:rPr>
              <w:t>192000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rPr>
                <w:rFonts w:hint="eastAsia"/>
                <w:highlight w:val="yellow"/>
              </w:rPr>
            </w:pPr>
            <w:r>
              <w:rPr>
                <w:rFonts w:hint="eastAsia"/>
                <w:highlight w:val="yellow"/>
              </w:rPr>
              <w:t>7</w:t>
            </w:r>
          </w:p>
        </w:tc>
        <w:tc>
          <w:tcPr>
            <w:tcW w:w="1678" w:type="pct"/>
            <w:vAlign w:val="center"/>
          </w:tcPr>
          <w:p>
            <w:pPr>
              <w:pStyle w:val="38"/>
              <w:rPr>
                <w:rFonts w:hint="eastAsia"/>
                <w:highlight w:val="yellow"/>
              </w:rPr>
            </w:pPr>
            <w:r>
              <w:rPr>
                <w:rFonts w:hint="eastAsia"/>
                <w:highlight w:val="yellow"/>
              </w:rPr>
              <w:t>临海市红发建筑材料/</w:t>
            </w:r>
          </w:p>
        </w:tc>
        <w:tc>
          <w:tcPr>
            <w:tcW w:w="992" w:type="pct"/>
            <w:vAlign w:val="center"/>
          </w:tcPr>
          <w:p>
            <w:pPr>
              <w:pStyle w:val="38"/>
              <w:rPr>
                <w:rFonts w:hint="eastAsia"/>
                <w:highlight w:val="yellow"/>
              </w:rPr>
            </w:pPr>
            <w:r>
              <w:rPr>
                <w:rFonts w:hint="eastAsia"/>
                <w:highlight w:val="yellow"/>
              </w:rPr>
              <w:t>生产成品砖</w:t>
            </w:r>
          </w:p>
        </w:tc>
        <w:tc>
          <w:tcPr>
            <w:tcW w:w="861" w:type="pct"/>
            <w:vAlign w:val="center"/>
          </w:tcPr>
          <w:p>
            <w:pPr>
              <w:pStyle w:val="38"/>
              <w:rPr>
                <w:rFonts w:hint="eastAsia"/>
                <w:highlight w:val="yellow"/>
              </w:rPr>
            </w:pPr>
            <w:r>
              <w:rPr>
                <w:rFonts w:hint="eastAsia"/>
                <w:highlight w:val="yellow"/>
              </w:rPr>
              <w:t>33333</w:t>
            </w:r>
          </w:p>
        </w:tc>
        <w:tc>
          <w:tcPr>
            <w:tcW w:w="1169" w:type="pct"/>
            <w:vAlign w:val="center"/>
          </w:tcPr>
          <w:p>
            <w:pPr>
              <w:pStyle w:val="38"/>
              <w:rPr>
                <w:rFonts w:hint="eastAsia"/>
                <w:highlight w:val="yellow"/>
              </w:rPr>
            </w:pPr>
            <w:r>
              <w:rPr>
                <w:rFonts w:hint="eastAsia"/>
                <w:highlight w:val="yellow"/>
              </w:rPr>
              <w:t>60000</w:t>
            </w:r>
          </w:p>
        </w:tc>
      </w:tr>
    </w:tbl>
    <w:p>
      <w:pPr>
        <w:pStyle w:val="5"/>
      </w:pPr>
      <w:r>
        <w:rPr>
          <w:rFonts w:hint="eastAsia"/>
        </w:rPr>
        <w:t>工程泥浆固化企业</w:t>
      </w:r>
    </w:p>
    <w:p>
      <w:pPr>
        <w:ind w:firstLine="640"/>
      </w:pPr>
      <w:r>
        <w:rPr>
          <w:rFonts w:hint="eastAsia"/>
        </w:rPr>
        <w:t>临海市现有工程泥浆固化企业2家，日处理量约3</w:t>
      </w:r>
      <w:r>
        <w:t>000</w:t>
      </w:r>
      <w:r>
        <w:rPr>
          <w:rFonts w:hint="eastAsia"/>
        </w:rPr>
        <w:t>立方米。</w:t>
      </w:r>
    </w:p>
    <w:p>
      <w:pPr>
        <w:pStyle w:val="36"/>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9</w:t>
      </w:r>
      <w:r>
        <w:fldChar w:fldCharType="end"/>
      </w:r>
      <w:r>
        <w:t xml:space="preserve"> </w:t>
      </w:r>
      <w:r>
        <w:rPr>
          <w:rFonts w:hint="eastAsia"/>
        </w:rPr>
        <w:t>临海市泥浆固化企业一览表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3677"/>
        <w:gridCol w:w="1668"/>
        <w:gridCol w:w="1378"/>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blHeader/>
        </w:trPr>
        <w:tc>
          <w:tcPr>
            <w:tcW w:w="561" w:type="pct"/>
            <w:vAlign w:val="center"/>
          </w:tcPr>
          <w:p>
            <w:pPr>
              <w:pStyle w:val="38"/>
            </w:pPr>
            <w:r>
              <w:rPr>
                <w:rFonts w:hint="eastAsia"/>
              </w:rPr>
              <w:t>序号</w:t>
            </w:r>
          </w:p>
        </w:tc>
        <w:tc>
          <w:tcPr>
            <w:tcW w:w="1980" w:type="pct"/>
            <w:vAlign w:val="center"/>
          </w:tcPr>
          <w:p>
            <w:pPr>
              <w:pStyle w:val="38"/>
            </w:pPr>
            <w:r>
              <w:rPr>
                <w:rFonts w:hint="eastAsia"/>
              </w:rPr>
              <w:t>企业名称</w:t>
            </w:r>
          </w:p>
        </w:tc>
        <w:tc>
          <w:tcPr>
            <w:tcW w:w="898" w:type="pct"/>
            <w:vAlign w:val="center"/>
          </w:tcPr>
          <w:p>
            <w:pPr>
              <w:pStyle w:val="38"/>
            </w:pPr>
            <w:r>
              <w:rPr>
                <w:rFonts w:hint="eastAsia"/>
              </w:rPr>
              <w:t>日处理量（立方米）</w:t>
            </w:r>
          </w:p>
        </w:tc>
        <w:tc>
          <w:tcPr>
            <w:tcW w:w="742" w:type="pct"/>
            <w:vAlign w:val="center"/>
          </w:tcPr>
          <w:p>
            <w:pPr>
              <w:pStyle w:val="38"/>
            </w:pPr>
            <w:r>
              <w:rPr>
                <w:rFonts w:hint="eastAsia"/>
              </w:rPr>
              <w:t>面积（亩）</w:t>
            </w:r>
          </w:p>
        </w:tc>
        <w:tc>
          <w:tcPr>
            <w:tcW w:w="819" w:type="pct"/>
            <w:vAlign w:val="center"/>
          </w:tcPr>
          <w:p>
            <w:pPr>
              <w:pStyle w:val="38"/>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561" w:type="pct"/>
            <w:shd w:val="clear" w:color="auto" w:fill="auto"/>
            <w:vAlign w:val="center"/>
          </w:tcPr>
          <w:p>
            <w:pPr>
              <w:pStyle w:val="38"/>
            </w:pPr>
            <w:r>
              <w:rPr>
                <w:rFonts w:hint="eastAsia"/>
              </w:rPr>
              <w:t>1</w:t>
            </w:r>
          </w:p>
        </w:tc>
        <w:tc>
          <w:tcPr>
            <w:tcW w:w="1980" w:type="pct"/>
            <w:shd w:val="clear" w:color="auto" w:fill="auto"/>
            <w:vAlign w:val="center"/>
          </w:tcPr>
          <w:p>
            <w:pPr>
              <w:pStyle w:val="38"/>
            </w:pPr>
            <w:r>
              <w:rPr>
                <w:rFonts w:hint="eastAsia"/>
              </w:rPr>
              <w:t>浙江远新环保科技有限公司</w:t>
            </w:r>
          </w:p>
        </w:tc>
        <w:tc>
          <w:tcPr>
            <w:tcW w:w="898" w:type="pct"/>
            <w:vAlign w:val="center"/>
          </w:tcPr>
          <w:p>
            <w:pPr>
              <w:pStyle w:val="38"/>
            </w:pPr>
            <w:r>
              <w:t>2000</w:t>
            </w:r>
          </w:p>
        </w:tc>
        <w:tc>
          <w:tcPr>
            <w:tcW w:w="742" w:type="pct"/>
            <w:vAlign w:val="center"/>
          </w:tcPr>
          <w:p>
            <w:pPr>
              <w:pStyle w:val="38"/>
            </w:pPr>
            <w:r>
              <w:t>21</w:t>
            </w:r>
          </w:p>
        </w:tc>
        <w:tc>
          <w:tcPr>
            <w:tcW w:w="819" w:type="pct"/>
            <w:shd w:val="clear" w:color="auto" w:fill="auto"/>
            <w:noWrap/>
          </w:tcPr>
          <w:p>
            <w:pPr>
              <w:pStyle w:val="38"/>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561" w:type="pct"/>
            <w:shd w:val="clear" w:color="auto" w:fill="auto"/>
            <w:vAlign w:val="center"/>
          </w:tcPr>
          <w:p>
            <w:pPr>
              <w:pStyle w:val="38"/>
            </w:pPr>
            <w:r>
              <w:rPr>
                <w:rFonts w:hint="eastAsia"/>
              </w:rPr>
              <w:t>2</w:t>
            </w:r>
          </w:p>
        </w:tc>
        <w:tc>
          <w:tcPr>
            <w:tcW w:w="1980" w:type="pct"/>
            <w:shd w:val="clear" w:color="auto" w:fill="auto"/>
            <w:vAlign w:val="center"/>
          </w:tcPr>
          <w:p>
            <w:pPr>
              <w:pStyle w:val="38"/>
            </w:pPr>
            <w:r>
              <w:rPr>
                <w:rFonts w:hint="eastAsia"/>
              </w:rPr>
              <w:t>台州市启程建筑工程有限公司</w:t>
            </w:r>
          </w:p>
        </w:tc>
        <w:tc>
          <w:tcPr>
            <w:tcW w:w="898" w:type="pct"/>
            <w:vAlign w:val="center"/>
          </w:tcPr>
          <w:p>
            <w:pPr>
              <w:pStyle w:val="38"/>
            </w:pPr>
            <w:r>
              <w:t>1000</w:t>
            </w:r>
          </w:p>
        </w:tc>
        <w:tc>
          <w:tcPr>
            <w:tcW w:w="742" w:type="pct"/>
            <w:vAlign w:val="center"/>
          </w:tcPr>
          <w:p>
            <w:pPr>
              <w:pStyle w:val="38"/>
            </w:pPr>
            <w:r>
              <w:rPr>
                <w:rFonts w:hint="eastAsia"/>
              </w:rPr>
              <w:t>—</w:t>
            </w:r>
          </w:p>
        </w:tc>
        <w:tc>
          <w:tcPr>
            <w:tcW w:w="819" w:type="pct"/>
            <w:shd w:val="clear" w:color="auto" w:fill="auto"/>
            <w:noWrap/>
          </w:tcPr>
          <w:p>
            <w:pPr>
              <w:pStyle w:val="38"/>
            </w:pPr>
            <w:r>
              <w:t>进</w:t>
            </w:r>
            <w:r>
              <w:rPr>
                <w:rFonts w:hint="eastAsia"/>
              </w:rPr>
              <w:t>场</w:t>
            </w:r>
            <w:r>
              <w:t>固</w:t>
            </w:r>
            <w:r>
              <w:rPr>
                <w:rFonts w:hint="eastAsia"/>
              </w:rPr>
              <w:t>化</w:t>
            </w:r>
          </w:p>
        </w:tc>
      </w:tr>
    </w:tbl>
    <w:p>
      <w:pPr>
        <w:pStyle w:val="3"/>
      </w:pPr>
      <w:bookmarkStart w:id="16" w:name="_Toc168062382"/>
      <w:r>
        <w:rPr>
          <w:rFonts w:hint="eastAsia"/>
        </w:rPr>
        <w:t>建筑垃圾机制体制情况</w:t>
      </w:r>
      <w:bookmarkEnd w:id="16"/>
    </w:p>
    <w:p>
      <w:pPr>
        <w:pStyle w:val="30"/>
      </w:pPr>
      <w:r>
        <w:rPr>
          <w:rFonts w:hint="eastAsia"/>
        </w:rPr>
        <w:t>工程渣土管理体系</w:t>
      </w:r>
    </w:p>
    <w:p>
      <w:pPr>
        <w:ind w:firstLine="640"/>
        <w:rPr>
          <w:rFonts w:cs="Times New Roman"/>
          <w:szCs w:val="24"/>
        </w:rPr>
      </w:pPr>
      <w:r>
        <w:rPr>
          <w:rFonts w:hint="eastAsia"/>
        </w:rPr>
        <w:t>2</w:t>
      </w:r>
      <w:r>
        <w:t>023</w:t>
      </w:r>
      <w:r>
        <w:rPr>
          <w:rFonts w:hint="eastAsia"/>
        </w:rPr>
        <w:t>年2月，为进一步依法规范建筑渣土处置领域各环节行为，营造风清气正的行业专项治理环境，临海市根据《中共浙江省纪委办公厅印发&lt;关于开展全省工程渣土处置领域行业性腐败问题专项整治工作的实施方案&gt;的通知》《浙江省工程渣土处置领域专项治理工作方案》（浙建城管发〔2023〕8号）、《台州市建筑渣土专项治理工作实施方案》（台综执〔2023〕5号）、《台州市建筑垃圾处理方案示范文本》要求，制定了《临海市建筑渣土处置领域专项治理工作实施方案》（临政办函〔2023〕2号），在全市开展为期5个月的建筑渣土处置领域专项治理工作，持续推进建筑渣土处置领域专项治理工作，按照省、台州市部署安排，压茬推进动员部署、集中治理、总结善制等环节，聚焦建筑渣土生产、运输、消纳全过程各领域的突出问题，狠抓源头管控、群防群治、整体智治、执法打击和末端处置，有效提升临海渣土治理水平。与此同时，我市按照台州市</w:t>
      </w:r>
      <w:r>
        <w:rPr>
          <w:rFonts w:hint="eastAsia" w:cs="Times New Roman"/>
          <w:szCs w:val="24"/>
        </w:rPr>
        <w:t>《关于建立台州市工程渣土处置领域常态化监管机制的意见》等工作要求，扎实推进工程渣土常态长效治理，从专项治理延续至常态化治理。</w:t>
      </w:r>
    </w:p>
    <w:p>
      <w:pPr>
        <w:ind w:firstLine="640"/>
        <w:rPr>
          <w:rFonts w:cs="Times New Roman"/>
          <w:szCs w:val="24"/>
        </w:rPr>
      </w:pPr>
      <w:r>
        <w:rPr>
          <w:rFonts w:hint="eastAsia" w:cs="Times New Roman"/>
          <w:szCs w:val="24"/>
        </w:rPr>
        <w:t>2023年10月，我市按照《浙江省住房和城乡建设厅等8部门关于加快建立健全工程渣土处置领域常态化监管机制的意见》、《关于建立台州市工程渣土处置领域常态化监管机制的意见》等工作要求，出台了《临海市人民政府办公室关于印发&lt;关于建立临海市工程渣土处置领域常态化监管机制的意见&gt;的通知》，扎实推进工程渣土常态长效治理，从专项治理延续至常态化治理。</w:t>
      </w:r>
    </w:p>
    <w:p>
      <w:pPr>
        <w:ind w:firstLine="640"/>
      </w:pPr>
      <w:r>
        <w:rPr>
          <w:rFonts w:hint="eastAsia"/>
        </w:rPr>
        <w:t>一是落实主体责任。市委市政府主要领导高度重视整治工作，多次听取专题汇报，要求把建筑渣土处置领域专项治理工作纳入对镇街考核；市政府分管领导担任专班组长，召集会议部署专项治理工作，主持调度会、推进会等10余次，明确治理重点、细化工作举措、推进治理工作。在市委、市政府示范带领下，各镇街、市级相关部门积极跟进，主动作为，推动建筑渣土处置领域专项治理与中心工作同安排、同部署、同检查。二是扛牢监督责任。强化纪委监委统筹，市纪委市监委牵头抓总，对照省纪委办公厅《关于开展全省工程渣土处置领域行业性腐败问题专项整治工作的实施方案》及市委市政府关于专项治理工作的安排部署，细化工作措施，抓好责任分解，将任务、措施、要求等细化到操作层面；各派驻纪检监察组对照任务分工，明确工作职责，盯住巡察问题整改和专项审计等环节督办督导，梳理渣土处置领域问题线索，定期研判形势，推动专项治理走深走实。三是压实监管责任。加强联合监督，市综合执法局会同公安、自规、建设、交通运输、水利、农业农村、港航、生态环境等部门，对自查和监督检查发现的问题进行分类处置，业务性问题指导职能部门整改，违法问题线索及时移送、快查快处。开展全域排查，深入全市19个镇街和台州湾经济技术开发区，认真查找在未经核准处置、无证运输、跨区偷倒、乱倒乱堆方面存在的问题，及时纠正职能部门不审批不管理、轻处罚不监督等问题。</w:t>
      </w:r>
    </w:p>
    <w:p>
      <w:pPr>
        <w:pStyle w:val="30"/>
      </w:pPr>
      <w:r>
        <w:rPr>
          <w:rFonts w:hint="eastAsia"/>
        </w:rPr>
        <w:t>建筑垃圾分类处置</w:t>
      </w:r>
    </w:p>
    <w:p>
      <w:pPr>
        <w:ind w:firstLine="640"/>
      </w:pPr>
      <w:r>
        <w:rPr>
          <w:rFonts w:hint="eastAsia"/>
        </w:rPr>
        <w:t>目前，临海市已经基本建立工程渣土、废弃泥浆、装修垃圾、拆除垃圾、工程垃圾等建筑垃圾分类处置机制。其中，渣土通过消纳场消纳、综合利用调运、资源化利用企业再利用等方式处置；泥浆由</w:t>
      </w:r>
      <w:r>
        <w:rPr>
          <w:rFonts w:hint="eastAsia"/>
          <w:highlight w:val="yellow"/>
        </w:rPr>
        <w:t>两家</w:t>
      </w:r>
      <w:r>
        <w:rPr>
          <w:rFonts w:hint="eastAsia"/>
        </w:rPr>
        <w:t>泥浆固化中心处置；装修垃圾、拆迁垃圾、工程垃圾由古楼装修大件垃圾分拣中心分拣再利用。</w:t>
      </w:r>
    </w:p>
    <w:p>
      <w:pPr>
        <w:ind w:firstLine="640"/>
      </w:pPr>
      <w:r>
        <w:rPr>
          <w:rFonts w:hint="eastAsia"/>
        </w:rPr>
        <w:t>在源头管控上，临海市工程施工单位应当依法编制建筑垃圾处理方案，城区每个小区设立装修垃圾临时堆放点，物业企业必须与核准的装修垃圾运输公司签订清运协议，及时清运小区中转点的装修垃圾。</w:t>
      </w:r>
    </w:p>
    <w:p>
      <w:pPr>
        <w:pStyle w:val="36"/>
      </w:pPr>
      <w:r>
        <w:drawing>
          <wp:inline distT="0" distB="0" distL="0" distR="0">
            <wp:extent cx="2777490" cy="3946525"/>
            <wp:effectExtent l="19050" t="19050" r="22860" b="15875"/>
            <wp:docPr id="711125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25639" name="图片 1"/>
                    <pic:cNvPicPr>
                      <a:picLocks noChangeAspect="1"/>
                    </pic:cNvPicPr>
                  </pic:nvPicPr>
                  <pic:blipFill>
                    <a:blip r:embed="rId23"/>
                    <a:stretch>
                      <a:fillRect/>
                    </a:stretch>
                  </pic:blipFill>
                  <pic:spPr>
                    <a:xfrm>
                      <a:off x="0" y="0"/>
                      <a:ext cx="2786205" cy="3958816"/>
                    </a:xfrm>
                    <a:prstGeom prst="rect">
                      <a:avLst/>
                    </a:prstGeom>
                    <a:ln>
                      <a:solidFill>
                        <a:schemeClr val="bg1">
                          <a:lumMod val="85000"/>
                        </a:schemeClr>
                      </a:solidFill>
                    </a:ln>
                  </pic:spPr>
                </pic:pic>
              </a:graphicData>
            </a:graphic>
          </wp:inline>
        </w:drawing>
      </w:r>
      <w:r>
        <w:rPr>
          <w:rFonts w:hint="eastAsia"/>
        </w:rPr>
        <w:t xml:space="preserve"> </w:t>
      </w:r>
      <w:r>
        <w:drawing>
          <wp:inline distT="0" distB="0" distL="0" distR="0">
            <wp:extent cx="2800350" cy="3967480"/>
            <wp:effectExtent l="19050" t="19050" r="19050" b="13970"/>
            <wp:docPr id="2101052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52512" name="图片 1"/>
                    <pic:cNvPicPr>
                      <a:picLocks noChangeAspect="1"/>
                    </pic:cNvPicPr>
                  </pic:nvPicPr>
                  <pic:blipFill>
                    <a:blip r:embed="rId24"/>
                    <a:stretch>
                      <a:fillRect/>
                    </a:stretch>
                  </pic:blipFill>
                  <pic:spPr>
                    <a:xfrm>
                      <a:off x="0" y="0"/>
                      <a:ext cx="2812101" cy="3984230"/>
                    </a:xfrm>
                    <a:prstGeom prst="rect">
                      <a:avLst/>
                    </a:prstGeom>
                    <a:ln>
                      <a:solidFill>
                        <a:schemeClr val="bg1">
                          <a:lumMod val="85000"/>
                        </a:schemeClr>
                      </a:solidFill>
                    </a:ln>
                  </pic:spPr>
                </pic:pic>
              </a:graphicData>
            </a:graphic>
          </wp:inline>
        </w:drawing>
      </w:r>
    </w:p>
    <w:p>
      <w:pPr>
        <w:pStyle w:val="36"/>
      </w:pPr>
      <w:r>
        <w:drawing>
          <wp:inline distT="0" distB="0" distL="0" distR="0">
            <wp:extent cx="2820035" cy="3930015"/>
            <wp:effectExtent l="19050" t="19050" r="18415" b="13335"/>
            <wp:docPr id="1639045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45022" name="图片 1"/>
                    <pic:cNvPicPr>
                      <a:picLocks noChangeAspect="1"/>
                    </pic:cNvPicPr>
                  </pic:nvPicPr>
                  <pic:blipFill>
                    <a:blip r:embed="rId25"/>
                    <a:stretch>
                      <a:fillRect/>
                    </a:stretch>
                  </pic:blipFill>
                  <pic:spPr>
                    <a:xfrm>
                      <a:off x="0" y="0"/>
                      <a:ext cx="2827239" cy="3940087"/>
                    </a:xfrm>
                    <a:prstGeom prst="rect">
                      <a:avLst/>
                    </a:prstGeom>
                    <a:ln>
                      <a:solidFill>
                        <a:schemeClr val="bg1">
                          <a:lumMod val="85000"/>
                        </a:schemeClr>
                      </a:solidFill>
                    </a:ln>
                  </pic:spPr>
                </pic:pic>
              </a:graphicData>
            </a:graphic>
          </wp:inline>
        </w:drawing>
      </w:r>
      <w:r>
        <w:t xml:space="preserve"> </w:t>
      </w:r>
      <w:r>
        <w:drawing>
          <wp:inline distT="0" distB="0" distL="0" distR="0">
            <wp:extent cx="2758440" cy="3931920"/>
            <wp:effectExtent l="19050" t="19050" r="22860" b="11430"/>
            <wp:docPr id="1816378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78768" name="图片 1"/>
                    <pic:cNvPicPr>
                      <a:picLocks noChangeAspect="1"/>
                    </pic:cNvPicPr>
                  </pic:nvPicPr>
                  <pic:blipFill>
                    <a:blip r:embed="rId26"/>
                    <a:stretch>
                      <a:fillRect/>
                    </a:stretch>
                  </pic:blipFill>
                  <pic:spPr>
                    <a:xfrm>
                      <a:off x="0" y="0"/>
                      <a:ext cx="2768017" cy="3945163"/>
                    </a:xfrm>
                    <a:prstGeom prst="rect">
                      <a:avLst/>
                    </a:prstGeom>
                    <a:ln>
                      <a:solidFill>
                        <a:schemeClr val="bg1">
                          <a:lumMod val="85000"/>
                        </a:schemeClr>
                      </a:solidFill>
                    </a:ln>
                  </pic:spPr>
                </pic:pic>
              </a:graphicData>
            </a:graphic>
          </wp:inline>
        </w:drawing>
      </w:r>
    </w:p>
    <w:p>
      <w:pPr>
        <w:pStyle w:val="36"/>
      </w:pPr>
      <w:r>
        <w:rPr>
          <w:rFonts w:hint="eastAsia"/>
        </w:rPr>
        <w:t>图</w:t>
      </w:r>
      <w:r>
        <w:t xml:space="preserve"> </w:t>
      </w:r>
      <w:r>
        <w:fldChar w:fldCharType="begin"/>
      </w:r>
      <w:r>
        <w:instrText xml:space="preserve"> STYLEREF 1 \s </w:instrText>
      </w:r>
      <w:r>
        <w:fldChar w:fldCharType="separate"/>
      </w:r>
      <w:r>
        <w:t>2</w:t>
      </w:r>
      <w:r>
        <w:fldChar w:fldCharType="end"/>
      </w:r>
      <w:r>
        <w:noBreakHyphen/>
      </w:r>
      <w:r>
        <w:fldChar w:fldCharType="begin"/>
      </w:r>
      <w:r>
        <w:instrText xml:space="preserve"> SEQ </w:instrText>
      </w:r>
      <w:r>
        <w:rPr>
          <w:rFonts w:hint="eastAsia"/>
        </w:rPr>
        <w:instrText xml:space="preserve">图</w:instrText>
      </w:r>
      <w:r>
        <w:instrText xml:space="preserve"> \* ARABIC \s 1 </w:instrText>
      </w:r>
      <w:r>
        <w:fldChar w:fldCharType="separate"/>
      </w:r>
      <w:r>
        <w:t>9</w:t>
      </w:r>
      <w:r>
        <w:fldChar w:fldCharType="end"/>
      </w:r>
      <w:r>
        <w:t xml:space="preserve"> </w:t>
      </w:r>
      <w:r>
        <w:rPr>
          <w:rFonts w:hint="eastAsia"/>
        </w:rPr>
        <w:t>浙江省工程项目建筑垃圾处理方案示范文本（节选）</w:t>
      </w:r>
    </w:p>
    <w:p>
      <w:pPr>
        <w:pStyle w:val="36"/>
      </w:pPr>
      <w:r>
        <w:rPr>
          <w:rFonts w:hint="eastAsia"/>
        </w:rPr>
        <w:drawing>
          <wp:inline distT="0" distB="0" distL="114300" distR="114300">
            <wp:extent cx="1785620" cy="2380615"/>
            <wp:effectExtent l="0" t="0" r="5080" b="635"/>
            <wp:docPr id="324620958" name="图片 3246209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20958" name="图片 324620958" descr="1"/>
                    <pic:cNvPicPr>
                      <a:picLocks noChangeAspect="1"/>
                    </pic:cNvPicPr>
                  </pic:nvPicPr>
                  <pic:blipFill>
                    <a:blip r:embed="rId27"/>
                    <a:stretch>
                      <a:fillRect/>
                    </a:stretch>
                  </pic:blipFill>
                  <pic:spPr>
                    <a:xfrm>
                      <a:off x="0" y="0"/>
                      <a:ext cx="1816599" cy="2422061"/>
                    </a:xfrm>
                    <a:prstGeom prst="rect">
                      <a:avLst/>
                    </a:prstGeom>
                  </pic:spPr>
                </pic:pic>
              </a:graphicData>
            </a:graphic>
          </wp:inline>
        </w:drawing>
      </w:r>
      <w:r>
        <w:rPr>
          <w:rFonts w:hint="eastAsia"/>
        </w:rPr>
        <w:t xml:space="preserve"> </w:t>
      </w:r>
      <w:r>
        <w:rPr>
          <w:rFonts w:hint="eastAsia"/>
        </w:rPr>
        <w:drawing>
          <wp:inline distT="0" distB="0" distL="114300" distR="114300">
            <wp:extent cx="1788795" cy="2384425"/>
            <wp:effectExtent l="0" t="0" r="1905" b="0"/>
            <wp:docPr id="573643055" name="图片 5736430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43055" name="图片 573643055" descr="3"/>
                    <pic:cNvPicPr>
                      <a:picLocks noChangeAspect="1"/>
                    </pic:cNvPicPr>
                  </pic:nvPicPr>
                  <pic:blipFill>
                    <a:blip r:embed="rId28"/>
                    <a:stretch>
                      <a:fillRect/>
                    </a:stretch>
                  </pic:blipFill>
                  <pic:spPr>
                    <a:xfrm>
                      <a:off x="0" y="0"/>
                      <a:ext cx="1810672" cy="2414155"/>
                    </a:xfrm>
                    <a:prstGeom prst="rect">
                      <a:avLst/>
                    </a:prstGeom>
                  </pic:spPr>
                </pic:pic>
              </a:graphicData>
            </a:graphic>
          </wp:inline>
        </w:drawing>
      </w:r>
      <w:r>
        <w:rPr>
          <w:rFonts w:hint="eastAsia"/>
        </w:rPr>
        <w:t xml:space="preserve"> </w:t>
      </w:r>
      <w:r>
        <w:rPr>
          <w:rFonts w:hint="eastAsia"/>
        </w:rPr>
        <w:drawing>
          <wp:inline distT="0" distB="0" distL="114300" distR="114300">
            <wp:extent cx="1781175" cy="2374265"/>
            <wp:effectExtent l="0" t="0" r="0" b="6985"/>
            <wp:docPr id="759086309" name="图片 75908630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6309" name="图片 759086309" descr="5"/>
                    <pic:cNvPicPr>
                      <a:picLocks noChangeAspect="1"/>
                    </pic:cNvPicPr>
                  </pic:nvPicPr>
                  <pic:blipFill>
                    <a:blip r:embed="rId29"/>
                    <a:stretch>
                      <a:fillRect/>
                    </a:stretch>
                  </pic:blipFill>
                  <pic:spPr>
                    <a:xfrm>
                      <a:off x="0" y="0"/>
                      <a:ext cx="1801117" cy="2401418"/>
                    </a:xfrm>
                    <a:prstGeom prst="rect">
                      <a:avLst/>
                    </a:prstGeom>
                  </pic:spPr>
                </pic:pic>
              </a:graphicData>
            </a:graphic>
          </wp:inline>
        </w:drawing>
      </w:r>
    </w:p>
    <w:p>
      <w:pPr>
        <w:pStyle w:val="36"/>
        <w:ind w:firstLine="640"/>
      </w:pPr>
      <w:r>
        <w:rPr>
          <w:rFonts w:hint="eastAsia"/>
        </w:rPr>
        <w:t>图</w:t>
      </w:r>
      <w:r>
        <w:t xml:space="preserve"> </w:t>
      </w:r>
      <w:r>
        <w:fldChar w:fldCharType="begin"/>
      </w:r>
      <w:r>
        <w:instrText xml:space="preserve"> STYLEREF 1 \s </w:instrText>
      </w:r>
      <w:r>
        <w:fldChar w:fldCharType="separate"/>
      </w:r>
      <w:r>
        <w:t>2</w:t>
      </w:r>
      <w:r>
        <w:fldChar w:fldCharType="end"/>
      </w:r>
      <w:r>
        <w:noBreakHyphen/>
      </w:r>
      <w:r>
        <w:fldChar w:fldCharType="begin"/>
      </w:r>
      <w:r>
        <w:instrText xml:space="preserve"> SEQ </w:instrText>
      </w:r>
      <w:r>
        <w:rPr>
          <w:rFonts w:hint="eastAsia"/>
        </w:rPr>
        <w:instrText xml:space="preserve">图</w:instrText>
      </w:r>
      <w:r>
        <w:instrText xml:space="preserve"> \* ARABIC \s 1 </w:instrText>
      </w:r>
      <w:r>
        <w:fldChar w:fldCharType="separate"/>
      </w:r>
      <w:r>
        <w:t>10</w:t>
      </w:r>
      <w:r>
        <w:fldChar w:fldCharType="end"/>
      </w:r>
      <w:r>
        <w:t xml:space="preserve"> </w:t>
      </w:r>
      <w:r>
        <w:rPr>
          <w:rFonts w:hint="eastAsia"/>
        </w:rPr>
        <w:t>临海市工程施工单位建筑垃圾处理方案（部分）</w:t>
      </w:r>
    </w:p>
    <w:p>
      <w:pPr>
        <w:pStyle w:val="36"/>
      </w:pPr>
      <w:r>
        <w:rPr>
          <w:rFonts w:hint="eastAsia"/>
        </w:rPr>
        <w:drawing>
          <wp:inline distT="0" distB="0" distL="114300" distR="114300">
            <wp:extent cx="1945005" cy="2593340"/>
            <wp:effectExtent l="0" t="0" r="0" b="0"/>
            <wp:docPr id="12" name="图片 12" descr="添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添益1"/>
                    <pic:cNvPicPr>
                      <a:picLocks noChangeAspect="1"/>
                    </pic:cNvPicPr>
                  </pic:nvPicPr>
                  <pic:blipFill>
                    <a:blip r:embed="rId30"/>
                    <a:stretch>
                      <a:fillRect/>
                    </a:stretch>
                  </pic:blipFill>
                  <pic:spPr>
                    <a:xfrm>
                      <a:off x="0" y="0"/>
                      <a:ext cx="1961274" cy="2614953"/>
                    </a:xfrm>
                    <a:prstGeom prst="rect">
                      <a:avLst/>
                    </a:prstGeom>
                  </pic:spPr>
                </pic:pic>
              </a:graphicData>
            </a:graphic>
          </wp:inline>
        </w:drawing>
      </w:r>
      <w:r>
        <w:rPr>
          <w:rFonts w:hint="eastAsia"/>
        </w:rPr>
        <w:t xml:space="preserve"> </w:t>
      </w:r>
      <w:r>
        <w:rPr>
          <w:rFonts w:hint="eastAsia"/>
        </w:rPr>
        <w:drawing>
          <wp:inline distT="0" distB="0" distL="114300" distR="114300">
            <wp:extent cx="1860550" cy="2581275"/>
            <wp:effectExtent l="0" t="0" r="6350" b="9525"/>
            <wp:docPr id="15" name="图片 15" descr="国宾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国宾台1"/>
                    <pic:cNvPicPr>
                      <a:picLocks noChangeAspect="1"/>
                    </pic:cNvPicPr>
                  </pic:nvPicPr>
                  <pic:blipFill>
                    <a:blip r:embed="rId31"/>
                    <a:srcRect t="10338" b="11609"/>
                    <a:stretch>
                      <a:fillRect/>
                    </a:stretch>
                  </pic:blipFill>
                  <pic:spPr>
                    <a:xfrm>
                      <a:off x="0" y="0"/>
                      <a:ext cx="1883758" cy="2613823"/>
                    </a:xfrm>
                    <a:prstGeom prst="rect">
                      <a:avLst/>
                    </a:prstGeom>
                    <a:ln>
                      <a:noFill/>
                    </a:ln>
                  </pic:spPr>
                </pic:pic>
              </a:graphicData>
            </a:graphic>
          </wp:inline>
        </w:drawing>
      </w:r>
      <w:r>
        <w:t xml:space="preserve"> </w:t>
      </w:r>
      <w:r>
        <w:rPr>
          <w:rFonts w:hint="eastAsia"/>
        </w:rPr>
        <w:drawing>
          <wp:inline distT="0" distB="0" distL="114300" distR="114300">
            <wp:extent cx="1743075" cy="2584450"/>
            <wp:effectExtent l="0" t="0" r="9525" b="6350"/>
            <wp:docPr id="19" name="图片 19" descr="伟星物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伟星物业1"/>
                    <pic:cNvPicPr>
                      <a:picLocks noChangeAspect="1"/>
                    </pic:cNvPicPr>
                  </pic:nvPicPr>
                  <pic:blipFill>
                    <a:blip r:embed="rId32"/>
                    <a:srcRect t="6135" b="10467"/>
                    <a:stretch>
                      <a:fillRect/>
                    </a:stretch>
                  </pic:blipFill>
                  <pic:spPr>
                    <a:xfrm>
                      <a:off x="0" y="0"/>
                      <a:ext cx="1770807" cy="2625382"/>
                    </a:xfrm>
                    <a:prstGeom prst="rect">
                      <a:avLst/>
                    </a:prstGeom>
                    <a:ln>
                      <a:noFill/>
                    </a:ln>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11</w:t>
      </w:r>
      <w:r>
        <w:fldChar w:fldCharType="end"/>
      </w:r>
      <w:r>
        <w:t xml:space="preserve"> </w:t>
      </w:r>
      <w:r>
        <w:rPr>
          <w:rFonts w:hint="eastAsia"/>
        </w:rPr>
        <w:t>临海市物业小区建筑垃圾清运合同（部分）</w:t>
      </w:r>
    </w:p>
    <w:p>
      <w:pPr>
        <w:pStyle w:val="36"/>
      </w:pPr>
      <w:r>
        <w:drawing>
          <wp:inline distT="0" distB="0" distL="0" distR="0">
            <wp:extent cx="5759450" cy="2176145"/>
            <wp:effectExtent l="0" t="0" r="0" b="0"/>
            <wp:docPr id="1839719786" name="图片 183971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19786" name="图片 1839719786"/>
                    <pic:cNvPicPr>
                      <a:picLocks noChangeAspect="1"/>
                    </pic:cNvPicPr>
                  </pic:nvPicPr>
                  <pic:blipFill>
                    <a:blip r:embed="rId33"/>
                    <a:stretch>
                      <a:fillRect/>
                    </a:stretch>
                  </pic:blipFill>
                  <pic:spPr>
                    <a:xfrm>
                      <a:off x="0" y="0"/>
                      <a:ext cx="5759450" cy="2176145"/>
                    </a:xfrm>
                    <a:prstGeom prst="rect">
                      <a:avLst/>
                    </a:prstGeom>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12</w:t>
      </w:r>
      <w:r>
        <w:fldChar w:fldCharType="end"/>
      </w:r>
      <w:r>
        <w:t xml:space="preserve"> </w:t>
      </w:r>
      <w:r>
        <w:rPr>
          <w:rFonts w:hint="eastAsia"/>
        </w:rPr>
        <w:t>临海市小区装修垃圾规范收集点（部分）</w:t>
      </w:r>
    </w:p>
    <w:p>
      <w:pPr>
        <w:pStyle w:val="3"/>
      </w:pPr>
      <w:bookmarkStart w:id="17" w:name="_Toc168062383"/>
      <w:r>
        <w:rPr>
          <w:rFonts w:hint="eastAsia"/>
        </w:rPr>
        <w:t>建筑垃圾智能监管情况</w:t>
      </w:r>
      <w:bookmarkEnd w:id="17"/>
    </w:p>
    <w:p>
      <w:pPr>
        <w:pStyle w:val="30"/>
      </w:pPr>
      <w:r>
        <w:rPr>
          <w:rFonts w:hint="eastAsia"/>
        </w:rPr>
        <w:t>智能监管平台</w:t>
      </w:r>
    </w:p>
    <w:p>
      <w:pPr>
        <w:ind w:firstLine="640"/>
      </w:pPr>
      <w:r>
        <w:rPr>
          <w:rFonts w:hint="eastAsia"/>
        </w:rPr>
        <w:t>临海市已运用多个建筑垃圾智能监管平台，日常用于监控管理渣土消纳场、建设工地、运输企业停车场、泥浆固化中心以及运输车辆等。根据上级要求，临海市深入分析监控设备安装工作中的短板和难点，落实建筑工地施工单位、运输企业、建筑垃圾消纳公司等单位的监控设备安装工作，</w:t>
      </w:r>
      <w:bookmarkStart w:id="18" w:name="_Hlk146636925"/>
      <w:r>
        <w:rPr>
          <w:rFonts w:hint="eastAsia"/>
        </w:rPr>
        <w:t>监控设备在渣土外运工地、消纳企业、运输企业停车场的安装率</w:t>
      </w:r>
      <w:bookmarkEnd w:id="18"/>
      <w:r>
        <w:rPr>
          <w:rFonts w:hint="eastAsia"/>
        </w:rPr>
        <w:t>均达到100%，基础信息录入率达到100%，渣土车G</w:t>
      </w:r>
      <w:r>
        <w:t>PS</w:t>
      </w:r>
      <w:r>
        <w:rPr>
          <w:rFonts w:hint="eastAsia"/>
        </w:rPr>
        <w:t>设备安装率达到1</w:t>
      </w:r>
      <w:r>
        <w:t>00%</w:t>
      </w:r>
      <w:r>
        <w:rPr>
          <w:rFonts w:hint="eastAsia"/>
        </w:rPr>
        <w:t>。此外，临海市建筑垃圾视频监控也已接入建筑垃圾监管系统。</w:t>
      </w:r>
    </w:p>
    <w:p>
      <w:pPr>
        <w:pStyle w:val="36"/>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10</w:t>
      </w:r>
      <w:r>
        <w:fldChar w:fldCharType="end"/>
      </w:r>
      <w:r>
        <w:t xml:space="preserve"> </w:t>
      </w:r>
      <w:r>
        <w:rPr>
          <w:rFonts w:hint="eastAsia"/>
        </w:rPr>
        <w:t>临海市建筑垃圾智能监管设备安装情况统计表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1653"/>
        <w:gridCol w:w="1922"/>
        <w:gridCol w:w="1944"/>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pPr>
              <w:pStyle w:val="38"/>
            </w:pPr>
            <w:r>
              <w:rPr>
                <w:rFonts w:hint="eastAsia"/>
              </w:rPr>
              <w:t>项目</w:t>
            </w:r>
          </w:p>
        </w:tc>
        <w:tc>
          <w:tcPr>
            <w:tcW w:w="890" w:type="pct"/>
            <w:vAlign w:val="center"/>
          </w:tcPr>
          <w:p>
            <w:pPr>
              <w:pStyle w:val="38"/>
            </w:pPr>
            <w:r>
              <w:rPr>
                <w:rFonts w:hint="eastAsia"/>
              </w:rPr>
              <w:t>录入数量</w:t>
            </w:r>
          </w:p>
        </w:tc>
        <w:tc>
          <w:tcPr>
            <w:tcW w:w="1035" w:type="pct"/>
            <w:vAlign w:val="center"/>
          </w:tcPr>
          <w:p>
            <w:pPr>
              <w:pStyle w:val="38"/>
            </w:pPr>
            <w:r>
              <w:rPr>
                <w:rFonts w:hint="eastAsia"/>
              </w:rPr>
              <w:t>监控接入数量</w:t>
            </w:r>
          </w:p>
        </w:tc>
        <w:tc>
          <w:tcPr>
            <w:tcW w:w="1047" w:type="pct"/>
            <w:vAlign w:val="center"/>
          </w:tcPr>
          <w:p>
            <w:pPr>
              <w:pStyle w:val="38"/>
            </w:pPr>
            <w:r>
              <w:rPr>
                <w:rFonts w:hint="eastAsia"/>
              </w:rPr>
              <w:t>车牌识别系统/智能主机接入数</w:t>
            </w:r>
          </w:p>
        </w:tc>
        <w:tc>
          <w:tcPr>
            <w:tcW w:w="935" w:type="pct"/>
            <w:vAlign w:val="center"/>
          </w:tcPr>
          <w:p>
            <w:pPr>
              <w:pStyle w:val="38"/>
            </w:pPr>
            <w:r>
              <w:rPr>
                <w:rFonts w:hint="eastAsia"/>
              </w:rPr>
              <w:t>安装率（%）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pPr>
              <w:pStyle w:val="38"/>
            </w:pPr>
            <w:r>
              <w:rPr>
                <w:rFonts w:hint="eastAsia"/>
              </w:rPr>
              <w:t>渣土外运工地</w:t>
            </w:r>
          </w:p>
        </w:tc>
        <w:tc>
          <w:tcPr>
            <w:tcW w:w="890" w:type="pct"/>
            <w:vAlign w:val="center"/>
          </w:tcPr>
          <w:p>
            <w:pPr>
              <w:pStyle w:val="38"/>
            </w:pPr>
            <w:r>
              <w:t>16</w:t>
            </w:r>
          </w:p>
        </w:tc>
        <w:tc>
          <w:tcPr>
            <w:tcW w:w="1035" w:type="pct"/>
            <w:vAlign w:val="center"/>
          </w:tcPr>
          <w:p>
            <w:pPr>
              <w:pStyle w:val="38"/>
            </w:pPr>
            <w:r>
              <w:t>16</w:t>
            </w:r>
          </w:p>
        </w:tc>
        <w:tc>
          <w:tcPr>
            <w:tcW w:w="1047" w:type="pct"/>
            <w:vAlign w:val="center"/>
          </w:tcPr>
          <w:p>
            <w:pPr>
              <w:pStyle w:val="38"/>
            </w:pPr>
            <w:r>
              <w:t>16</w:t>
            </w:r>
          </w:p>
        </w:tc>
        <w:tc>
          <w:tcPr>
            <w:tcW w:w="935" w:type="pct"/>
            <w:vAlign w:val="center"/>
          </w:tcPr>
          <w:p>
            <w:pPr>
              <w:pStyle w:val="38"/>
            </w:pPr>
            <w:r>
              <w:rPr>
                <w:rFonts w:hint="eastAsia"/>
              </w:rPr>
              <w:t>1</w:t>
            </w:r>
            <w: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pPr>
              <w:pStyle w:val="38"/>
            </w:pPr>
            <w:r>
              <w:rPr>
                <w:rFonts w:hint="eastAsia"/>
              </w:rPr>
              <w:t>消纳单位</w:t>
            </w:r>
          </w:p>
        </w:tc>
        <w:tc>
          <w:tcPr>
            <w:tcW w:w="890" w:type="pct"/>
            <w:vAlign w:val="center"/>
          </w:tcPr>
          <w:p>
            <w:pPr>
              <w:pStyle w:val="38"/>
            </w:pPr>
            <w:r>
              <w:rPr>
                <w:rFonts w:hint="eastAsia"/>
              </w:rPr>
              <w:t>4</w:t>
            </w:r>
          </w:p>
        </w:tc>
        <w:tc>
          <w:tcPr>
            <w:tcW w:w="1035" w:type="pct"/>
            <w:vAlign w:val="center"/>
          </w:tcPr>
          <w:p>
            <w:pPr>
              <w:pStyle w:val="38"/>
            </w:pPr>
            <w:r>
              <w:rPr>
                <w:rFonts w:hint="eastAsia"/>
              </w:rPr>
              <w:t>4</w:t>
            </w:r>
          </w:p>
        </w:tc>
        <w:tc>
          <w:tcPr>
            <w:tcW w:w="1047" w:type="pct"/>
            <w:vAlign w:val="center"/>
          </w:tcPr>
          <w:p>
            <w:pPr>
              <w:pStyle w:val="38"/>
            </w:pPr>
            <w:r>
              <w:rPr>
                <w:rFonts w:hint="eastAsia"/>
              </w:rPr>
              <w:t>4</w:t>
            </w:r>
          </w:p>
        </w:tc>
        <w:tc>
          <w:tcPr>
            <w:tcW w:w="935" w:type="pct"/>
            <w:vAlign w:val="center"/>
          </w:tcPr>
          <w:p>
            <w:pPr>
              <w:pStyle w:val="38"/>
            </w:pPr>
            <w:r>
              <w:rPr>
                <w:rFonts w:hint="eastAsia"/>
              </w:rPr>
              <w:t>1</w:t>
            </w:r>
            <w: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pPr>
              <w:pStyle w:val="38"/>
            </w:pPr>
            <w:r>
              <w:rPr>
                <w:rFonts w:hint="eastAsia"/>
              </w:rPr>
              <w:t>运输企业停车场</w:t>
            </w:r>
          </w:p>
        </w:tc>
        <w:tc>
          <w:tcPr>
            <w:tcW w:w="890" w:type="pct"/>
            <w:vAlign w:val="center"/>
          </w:tcPr>
          <w:p>
            <w:pPr>
              <w:pStyle w:val="38"/>
            </w:pPr>
            <w:r>
              <w:rPr>
                <w:rFonts w:hint="eastAsia"/>
              </w:rPr>
              <w:t>1</w:t>
            </w:r>
            <w:r>
              <w:t>3</w:t>
            </w:r>
          </w:p>
        </w:tc>
        <w:tc>
          <w:tcPr>
            <w:tcW w:w="1035" w:type="pct"/>
            <w:vAlign w:val="center"/>
          </w:tcPr>
          <w:p>
            <w:pPr>
              <w:pStyle w:val="38"/>
            </w:pPr>
            <w:r>
              <w:rPr>
                <w:rFonts w:hint="eastAsia"/>
              </w:rPr>
              <w:t>1</w:t>
            </w:r>
            <w:r>
              <w:t>3</w:t>
            </w:r>
          </w:p>
        </w:tc>
        <w:tc>
          <w:tcPr>
            <w:tcW w:w="1047" w:type="pct"/>
            <w:vAlign w:val="center"/>
          </w:tcPr>
          <w:p>
            <w:pPr>
              <w:pStyle w:val="38"/>
            </w:pPr>
            <w:r>
              <w:rPr>
                <w:rFonts w:hint="eastAsia"/>
              </w:rPr>
              <w:t>/</w:t>
            </w:r>
          </w:p>
        </w:tc>
        <w:tc>
          <w:tcPr>
            <w:tcW w:w="935" w:type="pct"/>
            <w:vAlign w:val="center"/>
          </w:tcPr>
          <w:p>
            <w:pPr>
              <w:pStyle w:val="38"/>
            </w:pPr>
            <w:r>
              <w:rPr>
                <w:rFonts w:hint="eastAsia"/>
              </w:rPr>
              <w:t>1</w:t>
            </w:r>
            <w: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pPr>
              <w:pStyle w:val="38"/>
            </w:pPr>
            <w:r>
              <w:rPr>
                <w:rFonts w:hint="eastAsia"/>
              </w:rPr>
              <w:t>渣土车</w:t>
            </w:r>
          </w:p>
        </w:tc>
        <w:tc>
          <w:tcPr>
            <w:tcW w:w="890" w:type="pct"/>
            <w:vAlign w:val="center"/>
          </w:tcPr>
          <w:p>
            <w:pPr>
              <w:pStyle w:val="38"/>
            </w:pPr>
            <w:r>
              <w:t>332</w:t>
            </w:r>
          </w:p>
        </w:tc>
        <w:tc>
          <w:tcPr>
            <w:tcW w:w="1035" w:type="pct"/>
            <w:vAlign w:val="center"/>
          </w:tcPr>
          <w:p>
            <w:pPr>
              <w:pStyle w:val="38"/>
            </w:pPr>
            <w:r>
              <w:rPr>
                <w:rFonts w:hint="eastAsia"/>
              </w:rPr>
              <w:t>/</w:t>
            </w:r>
          </w:p>
        </w:tc>
        <w:tc>
          <w:tcPr>
            <w:tcW w:w="1047" w:type="pct"/>
            <w:vAlign w:val="center"/>
          </w:tcPr>
          <w:p>
            <w:pPr>
              <w:pStyle w:val="38"/>
            </w:pPr>
            <w:r>
              <w:rPr>
                <w:rFonts w:hint="eastAsia"/>
              </w:rPr>
              <w:t>/</w:t>
            </w:r>
          </w:p>
        </w:tc>
        <w:tc>
          <w:tcPr>
            <w:tcW w:w="935" w:type="pct"/>
            <w:vAlign w:val="center"/>
          </w:tcPr>
          <w:p>
            <w:pPr>
              <w:pStyle w:val="38"/>
            </w:pPr>
            <w:r>
              <w:rPr>
                <w:rFonts w:hint="eastAsia"/>
              </w:rPr>
              <w:t>1</w:t>
            </w:r>
            <w:r>
              <w:t>00</w:t>
            </w:r>
          </w:p>
        </w:tc>
      </w:tr>
    </w:tbl>
    <w:p>
      <w:pPr>
        <w:pStyle w:val="30"/>
      </w:pPr>
      <w:r>
        <w:rPr>
          <w:rFonts w:hint="eastAsia"/>
        </w:rPr>
        <w:t>浙江省电子转移联单</w:t>
      </w:r>
    </w:p>
    <w:p>
      <w:pPr>
        <w:ind w:firstLine="640"/>
      </w:pPr>
      <w:r>
        <w:rPr>
          <w:rFonts w:hint="eastAsia"/>
        </w:rPr>
        <w:t>2</w:t>
      </w:r>
      <w:r>
        <w:t>023</w:t>
      </w:r>
      <w:r>
        <w:rPr>
          <w:rFonts w:hint="eastAsia"/>
        </w:rPr>
        <w:t>年7月，为进一步规范台州市建筑垃圾处理活动，加强建筑垃圾转移全过程的实时监控，有效防范环境污染，根据省工程渣土常态化治理工作专班《浙江省住房和城乡建设厅等8部门关于浙江省建筑垃圾电子转移联单运行管理工作的实施意见》(浙建[2023]2号)要求，制订了《台州市建筑垃圾电子转移联单运行管理工作的实施意见》，旨在对台州市建筑垃圾产生、收集、贮存、运输、利用、处置单位运行电子转移联单实施监督管理。</w:t>
      </w:r>
    </w:p>
    <w:p>
      <w:pPr>
        <w:ind w:firstLine="640"/>
      </w:pPr>
      <w:r>
        <w:rPr>
          <w:rFonts w:hint="eastAsia"/>
        </w:rPr>
        <w:t>浙江省建筑垃圾电子转移联单是建筑垃圾转移活动的电子信息载体。具体运行管理方式如下：（1）建筑垃圾电子转移联单实行全省统一编号，编号由20位阿拉伯数字组成。第一至八位数字为日期代码；第九至十四位数字为移出地县（市、区）级行政区划代码为准，其余六位数字以移出地县（市、区）级行政区域为单位进行流水编号。（2）移出人应当依据《浙江省建筑垃圾分类利用指导目录》，对建筑垃圾按照工程渣土、工程泥浆、工程垃圾、拆除垃圾、装修垃圾进行分类转移，并应坚持以末端处理为导向，对建筑垃圾进一步细化分类收集后实施转移。移出人每转移一车（船或者其他交通运输工具）次同类建筑垃圾，应当填写、运行一份建筑垃圾电子转移联单。多个移出人使用同一车（船或者其他交通运输工具）转移建筑垃圾的每个移出人应当分别填写、运行建筑垃圾电子转移联单。（3）采用联运方式转移建筑垃圾的，前一承运人和后一承运人应当明确运输交接的时间和地点。后一承运人应当通过省建筑垃圾系统核实建筑垃圾电子转移联单确定的移出人信息、前一承运人信息及建筑垃圾相关信息。（4）接收人应当对运抵的建筑垃圾进行核实验收，并在接收之时通过省建筑垃圾系统确认接收。运行完成的建筑垃圾电子转移联单可作为建筑垃圾清运处置费用结算依据。运抵的建筑垃圾的种类、数量等信息与建筑垃圾电子转移联单填写内容不符的，接收人应当及时告知移出人，视情况决定是否接收，同时向接收地环境卫生主管部门或者综合行政执法部门报告。发生不接收情况时，接收人须将建筑垃圾电子转移联单退回，由移出人重新发起新的建筑垃圾电子转移联单。接收人将接收的建筑垃圾从接收场所再次转出的，应当按照移出人要求填写、运行建筑垃圾电子转移联单。（5）通过管道等非交通运输工具转移建筑垃圾的，移出人、接收人应当自转移之日起，每10个工作日在建筑垃圾电子转移联单填写期间转移的建筑垃圾种类、数量等信息。（6）跨省转出建筑垃圾的，移出人应当按照建筑垃圾跨省转移批准或者同意备案的内容，通过省建筑垃圾系统填写、运行建筑垃圾电子转移联单，并在接收人确认运抵信息后</w:t>
      </w:r>
      <w:r>
        <w:t>5</w:t>
      </w:r>
      <w:r>
        <w:rPr>
          <w:rFonts w:hint="eastAsia"/>
        </w:rPr>
        <w:t>个工作日内，通过省建筑垃圾系统上传接收凭证。移出人可以按照建筑垃圾跨省转移批准或者同意备案内容在有效期内多次转移建筑垃圾。跨省转入建筑垃圾的，接收人应当核实转入建筑垃圾的省转移批准或者同意备案手续，通过省建筑垃圾系统填写、运行建筑垃圾电子转移联单，并在建筑垃圾运抵后</w:t>
      </w:r>
      <w:r>
        <w:t>5</w:t>
      </w:r>
      <w:r>
        <w:rPr>
          <w:rFonts w:hint="eastAsia"/>
        </w:rPr>
        <w:t>个工作日内通过省建筑垃圾系统填写接收信息并上传接收凭证。（</w:t>
      </w:r>
      <w:r>
        <w:t>7</w:t>
      </w:r>
      <w:r>
        <w:rPr>
          <w:rFonts w:hint="eastAsia"/>
        </w:rPr>
        <w:t>）因特殊原因无法通过省建筑垃圾系统填写、运行建筑垃圾电子转移联单的，可以先使用纸质转移联单，并于转移活动完成后</w:t>
      </w:r>
      <w:r>
        <w:t>10</w:t>
      </w:r>
      <w:r>
        <w:rPr>
          <w:rFonts w:hint="eastAsia"/>
        </w:rPr>
        <w:t>个工作日内在省建筑垃圾系统补录建筑垃圾电子转移联单相关信息。</w:t>
      </w:r>
    </w:p>
    <w:p>
      <w:pPr>
        <w:ind w:firstLine="640"/>
      </w:pPr>
      <w:r>
        <w:rPr>
          <w:rFonts w:hint="eastAsia"/>
        </w:rPr>
        <w:t>目前临海市已遵照台州市建筑垃圾电子转移联单运行管理工作方式，基本实现对建筑垃圾产生、收集、贮存、利用、处置等全过程的数字化闭环监管，实现了垃圾溯源管理。</w:t>
      </w:r>
    </w:p>
    <w:p>
      <w:pPr>
        <w:pStyle w:val="36"/>
      </w:pPr>
      <w:r>
        <w:drawing>
          <wp:inline distT="0" distB="0" distL="0" distR="0">
            <wp:extent cx="1535430" cy="3239770"/>
            <wp:effectExtent l="0" t="0" r="7620" b="0"/>
            <wp:docPr id="482010175" name="图片 1" descr="f8d36d4f58850b1620a2119a877b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10175" name="图片 1" descr="f8d36d4f58850b1620a2119a877b40d"/>
                    <pic:cNvPicPr>
                      <a:picLocks noChangeAspect="1" noChangeArrowheads="1"/>
                    </pic:cNvPicPr>
                  </pic:nvPicPr>
                  <pic:blipFill>
                    <a:blip r:embed="rId34">
                      <a:extLst>
                        <a:ext uri="{28A0092B-C50C-407E-A947-70E740481C1C}">
                          <a14:useLocalDpi xmlns:a14="http://schemas.microsoft.com/office/drawing/2010/main" val="0"/>
                        </a:ext>
                      </a:extLst>
                    </a:blip>
                    <a:srcRect t="5159"/>
                    <a:stretch>
                      <a:fillRect/>
                    </a:stretch>
                  </pic:blipFill>
                  <pic:spPr>
                    <a:xfrm>
                      <a:off x="0" y="0"/>
                      <a:ext cx="1535812" cy="3240000"/>
                    </a:xfrm>
                    <a:prstGeom prst="rect">
                      <a:avLst/>
                    </a:prstGeom>
                    <a:noFill/>
                    <a:ln>
                      <a:noFill/>
                    </a:ln>
                  </pic:spPr>
                </pic:pic>
              </a:graphicData>
            </a:graphic>
          </wp:inline>
        </w:drawing>
      </w:r>
      <w:r>
        <w:t xml:space="preserve"> </w:t>
      </w:r>
      <w:r>
        <w:drawing>
          <wp:inline distT="0" distB="0" distL="0" distR="0">
            <wp:extent cx="1609090" cy="3239770"/>
            <wp:effectExtent l="0" t="0" r="0" b="0"/>
            <wp:docPr id="874404078"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04078" name="图片 2" descr="图形用户界面, 应用程序&#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09281" cy="3240000"/>
                    </a:xfrm>
                    <a:prstGeom prst="rect">
                      <a:avLst/>
                    </a:prstGeom>
                    <a:noFill/>
                    <a:ln>
                      <a:noFill/>
                    </a:ln>
                  </pic:spPr>
                </pic:pic>
              </a:graphicData>
            </a:graphic>
          </wp:inline>
        </w:drawing>
      </w:r>
      <w:r>
        <w:rPr>
          <w:rFonts w:hint="eastAsia"/>
        </w:rPr>
        <w:t xml:space="preserve"> </w:t>
      </w:r>
      <w:r>
        <w:drawing>
          <wp:inline distT="0" distB="0" distL="0" distR="0">
            <wp:extent cx="1764030" cy="3199765"/>
            <wp:effectExtent l="0" t="0" r="7620" b="635"/>
            <wp:docPr id="2085872397"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72397" name="图片 3"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l="2747" t="1192" r="3163"/>
                    <a:stretch>
                      <a:fillRect/>
                    </a:stretch>
                  </pic:blipFill>
                  <pic:spPr>
                    <a:xfrm>
                      <a:off x="0" y="0"/>
                      <a:ext cx="1765121" cy="3201359"/>
                    </a:xfrm>
                    <a:prstGeom prst="rect">
                      <a:avLst/>
                    </a:prstGeom>
                    <a:noFill/>
                    <a:ln>
                      <a:noFill/>
                    </a:ln>
                    <a:effectLst/>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13</w:t>
      </w:r>
      <w:r>
        <w:fldChar w:fldCharType="end"/>
      </w:r>
      <w:r>
        <w:t xml:space="preserve"> </w:t>
      </w:r>
      <w:r>
        <w:rPr>
          <w:rFonts w:hint="eastAsia"/>
        </w:rPr>
        <w:t>电子联单浙里办应用示意图</w:t>
      </w:r>
    </w:p>
    <w:p>
      <w:pPr>
        <w:pStyle w:val="36"/>
      </w:pPr>
      <w:r>
        <w:drawing>
          <wp:inline distT="0" distB="0" distL="0" distR="0">
            <wp:extent cx="3835400" cy="4601210"/>
            <wp:effectExtent l="0" t="0" r="0" b="8890"/>
            <wp:docPr id="39433714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37140" name="图片 1" descr="表格&#10;&#10;描述已自动生成"/>
                    <pic:cNvPicPr>
                      <a:picLocks noChangeAspect="1"/>
                    </pic:cNvPicPr>
                  </pic:nvPicPr>
                  <pic:blipFill>
                    <a:blip r:embed="rId37"/>
                    <a:stretch>
                      <a:fillRect/>
                    </a:stretch>
                  </pic:blipFill>
                  <pic:spPr>
                    <a:xfrm>
                      <a:off x="0" y="0"/>
                      <a:ext cx="3874360" cy="4647731"/>
                    </a:xfrm>
                    <a:prstGeom prst="rect">
                      <a:avLst/>
                    </a:prstGeom>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14</w:t>
      </w:r>
      <w:r>
        <w:fldChar w:fldCharType="end"/>
      </w:r>
      <w:r>
        <w:t xml:space="preserve"> </w:t>
      </w:r>
      <w:r>
        <w:rPr>
          <w:rFonts w:hint="eastAsia"/>
        </w:rPr>
        <w:t>电子联单样式</w:t>
      </w:r>
    </w:p>
    <w:p>
      <w:pPr>
        <w:pStyle w:val="3"/>
      </w:pPr>
      <w:bookmarkStart w:id="19" w:name="_Toc168062384"/>
      <w:r>
        <w:rPr>
          <w:rFonts w:hint="eastAsia"/>
        </w:rPr>
        <w:t>工作督查监管情况</w:t>
      </w:r>
      <w:bookmarkEnd w:id="19"/>
    </w:p>
    <w:p>
      <w:pPr>
        <w:pStyle w:val="30"/>
      </w:pPr>
      <w:r>
        <w:rPr>
          <w:rFonts w:hint="eastAsia"/>
        </w:rPr>
        <w:t>执法办案情况</w:t>
      </w:r>
    </w:p>
    <w:p>
      <w:pPr>
        <w:ind w:firstLine="640"/>
        <w:rPr>
          <w:rFonts w:cs="Times New Roman"/>
          <w:szCs w:val="24"/>
        </w:rPr>
      </w:pPr>
      <w:r>
        <w:rPr>
          <w:rFonts w:hint="eastAsia" w:cs="Times New Roman"/>
          <w:szCs w:val="24"/>
        </w:rPr>
        <w:t>2023年以来，临海市综合执法局通过集中整治、联合执法，形成专项打击和常态化巡查管理相结合的监管模式，先后联合生态环境、公安、建设、交通运输等部门开展执法行动76次，突击检查国省道过往渣土车1400余辆次，飞检、巡检全市16个在建工地，对尘土飞扬、污水横流等现象予以制止和处理。</w:t>
      </w:r>
    </w:p>
    <w:p>
      <w:pPr>
        <w:ind w:firstLine="640"/>
        <w:rPr>
          <w:rFonts w:cs="Times New Roman"/>
          <w:szCs w:val="24"/>
        </w:rPr>
      </w:pPr>
      <w:r>
        <w:rPr>
          <w:rFonts w:hint="eastAsia" w:cs="Times New Roman"/>
          <w:szCs w:val="24"/>
        </w:rPr>
        <w:t>2023年截至10月底，共办理建筑垃圾相关案件145件，罚款363.81万元。依据《浙江省固体废物污染防治条例》作出台州市首罚，促进省固废条例落地见效。同时强化“行刑衔接”，要求办案单位“一案三查”，对需要移送的案件及时移送，截止目前，已将3起建筑垃圾类案件移交公安机关，行政拘留5人。</w:t>
      </w:r>
    </w:p>
    <w:p>
      <w:pPr>
        <w:pStyle w:val="36"/>
      </w:pPr>
      <w:r>
        <w:drawing>
          <wp:inline distT="0" distB="0" distL="0" distR="0">
            <wp:extent cx="2338705" cy="1758315"/>
            <wp:effectExtent l="0" t="0" r="4445" b="0"/>
            <wp:docPr id="1828397735" name="图片 1" descr="戴帽子的男人在街道边站着一群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97735" name="图片 1" descr="戴帽子的男人在街道边站着一群人&#10;&#10;中度可信度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367858" cy="1779965"/>
                    </a:xfrm>
                    <a:prstGeom prst="rect">
                      <a:avLst/>
                    </a:prstGeom>
                    <a:noFill/>
                    <a:ln>
                      <a:noFill/>
                    </a:ln>
                  </pic:spPr>
                </pic:pic>
              </a:graphicData>
            </a:graphic>
          </wp:inline>
        </w:drawing>
      </w:r>
      <w:r>
        <w:rPr>
          <w:rFonts w:hint="eastAsia"/>
        </w:rPr>
        <w:t xml:space="preserve"> </w:t>
      </w:r>
      <w:r>
        <w:rPr>
          <w:rFonts w:hint="eastAsia"/>
        </w:rPr>
        <w:drawing>
          <wp:inline distT="0" distB="0" distL="0" distR="0">
            <wp:extent cx="2325370" cy="1748155"/>
            <wp:effectExtent l="0" t="0" r="0" b="4445"/>
            <wp:docPr id="988787880" name="图片 2" descr="人们站在街道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87880" name="图片 2" descr="人们站在街道上&#10;&#10;描述已自动生成"/>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374470" cy="1784937"/>
                    </a:xfrm>
                    <a:prstGeom prst="rect">
                      <a:avLst/>
                    </a:prstGeom>
                    <a:noFill/>
                    <a:ln>
                      <a:noFill/>
                    </a:ln>
                  </pic:spPr>
                </pic:pic>
              </a:graphicData>
            </a:graphic>
          </wp:inline>
        </w:drawing>
      </w:r>
    </w:p>
    <w:p>
      <w:pPr>
        <w:pStyle w:val="36"/>
      </w:pPr>
      <w:r>
        <w:drawing>
          <wp:inline distT="0" distB="0" distL="0" distR="0">
            <wp:extent cx="2350770" cy="1708150"/>
            <wp:effectExtent l="0" t="0" r="0" b="6350"/>
            <wp:docPr id="1221934676" name="图片 3" descr="卡车在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34676" name="图片 3" descr="卡车在路上&#10;&#10;描述已自动生成"/>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390489" cy="1737544"/>
                    </a:xfrm>
                    <a:prstGeom prst="rect">
                      <a:avLst/>
                    </a:prstGeom>
                    <a:noFill/>
                    <a:ln>
                      <a:noFill/>
                    </a:ln>
                  </pic:spPr>
                </pic:pic>
              </a:graphicData>
            </a:graphic>
          </wp:inline>
        </w:drawing>
      </w:r>
      <w:r>
        <w:rPr>
          <w:rFonts w:hint="eastAsia"/>
        </w:rPr>
        <w:t xml:space="preserve"> </w:t>
      </w:r>
      <w:r>
        <w:rPr>
          <w:rFonts w:hint="eastAsia"/>
        </w:rPr>
        <w:drawing>
          <wp:inline distT="0" distB="0" distL="0" distR="0">
            <wp:extent cx="2315210" cy="1736090"/>
            <wp:effectExtent l="0" t="0" r="0" b="0"/>
            <wp:docPr id="1679956757" name="图片 4" descr="夜晚人在卡车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56757" name="图片 4" descr="夜晚人在卡车上&#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348106" cy="1761291"/>
                    </a:xfrm>
                    <a:prstGeom prst="rect">
                      <a:avLst/>
                    </a:prstGeom>
                    <a:noFill/>
                    <a:ln>
                      <a:noFill/>
                    </a:ln>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15</w:t>
      </w:r>
      <w:r>
        <w:fldChar w:fldCharType="end"/>
      </w:r>
      <w:r>
        <w:rPr>
          <w:rFonts w:hint="eastAsia"/>
        </w:rPr>
        <w:t>现场执法照片（部分）</w:t>
      </w:r>
    </w:p>
    <w:p>
      <w:pPr>
        <w:ind w:firstLine="640"/>
      </w:pPr>
    </w:p>
    <w:p>
      <w:pPr>
        <w:pStyle w:val="36"/>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11</w:t>
      </w:r>
      <w:r>
        <w:fldChar w:fldCharType="end"/>
      </w:r>
      <w:r>
        <w:t xml:space="preserve"> 2023</w:t>
      </w:r>
      <w:r>
        <w:rPr>
          <w:rFonts w:hint="eastAsia"/>
        </w:rPr>
        <w:t>年建筑垃圾案件统计（部分）</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4045"/>
        <w:gridCol w:w="2998"/>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82" w:type="pct"/>
            <w:noWrap/>
            <w:vAlign w:val="center"/>
          </w:tcPr>
          <w:p>
            <w:pPr>
              <w:pStyle w:val="38"/>
              <w:widowControl w:val="0"/>
              <w:rPr>
                <w:rFonts w:cs="Times New Roman"/>
                <w:kern w:val="0"/>
                <w:szCs w:val="20"/>
              </w:rPr>
            </w:pPr>
            <w:r>
              <w:rPr>
                <w:rFonts w:cs="Times New Roman"/>
                <w:kern w:val="0"/>
                <w:szCs w:val="20"/>
              </w:rPr>
              <w:t>序号</w:t>
            </w:r>
          </w:p>
        </w:tc>
        <w:tc>
          <w:tcPr>
            <w:tcW w:w="2178" w:type="pct"/>
            <w:noWrap/>
            <w:vAlign w:val="center"/>
          </w:tcPr>
          <w:p>
            <w:pPr>
              <w:pStyle w:val="38"/>
              <w:widowControl w:val="0"/>
              <w:rPr>
                <w:rFonts w:cs="Times New Roman"/>
                <w:kern w:val="0"/>
                <w:szCs w:val="20"/>
              </w:rPr>
            </w:pPr>
            <w:r>
              <w:rPr>
                <w:rFonts w:cs="Times New Roman"/>
                <w:kern w:val="0"/>
                <w:szCs w:val="20"/>
              </w:rPr>
              <w:t>处罚事项</w:t>
            </w:r>
          </w:p>
        </w:tc>
        <w:tc>
          <w:tcPr>
            <w:tcW w:w="1614" w:type="pct"/>
            <w:noWrap/>
            <w:vAlign w:val="center"/>
          </w:tcPr>
          <w:p>
            <w:pPr>
              <w:pStyle w:val="38"/>
              <w:widowControl w:val="0"/>
              <w:rPr>
                <w:rFonts w:cs="Times New Roman"/>
                <w:kern w:val="0"/>
                <w:szCs w:val="20"/>
              </w:rPr>
            </w:pPr>
            <w:r>
              <w:rPr>
                <w:rFonts w:cs="Times New Roman"/>
                <w:kern w:val="0"/>
                <w:szCs w:val="20"/>
              </w:rPr>
              <w:t>处罚决定书文号</w:t>
            </w:r>
          </w:p>
        </w:tc>
        <w:tc>
          <w:tcPr>
            <w:tcW w:w="726" w:type="pct"/>
            <w:noWrap/>
            <w:vAlign w:val="center"/>
          </w:tcPr>
          <w:p>
            <w:pPr>
              <w:pStyle w:val="38"/>
              <w:widowControl w:val="0"/>
              <w:rPr>
                <w:rFonts w:cs="Times New Roman"/>
                <w:kern w:val="0"/>
                <w:szCs w:val="20"/>
              </w:rPr>
            </w:pPr>
            <w:r>
              <w:rPr>
                <w:rFonts w:cs="Times New Roman"/>
                <w:kern w:val="0"/>
                <w:szCs w:val="20"/>
              </w:rPr>
              <w:t>处罚金额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临大洋办罚决字〔2023〕第000019号</w:t>
            </w:r>
          </w:p>
        </w:tc>
        <w:tc>
          <w:tcPr>
            <w:tcW w:w="726" w:type="pct"/>
            <w:noWrap/>
            <w:vAlign w:val="center"/>
          </w:tcPr>
          <w:p>
            <w:pPr>
              <w:pStyle w:val="38"/>
              <w:widowControl w:val="0"/>
              <w:rPr>
                <w:rFonts w:cs="Times New Roman"/>
                <w:kern w:val="0"/>
                <w:szCs w:val="20"/>
              </w:rPr>
            </w:pPr>
            <w:r>
              <w:rPr>
                <w:rFonts w:cs="Times New Roman"/>
                <w:kern w:val="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2</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临大洋办罚决字〔2023〕第000021号</w:t>
            </w:r>
          </w:p>
        </w:tc>
        <w:tc>
          <w:tcPr>
            <w:tcW w:w="726" w:type="pct"/>
            <w:noWrap/>
            <w:vAlign w:val="center"/>
          </w:tcPr>
          <w:p>
            <w:pPr>
              <w:pStyle w:val="38"/>
              <w:widowControl w:val="0"/>
              <w:rPr>
                <w:rFonts w:cs="Times New Roman"/>
                <w:kern w:val="0"/>
                <w:szCs w:val="20"/>
              </w:rPr>
            </w:pPr>
            <w:r>
              <w:rPr>
                <w:rFonts w:cs="Times New Roman"/>
                <w:kern w:val="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3</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临大洋办罚决字〔2023〕第000022号</w:t>
            </w:r>
          </w:p>
        </w:tc>
        <w:tc>
          <w:tcPr>
            <w:tcW w:w="726" w:type="pct"/>
            <w:noWrap/>
            <w:vAlign w:val="center"/>
          </w:tcPr>
          <w:p>
            <w:pPr>
              <w:pStyle w:val="38"/>
              <w:widowControl w:val="0"/>
              <w:rPr>
                <w:rFonts w:cs="Times New Roman"/>
                <w:kern w:val="0"/>
                <w:szCs w:val="20"/>
              </w:rPr>
            </w:pPr>
            <w:r>
              <w:rPr>
                <w:rFonts w:cs="Times New Roman"/>
                <w:kern w:val="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4</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临大洋办罚决字〔2023〕第000024号</w:t>
            </w:r>
          </w:p>
        </w:tc>
        <w:tc>
          <w:tcPr>
            <w:tcW w:w="726" w:type="pct"/>
            <w:noWrap/>
            <w:vAlign w:val="center"/>
          </w:tcPr>
          <w:p>
            <w:pPr>
              <w:pStyle w:val="38"/>
              <w:widowControl w:val="0"/>
              <w:rPr>
                <w:rFonts w:cs="Times New Roman"/>
                <w:kern w:val="0"/>
                <w:szCs w:val="20"/>
              </w:rPr>
            </w:pPr>
            <w:r>
              <w:rPr>
                <w:rFonts w:cs="Times New Roman"/>
                <w:kern w:val="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5</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临大洋办罚决字〔2023〕第000028号</w:t>
            </w:r>
          </w:p>
        </w:tc>
        <w:tc>
          <w:tcPr>
            <w:tcW w:w="726" w:type="pct"/>
            <w:noWrap/>
            <w:vAlign w:val="center"/>
          </w:tcPr>
          <w:p>
            <w:pPr>
              <w:pStyle w:val="38"/>
              <w:widowControl w:val="0"/>
              <w:rPr>
                <w:rFonts w:cs="Times New Roman"/>
                <w:kern w:val="0"/>
                <w:szCs w:val="20"/>
              </w:rPr>
            </w:pPr>
            <w:r>
              <w:rPr>
                <w:rFonts w:cs="Times New Roman"/>
                <w:kern w:val="0"/>
                <w:szCs w:val="20"/>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82" w:type="pct"/>
            <w:noWrap/>
            <w:vAlign w:val="center"/>
          </w:tcPr>
          <w:p>
            <w:pPr>
              <w:pStyle w:val="38"/>
              <w:widowControl w:val="0"/>
              <w:rPr>
                <w:rFonts w:cs="Times New Roman"/>
                <w:kern w:val="0"/>
                <w:szCs w:val="20"/>
              </w:rPr>
            </w:pPr>
            <w:r>
              <w:rPr>
                <w:rFonts w:hint="eastAsia" w:cs="Times New Roman"/>
                <w:kern w:val="0"/>
                <w:szCs w:val="20"/>
              </w:rPr>
              <w:t>6</w:t>
            </w:r>
          </w:p>
        </w:tc>
        <w:tc>
          <w:tcPr>
            <w:tcW w:w="2178" w:type="pct"/>
            <w:vAlign w:val="center"/>
          </w:tcPr>
          <w:p>
            <w:pPr>
              <w:pStyle w:val="38"/>
              <w:widowControl w:val="0"/>
              <w:rPr>
                <w:rFonts w:cs="Times New Roman"/>
                <w:kern w:val="0"/>
                <w:szCs w:val="20"/>
              </w:rPr>
            </w:pPr>
            <w:r>
              <w:rPr>
                <w:rFonts w:cs="Times New Roman"/>
                <w:kern w:val="0"/>
                <w:szCs w:val="20"/>
              </w:rPr>
              <w:t>对将建筑垃圾交由未取得核准的单位或者个人处置的行政处罚</w:t>
            </w:r>
          </w:p>
        </w:tc>
        <w:tc>
          <w:tcPr>
            <w:tcW w:w="1614" w:type="pct"/>
            <w:vAlign w:val="center"/>
          </w:tcPr>
          <w:p>
            <w:pPr>
              <w:pStyle w:val="38"/>
              <w:widowControl w:val="0"/>
              <w:rPr>
                <w:rFonts w:cs="Times New Roman"/>
                <w:kern w:val="0"/>
                <w:szCs w:val="20"/>
              </w:rPr>
            </w:pPr>
            <w:r>
              <w:rPr>
                <w:rFonts w:cs="Times New Roman"/>
                <w:kern w:val="0"/>
                <w:szCs w:val="20"/>
              </w:rPr>
              <w:t>临大洋办罚决字〔2023〕第000034号</w:t>
            </w:r>
          </w:p>
        </w:tc>
        <w:tc>
          <w:tcPr>
            <w:tcW w:w="726" w:type="pct"/>
            <w:noWrap/>
            <w:vAlign w:val="center"/>
          </w:tcPr>
          <w:p>
            <w:pPr>
              <w:pStyle w:val="38"/>
              <w:widowControl w:val="0"/>
              <w:rPr>
                <w:rFonts w:cs="Times New Roman"/>
                <w:kern w:val="0"/>
                <w:szCs w:val="20"/>
              </w:rPr>
            </w:pPr>
            <w:r>
              <w:rPr>
                <w:rFonts w:cs="Times New Roman"/>
                <w:kern w:val="0"/>
                <w:szCs w:val="20"/>
              </w:rPr>
              <w:t>83000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7</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临大洋办罚决字〔2023〕第000036号</w:t>
            </w:r>
          </w:p>
        </w:tc>
        <w:tc>
          <w:tcPr>
            <w:tcW w:w="726" w:type="pct"/>
            <w:noWrap/>
            <w:vAlign w:val="center"/>
          </w:tcPr>
          <w:p>
            <w:pPr>
              <w:pStyle w:val="38"/>
              <w:widowControl w:val="0"/>
              <w:rPr>
                <w:rFonts w:cs="Times New Roman"/>
                <w:kern w:val="0"/>
                <w:szCs w:val="20"/>
              </w:rPr>
            </w:pPr>
            <w:r>
              <w:rPr>
                <w:rFonts w:cs="Times New Roman"/>
                <w:kern w:val="0"/>
                <w:szCs w:val="20"/>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8</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临大洋办罚决字〔2023〕第000037号</w:t>
            </w:r>
          </w:p>
        </w:tc>
        <w:tc>
          <w:tcPr>
            <w:tcW w:w="726" w:type="pct"/>
            <w:noWrap/>
            <w:vAlign w:val="center"/>
          </w:tcPr>
          <w:p>
            <w:pPr>
              <w:pStyle w:val="38"/>
              <w:widowControl w:val="0"/>
              <w:rPr>
                <w:rFonts w:cs="Times New Roman"/>
                <w:kern w:val="0"/>
                <w:szCs w:val="20"/>
              </w:rPr>
            </w:pPr>
            <w:r>
              <w:rPr>
                <w:rFonts w:cs="Times New Roman"/>
                <w:kern w:val="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82" w:type="pct"/>
            <w:noWrap/>
            <w:vAlign w:val="center"/>
          </w:tcPr>
          <w:p>
            <w:pPr>
              <w:pStyle w:val="38"/>
              <w:widowControl w:val="0"/>
              <w:rPr>
                <w:rFonts w:cs="Times New Roman"/>
                <w:kern w:val="0"/>
                <w:szCs w:val="20"/>
              </w:rPr>
            </w:pPr>
            <w:r>
              <w:rPr>
                <w:rFonts w:hint="eastAsia" w:cs="Times New Roman"/>
                <w:kern w:val="0"/>
                <w:szCs w:val="20"/>
              </w:rPr>
              <w:t>9</w:t>
            </w:r>
          </w:p>
        </w:tc>
        <w:tc>
          <w:tcPr>
            <w:tcW w:w="2178" w:type="pct"/>
            <w:vAlign w:val="center"/>
          </w:tcPr>
          <w:p>
            <w:pPr>
              <w:pStyle w:val="38"/>
              <w:widowControl w:val="0"/>
              <w:rPr>
                <w:rFonts w:cs="Times New Roman"/>
                <w:kern w:val="0"/>
                <w:szCs w:val="20"/>
              </w:rPr>
            </w:pPr>
            <w:r>
              <w:rPr>
                <w:rFonts w:cs="Times New Roman"/>
                <w:kern w:val="0"/>
                <w:szCs w:val="20"/>
              </w:rPr>
              <w:t>对施工单位将建筑垃圾交给个人或者未经核准从事建筑垃圾运输的单位处置的行政处罚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临古街办罚决字〔2022〕第100042号</w:t>
            </w:r>
          </w:p>
        </w:tc>
        <w:tc>
          <w:tcPr>
            <w:tcW w:w="726" w:type="pct"/>
            <w:noWrap/>
            <w:vAlign w:val="center"/>
          </w:tcPr>
          <w:p>
            <w:pPr>
              <w:pStyle w:val="38"/>
              <w:widowControl w:val="0"/>
              <w:rPr>
                <w:rFonts w:cs="Times New Roman"/>
                <w:kern w:val="0"/>
                <w:szCs w:val="20"/>
              </w:rPr>
            </w:pPr>
            <w:r>
              <w:rPr>
                <w:rFonts w:cs="Times New Roman"/>
                <w:kern w:val="0"/>
                <w:szCs w:val="20"/>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10</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临古街办罚决字〔2022〕第100046号</w:t>
            </w:r>
          </w:p>
        </w:tc>
        <w:tc>
          <w:tcPr>
            <w:tcW w:w="726" w:type="pct"/>
            <w:noWrap/>
            <w:vAlign w:val="center"/>
          </w:tcPr>
          <w:p>
            <w:pPr>
              <w:pStyle w:val="38"/>
              <w:widowControl w:val="0"/>
              <w:rPr>
                <w:rFonts w:cs="Times New Roman"/>
                <w:kern w:val="0"/>
                <w:szCs w:val="20"/>
              </w:rPr>
            </w:pPr>
            <w:r>
              <w:rPr>
                <w:rFonts w:cs="Times New Roman"/>
                <w:kern w:val="0"/>
                <w:szCs w:val="2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82" w:type="pct"/>
            <w:noWrap/>
            <w:vAlign w:val="center"/>
          </w:tcPr>
          <w:p>
            <w:pPr>
              <w:pStyle w:val="38"/>
              <w:widowControl w:val="0"/>
              <w:rPr>
                <w:rFonts w:cs="Times New Roman"/>
                <w:kern w:val="0"/>
                <w:szCs w:val="20"/>
              </w:rPr>
            </w:pPr>
            <w:r>
              <w:rPr>
                <w:rFonts w:hint="eastAsia" w:cs="Times New Roman"/>
                <w:kern w:val="0"/>
                <w:szCs w:val="20"/>
              </w:rPr>
              <w:t>11</w:t>
            </w:r>
          </w:p>
        </w:tc>
        <w:tc>
          <w:tcPr>
            <w:tcW w:w="2178" w:type="pct"/>
            <w:vAlign w:val="center"/>
          </w:tcPr>
          <w:p>
            <w:pPr>
              <w:pStyle w:val="38"/>
              <w:widowControl w:val="0"/>
              <w:rPr>
                <w:rFonts w:cs="Times New Roman"/>
                <w:kern w:val="0"/>
                <w:szCs w:val="20"/>
              </w:rPr>
            </w:pPr>
            <w:r>
              <w:rPr>
                <w:rFonts w:cs="Times New Roman"/>
                <w:kern w:val="0"/>
                <w:szCs w:val="20"/>
              </w:rPr>
              <w:t>对未经核准擅自处置建筑垃圾或者处置超出核准范围的建筑垃圾的行政处罚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临古街办罚决字〔2022〕第100047号</w:t>
            </w:r>
          </w:p>
        </w:tc>
        <w:tc>
          <w:tcPr>
            <w:tcW w:w="726" w:type="pct"/>
            <w:noWrap/>
            <w:vAlign w:val="center"/>
          </w:tcPr>
          <w:p>
            <w:pPr>
              <w:pStyle w:val="38"/>
              <w:widowControl w:val="0"/>
              <w:rPr>
                <w:rFonts w:cs="Times New Roman"/>
                <w:kern w:val="0"/>
                <w:szCs w:val="20"/>
              </w:rPr>
            </w:pPr>
            <w:r>
              <w:rPr>
                <w:rFonts w:cs="Times New Roman"/>
                <w:kern w:val="0"/>
                <w:szCs w:val="20"/>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12</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临古街办罚决字〔2022〕第100050号</w:t>
            </w:r>
          </w:p>
        </w:tc>
        <w:tc>
          <w:tcPr>
            <w:tcW w:w="726" w:type="pct"/>
            <w:noWrap/>
            <w:vAlign w:val="center"/>
          </w:tcPr>
          <w:p>
            <w:pPr>
              <w:pStyle w:val="38"/>
              <w:widowControl w:val="0"/>
              <w:rPr>
                <w:rFonts w:cs="Times New Roman"/>
                <w:kern w:val="0"/>
                <w:szCs w:val="20"/>
              </w:rPr>
            </w:pPr>
            <w:r>
              <w:rPr>
                <w:rFonts w:cs="Times New Roman"/>
                <w:kern w:val="0"/>
                <w:szCs w:val="2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13</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临古街办罚决字〔2023〕第000030号</w:t>
            </w:r>
          </w:p>
        </w:tc>
        <w:tc>
          <w:tcPr>
            <w:tcW w:w="726" w:type="pct"/>
            <w:noWrap/>
            <w:vAlign w:val="center"/>
          </w:tcPr>
          <w:p>
            <w:pPr>
              <w:pStyle w:val="38"/>
              <w:widowControl w:val="0"/>
              <w:rPr>
                <w:rFonts w:cs="Times New Roman"/>
                <w:kern w:val="0"/>
                <w:szCs w:val="20"/>
              </w:rPr>
            </w:pPr>
            <w:r>
              <w:rPr>
                <w:rFonts w:cs="Times New Roman"/>
                <w:kern w:val="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14</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临古街办罚决字〔2023〕第000033号</w:t>
            </w:r>
          </w:p>
        </w:tc>
        <w:tc>
          <w:tcPr>
            <w:tcW w:w="726" w:type="pct"/>
            <w:noWrap/>
            <w:vAlign w:val="center"/>
          </w:tcPr>
          <w:p>
            <w:pPr>
              <w:pStyle w:val="38"/>
              <w:widowControl w:val="0"/>
              <w:rPr>
                <w:rFonts w:cs="Times New Roman"/>
                <w:kern w:val="0"/>
                <w:szCs w:val="20"/>
              </w:rPr>
            </w:pPr>
            <w:r>
              <w:rPr>
                <w:rFonts w:cs="Times New Roman"/>
                <w:kern w:val="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15</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临古街办罚决字〔2023〕第000035号</w:t>
            </w:r>
          </w:p>
        </w:tc>
        <w:tc>
          <w:tcPr>
            <w:tcW w:w="726" w:type="pct"/>
            <w:noWrap/>
            <w:vAlign w:val="center"/>
          </w:tcPr>
          <w:p>
            <w:pPr>
              <w:pStyle w:val="38"/>
              <w:widowControl w:val="0"/>
              <w:rPr>
                <w:rFonts w:cs="Times New Roman"/>
                <w:kern w:val="0"/>
                <w:szCs w:val="20"/>
              </w:rPr>
            </w:pPr>
            <w:r>
              <w:rPr>
                <w:rFonts w:cs="Times New Roman"/>
                <w:kern w:val="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16</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临古街办罚决字〔2023〕第000037号</w:t>
            </w:r>
          </w:p>
        </w:tc>
        <w:tc>
          <w:tcPr>
            <w:tcW w:w="726" w:type="pct"/>
            <w:noWrap/>
            <w:vAlign w:val="center"/>
          </w:tcPr>
          <w:p>
            <w:pPr>
              <w:pStyle w:val="38"/>
              <w:widowControl w:val="0"/>
              <w:rPr>
                <w:rFonts w:cs="Times New Roman"/>
                <w:kern w:val="0"/>
                <w:szCs w:val="20"/>
              </w:rPr>
            </w:pPr>
            <w:r>
              <w:rPr>
                <w:rFonts w:cs="Times New Roman"/>
                <w:kern w:val="0"/>
                <w:szCs w:val="20"/>
              </w:rPr>
              <w:t>144024.37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17</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临古街办罚决字〔2023〕第000038号</w:t>
            </w:r>
          </w:p>
        </w:tc>
        <w:tc>
          <w:tcPr>
            <w:tcW w:w="726" w:type="pct"/>
            <w:noWrap/>
            <w:vAlign w:val="center"/>
          </w:tcPr>
          <w:p>
            <w:pPr>
              <w:pStyle w:val="38"/>
              <w:widowControl w:val="0"/>
              <w:rPr>
                <w:rFonts w:cs="Times New Roman"/>
                <w:kern w:val="0"/>
                <w:szCs w:val="20"/>
              </w:rPr>
            </w:pPr>
            <w:r>
              <w:rPr>
                <w:rFonts w:cs="Times New Roman"/>
                <w:kern w:val="0"/>
                <w:szCs w:val="20"/>
              </w:rPr>
              <w:t>164972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18</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临古街办罚决字〔2023〕第000039号</w:t>
            </w:r>
          </w:p>
        </w:tc>
        <w:tc>
          <w:tcPr>
            <w:tcW w:w="726" w:type="pct"/>
            <w:noWrap/>
            <w:vAlign w:val="center"/>
          </w:tcPr>
          <w:p>
            <w:pPr>
              <w:pStyle w:val="38"/>
              <w:widowControl w:val="0"/>
              <w:rPr>
                <w:rFonts w:cs="Times New Roman"/>
                <w:kern w:val="0"/>
                <w:szCs w:val="20"/>
              </w:rPr>
            </w:pPr>
            <w:r>
              <w:rPr>
                <w:rFonts w:cs="Times New Roman"/>
                <w:kern w:val="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19</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临古街办罚决字〔2023〕第000067号</w:t>
            </w:r>
          </w:p>
        </w:tc>
        <w:tc>
          <w:tcPr>
            <w:tcW w:w="726" w:type="pct"/>
            <w:noWrap/>
            <w:vAlign w:val="center"/>
          </w:tcPr>
          <w:p>
            <w:pPr>
              <w:pStyle w:val="38"/>
              <w:widowControl w:val="0"/>
              <w:rPr>
                <w:rFonts w:cs="Times New Roman"/>
                <w:kern w:val="0"/>
                <w:szCs w:val="20"/>
              </w:rPr>
            </w:pPr>
            <w:r>
              <w:rPr>
                <w:rFonts w:cs="Times New Roman"/>
                <w:kern w:val="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ign w:val="center"/>
          </w:tcPr>
          <w:p>
            <w:pPr>
              <w:pStyle w:val="38"/>
              <w:widowControl w:val="0"/>
              <w:rPr>
                <w:rFonts w:cs="Times New Roman"/>
                <w:kern w:val="0"/>
                <w:szCs w:val="20"/>
              </w:rPr>
            </w:pPr>
            <w:r>
              <w:rPr>
                <w:rFonts w:hint="eastAsia" w:cs="Times New Roman"/>
                <w:kern w:val="0"/>
                <w:szCs w:val="20"/>
              </w:rPr>
              <w:t>20</w:t>
            </w:r>
          </w:p>
        </w:tc>
        <w:tc>
          <w:tcPr>
            <w:tcW w:w="2178" w:type="pct"/>
            <w:vAlign w:val="center"/>
          </w:tcPr>
          <w:p>
            <w:pPr>
              <w:pStyle w:val="38"/>
              <w:widowControl w:val="0"/>
              <w:rPr>
                <w:rFonts w:cs="Times New Roman"/>
                <w:kern w:val="0"/>
                <w:szCs w:val="20"/>
              </w:rPr>
            </w:pPr>
            <w:r>
              <w:rPr>
                <w:rFonts w:cs="Times New Roman"/>
                <w:kern w:val="0"/>
                <w:szCs w:val="20"/>
              </w:rPr>
              <w:t>对随意倾倒、抛撒或者堆放建筑垃圾的行政处罚</w:t>
            </w:r>
          </w:p>
        </w:tc>
        <w:tc>
          <w:tcPr>
            <w:tcW w:w="1614" w:type="pct"/>
            <w:vAlign w:val="center"/>
          </w:tcPr>
          <w:p>
            <w:pPr>
              <w:pStyle w:val="38"/>
              <w:widowControl w:val="0"/>
              <w:rPr>
                <w:rFonts w:cs="Times New Roman"/>
                <w:kern w:val="0"/>
                <w:szCs w:val="20"/>
              </w:rPr>
            </w:pPr>
            <w:r>
              <w:rPr>
                <w:rFonts w:cs="Times New Roman"/>
                <w:kern w:val="0"/>
                <w:szCs w:val="20"/>
              </w:rPr>
              <w:t>临古街办罚决字〔2023〕第000070号</w:t>
            </w:r>
          </w:p>
        </w:tc>
        <w:tc>
          <w:tcPr>
            <w:tcW w:w="726" w:type="pct"/>
            <w:noWrap/>
            <w:vAlign w:val="center"/>
          </w:tcPr>
          <w:p>
            <w:pPr>
              <w:pStyle w:val="38"/>
              <w:widowControl w:val="0"/>
              <w:rPr>
                <w:rFonts w:cs="Times New Roman"/>
                <w:kern w:val="0"/>
                <w:szCs w:val="20"/>
              </w:rPr>
            </w:pPr>
            <w:r>
              <w:rPr>
                <w:rFonts w:cs="Times New Roman"/>
                <w:kern w:val="0"/>
                <w:szCs w:val="20"/>
              </w:rPr>
              <w:t>1180</w:t>
            </w:r>
          </w:p>
        </w:tc>
      </w:tr>
    </w:tbl>
    <w:p>
      <w:pPr>
        <w:pStyle w:val="36"/>
      </w:pPr>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12</w:t>
      </w:r>
      <w:r>
        <w:fldChar w:fldCharType="end"/>
      </w:r>
      <w:r>
        <w:rPr>
          <w:rFonts w:hint="eastAsia"/>
        </w:rPr>
        <w:t>台州市跨区倾倒建筑垃圾案件汇总表（部分）</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340"/>
        <w:gridCol w:w="4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99" w:type="pct"/>
            <w:vAlign w:val="center"/>
          </w:tcPr>
          <w:p>
            <w:pPr>
              <w:pStyle w:val="38"/>
              <w:widowControl w:val="0"/>
              <w:rPr>
                <w:rFonts w:cs="Times New Roman"/>
                <w:kern w:val="0"/>
                <w:szCs w:val="20"/>
              </w:rPr>
            </w:pPr>
            <w:r>
              <w:rPr>
                <w:rFonts w:hint="eastAsia" w:cs="Times New Roman"/>
                <w:kern w:val="0"/>
                <w:szCs w:val="20"/>
              </w:rPr>
              <w:t>序号</w:t>
            </w:r>
          </w:p>
        </w:tc>
        <w:tc>
          <w:tcPr>
            <w:tcW w:w="2337" w:type="pct"/>
            <w:vAlign w:val="center"/>
          </w:tcPr>
          <w:p>
            <w:pPr>
              <w:pStyle w:val="38"/>
              <w:widowControl w:val="0"/>
              <w:rPr>
                <w:rFonts w:cs="Times New Roman"/>
                <w:kern w:val="0"/>
                <w:szCs w:val="20"/>
              </w:rPr>
            </w:pPr>
            <w:r>
              <w:rPr>
                <w:rFonts w:hint="eastAsia" w:cs="Times New Roman"/>
                <w:kern w:val="0"/>
                <w:szCs w:val="20"/>
              </w:rPr>
              <w:t>行政处罚决定书号</w:t>
            </w:r>
          </w:p>
        </w:tc>
        <w:tc>
          <w:tcPr>
            <w:tcW w:w="2264" w:type="pct"/>
            <w:vAlign w:val="center"/>
          </w:tcPr>
          <w:p>
            <w:pPr>
              <w:pStyle w:val="38"/>
              <w:widowControl w:val="0"/>
              <w:rPr>
                <w:rFonts w:cs="Times New Roman"/>
                <w:kern w:val="0"/>
                <w:szCs w:val="20"/>
              </w:rPr>
            </w:pPr>
            <w:r>
              <w:rPr>
                <w:rFonts w:hint="eastAsia" w:cs="Times New Roman"/>
                <w:kern w:val="0"/>
                <w:szCs w:val="20"/>
              </w:rPr>
              <w:t>建筑垃圾产地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台临综执罚决字〔2022〕第14-0066号</w:t>
            </w:r>
          </w:p>
        </w:tc>
        <w:tc>
          <w:tcPr>
            <w:tcW w:w="2264" w:type="pct"/>
            <w:vAlign w:val="center"/>
          </w:tcPr>
          <w:p>
            <w:pPr>
              <w:pStyle w:val="38"/>
              <w:widowControl w:val="0"/>
              <w:rPr>
                <w:rFonts w:cs="Times New Roman"/>
                <w:kern w:val="0"/>
                <w:szCs w:val="20"/>
              </w:rPr>
            </w:pPr>
            <w:r>
              <w:rPr>
                <w:rFonts w:hint="eastAsia" w:cs="Times New Roman"/>
                <w:kern w:val="0"/>
                <w:szCs w:val="20"/>
              </w:rPr>
              <w:t>黄岩区联岛路工地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2</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台临综执罚决字〔2022〕第12-0059号</w:t>
            </w:r>
          </w:p>
        </w:tc>
        <w:tc>
          <w:tcPr>
            <w:tcW w:w="2264" w:type="pct"/>
            <w:vAlign w:val="center"/>
          </w:tcPr>
          <w:p>
            <w:pPr>
              <w:pStyle w:val="38"/>
              <w:widowControl w:val="0"/>
              <w:rPr>
                <w:rFonts w:cs="Times New Roman"/>
                <w:kern w:val="0"/>
                <w:szCs w:val="20"/>
              </w:rPr>
            </w:pPr>
            <w:r>
              <w:rPr>
                <w:rFonts w:hint="eastAsia" w:cs="Times New Roman"/>
                <w:kern w:val="0"/>
                <w:szCs w:val="20"/>
              </w:rPr>
              <w:t>黄岩区联岛路工地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3</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台临综执罚决字〔2022〕第09-0032号</w:t>
            </w:r>
          </w:p>
        </w:tc>
        <w:tc>
          <w:tcPr>
            <w:tcW w:w="2264" w:type="pct"/>
            <w:vAlign w:val="center"/>
          </w:tcPr>
          <w:p>
            <w:pPr>
              <w:pStyle w:val="38"/>
              <w:widowControl w:val="0"/>
              <w:rPr>
                <w:rFonts w:cs="Times New Roman"/>
                <w:kern w:val="0"/>
                <w:szCs w:val="20"/>
              </w:rPr>
            </w:pPr>
            <w:r>
              <w:rPr>
                <w:rFonts w:hint="eastAsia" w:cs="Times New Roman"/>
                <w:kern w:val="0"/>
                <w:szCs w:val="20"/>
              </w:rPr>
              <w:t>洪家街道会展中心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4</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台临综执罚决字〔2022〕第09-0026号</w:t>
            </w:r>
          </w:p>
        </w:tc>
        <w:tc>
          <w:tcPr>
            <w:tcW w:w="2264" w:type="pct"/>
            <w:vAlign w:val="center"/>
          </w:tcPr>
          <w:p>
            <w:pPr>
              <w:pStyle w:val="38"/>
              <w:widowControl w:val="0"/>
              <w:rPr>
                <w:rFonts w:cs="Times New Roman"/>
                <w:kern w:val="0"/>
                <w:szCs w:val="20"/>
              </w:rPr>
            </w:pPr>
            <w:r>
              <w:rPr>
                <w:rFonts w:hint="eastAsia" w:cs="Times New Roman"/>
                <w:kern w:val="0"/>
                <w:szCs w:val="20"/>
              </w:rPr>
              <w:t>椒江区洪家街道中铁四局国际博览中心项目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5</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台临综执罚决字〔2022〕第02-0159号</w:t>
            </w:r>
          </w:p>
        </w:tc>
        <w:tc>
          <w:tcPr>
            <w:tcW w:w="2264" w:type="pct"/>
            <w:vAlign w:val="center"/>
          </w:tcPr>
          <w:p>
            <w:pPr>
              <w:pStyle w:val="38"/>
              <w:widowControl w:val="0"/>
              <w:rPr>
                <w:rFonts w:cs="Times New Roman"/>
                <w:kern w:val="0"/>
                <w:szCs w:val="20"/>
              </w:rPr>
            </w:pPr>
            <w:r>
              <w:rPr>
                <w:rFonts w:hint="eastAsia" w:cs="Times New Roman"/>
                <w:kern w:val="0"/>
                <w:szCs w:val="20"/>
              </w:rPr>
              <w:t>椒江区葭</w:t>
            </w:r>
            <w:r>
              <w:rPr>
                <w:rFonts w:hint="eastAsia" w:ascii="微软雅黑" w:hAnsi="微软雅黑" w:eastAsia="微软雅黑" w:cs="微软雅黑"/>
                <w:kern w:val="0"/>
                <w:szCs w:val="20"/>
              </w:rPr>
              <w:t>沚</w:t>
            </w:r>
            <w:r>
              <w:rPr>
                <w:rFonts w:hint="eastAsia" w:ascii="仿宋_GB2312" w:hAnsi="仿宋_GB2312" w:cs="仿宋_GB2312"/>
                <w:kern w:val="0"/>
                <w:szCs w:val="20"/>
              </w:rPr>
              <w:t>街道东山头村立改套建设项目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6</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台临综执罚决字〔2022〕第02-0160号</w:t>
            </w:r>
          </w:p>
        </w:tc>
        <w:tc>
          <w:tcPr>
            <w:tcW w:w="2264" w:type="pct"/>
            <w:vAlign w:val="center"/>
          </w:tcPr>
          <w:p>
            <w:pPr>
              <w:pStyle w:val="38"/>
              <w:widowControl w:val="0"/>
              <w:rPr>
                <w:rFonts w:cs="Times New Roman"/>
                <w:kern w:val="0"/>
                <w:szCs w:val="20"/>
              </w:rPr>
            </w:pPr>
            <w:r>
              <w:rPr>
                <w:rFonts w:hint="eastAsia" w:cs="Times New Roman"/>
                <w:kern w:val="0"/>
                <w:szCs w:val="20"/>
              </w:rPr>
              <w:t>黄岩公安大楼对面房地产工地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7</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台临综执罚决字〔2022〕第02-0161号</w:t>
            </w:r>
          </w:p>
        </w:tc>
        <w:tc>
          <w:tcPr>
            <w:tcW w:w="2264" w:type="pct"/>
            <w:vAlign w:val="center"/>
          </w:tcPr>
          <w:p>
            <w:pPr>
              <w:pStyle w:val="38"/>
              <w:widowControl w:val="0"/>
              <w:rPr>
                <w:rFonts w:cs="Times New Roman"/>
                <w:kern w:val="0"/>
                <w:szCs w:val="20"/>
              </w:rPr>
            </w:pPr>
            <w:r>
              <w:rPr>
                <w:rFonts w:hint="eastAsia" w:cs="Times New Roman"/>
                <w:kern w:val="0"/>
                <w:szCs w:val="20"/>
              </w:rPr>
              <w:t>黄岩公安大楼对面房地产工地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8</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台临综执罚决字〔2022〕第01-0019号</w:t>
            </w:r>
          </w:p>
        </w:tc>
        <w:tc>
          <w:tcPr>
            <w:tcW w:w="2264" w:type="pct"/>
            <w:vAlign w:val="center"/>
          </w:tcPr>
          <w:p>
            <w:pPr>
              <w:pStyle w:val="38"/>
              <w:widowControl w:val="0"/>
              <w:rPr>
                <w:rFonts w:cs="Times New Roman"/>
                <w:kern w:val="0"/>
                <w:szCs w:val="20"/>
              </w:rPr>
            </w:pPr>
            <w:r>
              <w:rPr>
                <w:rFonts w:hint="eastAsia" w:cs="Times New Roman"/>
                <w:kern w:val="0"/>
                <w:szCs w:val="20"/>
              </w:rPr>
              <w:t>椒江区葭</w:t>
            </w:r>
            <w:r>
              <w:rPr>
                <w:rFonts w:hint="eastAsia" w:ascii="微软雅黑" w:hAnsi="微软雅黑" w:eastAsia="微软雅黑" w:cs="微软雅黑"/>
                <w:kern w:val="0"/>
                <w:szCs w:val="20"/>
              </w:rPr>
              <w:t>沚</w:t>
            </w:r>
            <w:r>
              <w:rPr>
                <w:rFonts w:hint="eastAsia" w:ascii="仿宋_GB2312" w:hAnsi="仿宋_GB2312" w:cs="仿宋_GB2312"/>
                <w:kern w:val="0"/>
                <w:szCs w:val="20"/>
              </w:rPr>
              <w:t>街道东山头村立改套建设项目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9</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台临综执罚决字〔2022〕第12-0052号</w:t>
            </w:r>
          </w:p>
        </w:tc>
        <w:tc>
          <w:tcPr>
            <w:tcW w:w="2264" w:type="pct"/>
            <w:vAlign w:val="center"/>
          </w:tcPr>
          <w:p>
            <w:pPr>
              <w:pStyle w:val="38"/>
              <w:widowControl w:val="0"/>
              <w:rPr>
                <w:rFonts w:cs="Times New Roman"/>
                <w:kern w:val="0"/>
                <w:szCs w:val="20"/>
              </w:rPr>
            </w:pPr>
            <w:r>
              <w:rPr>
                <w:rFonts w:hint="eastAsia" w:cs="Times New Roman"/>
                <w:kern w:val="0"/>
                <w:szCs w:val="20"/>
              </w:rPr>
              <w:t>黄岩区蓝城澄园项目工地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10</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台临综执罚决字〔2022〕第12-0050号</w:t>
            </w:r>
          </w:p>
        </w:tc>
        <w:tc>
          <w:tcPr>
            <w:tcW w:w="2264" w:type="pct"/>
            <w:vAlign w:val="center"/>
          </w:tcPr>
          <w:p>
            <w:pPr>
              <w:pStyle w:val="38"/>
              <w:widowControl w:val="0"/>
              <w:rPr>
                <w:rFonts w:cs="Times New Roman"/>
                <w:kern w:val="0"/>
                <w:szCs w:val="20"/>
              </w:rPr>
            </w:pPr>
            <w:r>
              <w:rPr>
                <w:rFonts w:hint="eastAsia" w:cs="Times New Roman"/>
                <w:kern w:val="0"/>
                <w:szCs w:val="20"/>
              </w:rPr>
              <w:t>黄岩区蓝城澄园项目工地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11</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台临综执罚决字〔2022〕第12-0048号</w:t>
            </w:r>
          </w:p>
        </w:tc>
        <w:tc>
          <w:tcPr>
            <w:tcW w:w="2264" w:type="pct"/>
            <w:vAlign w:val="center"/>
          </w:tcPr>
          <w:p>
            <w:pPr>
              <w:pStyle w:val="38"/>
              <w:widowControl w:val="0"/>
              <w:rPr>
                <w:rFonts w:cs="Times New Roman"/>
                <w:kern w:val="0"/>
                <w:szCs w:val="20"/>
              </w:rPr>
            </w:pPr>
            <w:r>
              <w:rPr>
                <w:rFonts w:hint="eastAsia" w:cs="Times New Roman"/>
                <w:kern w:val="0"/>
                <w:szCs w:val="20"/>
              </w:rPr>
              <w:t>椒江区洪家街道西王小区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12</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台临综执罚决字〔2022〕第09-0024号</w:t>
            </w:r>
          </w:p>
        </w:tc>
        <w:tc>
          <w:tcPr>
            <w:tcW w:w="2264" w:type="pct"/>
            <w:vAlign w:val="center"/>
          </w:tcPr>
          <w:p>
            <w:pPr>
              <w:pStyle w:val="38"/>
              <w:widowControl w:val="0"/>
              <w:rPr>
                <w:rFonts w:cs="Times New Roman"/>
                <w:kern w:val="0"/>
                <w:szCs w:val="20"/>
              </w:rPr>
            </w:pPr>
            <w:r>
              <w:rPr>
                <w:rFonts w:hint="eastAsia" w:cs="Times New Roman"/>
                <w:kern w:val="0"/>
                <w:szCs w:val="20"/>
              </w:rPr>
              <w:t>台州市椒江区龙港城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13</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台临综执罚决字〔2022〕第07-0063号</w:t>
            </w:r>
          </w:p>
        </w:tc>
        <w:tc>
          <w:tcPr>
            <w:tcW w:w="2264" w:type="pct"/>
            <w:vAlign w:val="center"/>
          </w:tcPr>
          <w:p>
            <w:pPr>
              <w:pStyle w:val="38"/>
              <w:widowControl w:val="0"/>
              <w:rPr>
                <w:rFonts w:cs="Times New Roman"/>
                <w:kern w:val="0"/>
                <w:szCs w:val="20"/>
              </w:rPr>
            </w:pPr>
            <w:r>
              <w:rPr>
                <w:rFonts w:hint="eastAsia" w:cs="Times New Roman"/>
                <w:kern w:val="0"/>
                <w:szCs w:val="20"/>
              </w:rPr>
              <w:t>黄岩区锦晖小区工地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14</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台临综执罚决字〔2022〕第07-0069号</w:t>
            </w:r>
          </w:p>
        </w:tc>
        <w:tc>
          <w:tcPr>
            <w:tcW w:w="2264" w:type="pct"/>
            <w:vAlign w:val="center"/>
          </w:tcPr>
          <w:p>
            <w:pPr>
              <w:pStyle w:val="38"/>
              <w:widowControl w:val="0"/>
              <w:rPr>
                <w:rFonts w:cs="Times New Roman"/>
                <w:kern w:val="0"/>
                <w:szCs w:val="20"/>
              </w:rPr>
            </w:pPr>
            <w:r>
              <w:rPr>
                <w:rFonts w:hint="eastAsia" w:cs="Times New Roman"/>
                <w:kern w:val="0"/>
                <w:szCs w:val="20"/>
              </w:rPr>
              <w:t>黄岩区锦晖小区工地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15</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台临综执罚决字〔2022〕第12-0051号</w:t>
            </w:r>
          </w:p>
        </w:tc>
        <w:tc>
          <w:tcPr>
            <w:tcW w:w="2264" w:type="pct"/>
            <w:vAlign w:val="center"/>
          </w:tcPr>
          <w:p>
            <w:pPr>
              <w:pStyle w:val="38"/>
              <w:widowControl w:val="0"/>
              <w:rPr>
                <w:rFonts w:cs="Times New Roman"/>
                <w:kern w:val="0"/>
                <w:szCs w:val="20"/>
              </w:rPr>
            </w:pPr>
            <w:r>
              <w:rPr>
                <w:rFonts w:hint="eastAsia" w:cs="Times New Roman"/>
                <w:kern w:val="0"/>
                <w:szCs w:val="20"/>
              </w:rPr>
              <w:t>黄岩区蓝城澄园项目工地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16</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台临综执罚决字〔2022〕第09-0018号</w:t>
            </w:r>
          </w:p>
        </w:tc>
        <w:tc>
          <w:tcPr>
            <w:tcW w:w="2264" w:type="pct"/>
            <w:vAlign w:val="center"/>
          </w:tcPr>
          <w:p>
            <w:pPr>
              <w:pStyle w:val="38"/>
              <w:widowControl w:val="0"/>
              <w:rPr>
                <w:rFonts w:cs="Times New Roman"/>
                <w:kern w:val="0"/>
                <w:szCs w:val="20"/>
              </w:rPr>
            </w:pPr>
            <w:r>
              <w:rPr>
                <w:rFonts w:hint="eastAsia" w:cs="Times New Roman"/>
                <w:kern w:val="0"/>
                <w:szCs w:val="20"/>
              </w:rPr>
              <w:t>椒江区洪家钗洋村安置房工地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17</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台临综执罚决字〔2022〕第13-0015号</w:t>
            </w:r>
          </w:p>
        </w:tc>
        <w:tc>
          <w:tcPr>
            <w:tcW w:w="2264" w:type="pct"/>
            <w:vAlign w:val="center"/>
          </w:tcPr>
          <w:p>
            <w:pPr>
              <w:pStyle w:val="38"/>
              <w:widowControl w:val="0"/>
              <w:rPr>
                <w:rFonts w:cs="Times New Roman"/>
                <w:kern w:val="0"/>
                <w:szCs w:val="20"/>
              </w:rPr>
            </w:pPr>
            <w:r>
              <w:rPr>
                <w:rFonts w:hint="eastAsia" w:cs="Times New Roman"/>
                <w:kern w:val="0"/>
                <w:szCs w:val="20"/>
              </w:rPr>
              <w:t>椒江区洪家钗洋村安置房工地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18</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台临综执罚决字〔2022〕第13-0014号</w:t>
            </w:r>
          </w:p>
        </w:tc>
        <w:tc>
          <w:tcPr>
            <w:tcW w:w="2264" w:type="pct"/>
            <w:vAlign w:val="center"/>
          </w:tcPr>
          <w:p>
            <w:pPr>
              <w:pStyle w:val="38"/>
              <w:widowControl w:val="0"/>
              <w:rPr>
                <w:rFonts w:cs="Times New Roman"/>
                <w:kern w:val="0"/>
                <w:szCs w:val="20"/>
              </w:rPr>
            </w:pPr>
            <w:r>
              <w:rPr>
                <w:rFonts w:hint="eastAsia" w:cs="Times New Roman"/>
                <w:kern w:val="0"/>
                <w:szCs w:val="20"/>
              </w:rPr>
              <w:t>椒江中心大道工地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19</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台临综执罚决字〔2022〕第02-0127号</w:t>
            </w:r>
          </w:p>
        </w:tc>
        <w:tc>
          <w:tcPr>
            <w:tcW w:w="2264" w:type="pct"/>
            <w:vAlign w:val="center"/>
          </w:tcPr>
          <w:p>
            <w:pPr>
              <w:pStyle w:val="38"/>
              <w:widowControl w:val="0"/>
              <w:rPr>
                <w:rFonts w:cs="Times New Roman"/>
                <w:kern w:val="0"/>
                <w:szCs w:val="20"/>
              </w:rPr>
            </w:pPr>
            <w:r>
              <w:rPr>
                <w:rFonts w:hint="eastAsia" w:cs="Times New Roman"/>
                <w:kern w:val="0"/>
                <w:szCs w:val="20"/>
              </w:rPr>
              <w:t>椒江区钗洋村安置房工地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20</w:t>
            </w:r>
          </w:p>
        </w:tc>
        <w:tc>
          <w:tcPr>
            <w:tcW w:w="2337" w:type="pct"/>
            <w:noWrap/>
            <w:vAlign w:val="center"/>
          </w:tcPr>
          <w:p>
            <w:pPr>
              <w:pStyle w:val="38"/>
              <w:widowControl w:val="0"/>
              <w:rPr>
                <w:rFonts w:cs="Times New Roman"/>
                <w:kern w:val="0"/>
                <w:szCs w:val="20"/>
              </w:rPr>
            </w:pPr>
            <w:r>
              <w:rPr>
                <w:rFonts w:hint="eastAsia" w:cs="Times New Roman"/>
                <w:kern w:val="0"/>
                <w:szCs w:val="20"/>
              </w:rPr>
              <w:t>台临综执罚决字〔2022〕第13-0013号</w:t>
            </w:r>
          </w:p>
        </w:tc>
        <w:tc>
          <w:tcPr>
            <w:tcW w:w="2264" w:type="pct"/>
            <w:vAlign w:val="center"/>
          </w:tcPr>
          <w:p>
            <w:pPr>
              <w:pStyle w:val="38"/>
              <w:widowControl w:val="0"/>
              <w:rPr>
                <w:rFonts w:cs="Times New Roman"/>
                <w:kern w:val="0"/>
                <w:szCs w:val="20"/>
              </w:rPr>
            </w:pPr>
            <w:r>
              <w:rPr>
                <w:rFonts w:hint="eastAsia" w:cs="Times New Roman"/>
                <w:kern w:val="0"/>
                <w:szCs w:val="20"/>
              </w:rPr>
              <w:t>椒江东山湖边工地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2</w:t>
            </w:r>
            <w:r>
              <w:rPr>
                <w:rFonts w:cs="Times New Roman"/>
                <w:kern w:val="0"/>
                <w:szCs w:val="20"/>
              </w:rPr>
              <w:t>1</w:t>
            </w:r>
          </w:p>
        </w:tc>
        <w:tc>
          <w:tcPr>
            <w:tcW w:w="2337" w:type="pct"/>
            <w:noWrap/>
            <w:vAlign w:val="center"/>
          </w:tcPr>
          <w:p>
            <w:pPr>
              <w:pStyle w:val="38"/>
              <w:widowControl w:val="0"/>
              <w:rPr>
                <w:rFonts w:cs="Times New Roman"/>
                <w:kern w:val="0"/>
                <w:szCs w:val="20"/>
              </w:rPr>
            </w:pPr>
            <w:r>
              <w:rPr>
                <w:rFonts w:hint="eastAsia" w:cs="Times New Roman"/>
                <w:kern w:val="0"/>
                <w:szCs w:val="20"/>
              </w:rPr>
              <w:t>临公（尤）行罚决字〔2023〕01649号</w:t>
            </w:r>
          </w:p>
        </w:tc>
        <w:tc>
          <w:tcPr>
            <w:tcW w:w="2264" w:type="pct"/>
            <w:vAlign w:val="center"/>
          </w:tcPr>
          <w:p>
            <w:pPr>
              <w:pStyle w:val="38"/>
              <w:widowControl w:val="0"/>
              <w:rPr>
                <w:rFonts w:cs="Times New Roman"/>
                <w:kern w:val="0"/>
                <w:szCs w:val="20"/>
              </w:rPr>
            </w:pPr>
            <w:r>
              <w:rPr>
                <w:rFonts w:hint="eastAsia" w:cs="Times New Roman"/>
                <w:kern w:val="0"/>
                <w:szCs w:val="20"/>
              </w:rPr>
              <w:t>黄岩区台州市益泽环保科技有限公司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9" w:type="pct"/>
            <w:noWrap/>
            <w:vAlign w:val="center"/>
          </w:tcPr>
          <w:p>
            <w:pPr>
              <w:pStyle w:val="38"/>
              <w:widowControl w:val="0"/>
              <w:rPr>
                <w:rFonts w:cs="Times New Roman"/>
                <w:kern w:val="0"/>
                <w:szCs w:val="20"/>
              </w:rPr>
            </w:pPr>
            <w:r>
              <w:rPr>
                <w:rFonts w:hint="eastAsia" w:cs="Times New Roman"/>
                <w:kern w:val="0"/>
                <w:szCs w:val="20"/>
              </w:rPr>
              <w:t>2</w:t>
            </w:r>
            <w:r>
              <w:rPr>
                <w:rFonts w:cs="Times New Roman"/>
                <w:kern w:val="0"/>
                <w:szCs w:val="20"/>
              </w:rPr>
              <w:t>2</w:t>
            </w:r>
          </w:p>
        </w:tc>
        <w:tc>
          <w:tcPr>
            <w:tcW w:w="2337" w:type="pct"/>
            <w:noWrap/>
            <w:vAlign w:val="center"/>
          </w:tcPr>
          <w:p>
            <w:pPr>
              <w:pStyle w:val="38"/>
              <w:widowControl w:val="0"/>
              <w:rPr>
                <w:rFonts w:cs="Times New Roman"/>
                <w:kern w:val="0"/>
                <w:szCs w:val="20"/>
              </w:rPr>
            </w:pPr>
            <w:r>
              <w:rPr>
                <w:rFonts w:hint="eastAsia" w:cs="Times New Roman"/>
                <w:kern w:val="0"/>
                <w:szCs w:val="20"/>
              </w:rPr>
              <w:t>临公（尤）行罚决字〔2023〕01647号</w:t>
            </w:r>
          </w:p>
        </w:tc>
        <w:tc>
          <w:tcPr>
            <w:tcW w:w="2264" w:type="pct"/>
            <w:vAlign w:val="center"/>
          </w:tcPr>
          <w:p>
            <w:pPr>
              <w:pStyle w:val="38"/>
              <w:widowControl w:val="0"/>
              <w:rPr>
                <w:rFonts w:cs="Times New Roman"/>
                <w:kern w:val="0"/>
                <w:szCs w:val="20"/>
              </w:rPr>
            </w:pPr>
            <w:r>
              <w:rPr>
                <w:rFonts w:hint="eastAsia" w:cs="Times New Roman"/>
                <w:kern w:val="0"/>
                <w:szCs w:val="20"/>
              </w:rPr>
              <w:t>黄岩区台州市益泽环保科技有限公司</w:t>
            </w:r>
          </w:p>
        </w:tc>
      </w:tr>
    </w:tbl>
    <w:p>
      <w:pPr>
        <w:pStyle w:val="30"/>
      </w:pPr>
      <w:r>
        <w:rPr>
          <w:rFonts w:hint="eastAsia"/>
        </w:rPr>
        <w:t>环保督查情况</w:t>
      </w:r>
    </w:p>
    <w:p>
      <w:pPr>
        <w:ind w:firstLine="640"/>
      </w:pPr>
      <w:r>
        <w:rPr>
          <w:rFonts w:hint="eastAsia"/>
        </w:rPr>
        <w:t>临海市积极落实中央环保督察、长江经济带生态环境问题大排查大整改、扬尘百日攻坚行动、无废城市创建等相关工作要求，对照台州市建筑垃圾管理共性问题，逐条制定整改方案，出台《关于建立非正规垃圾堆放点常态化监管机制的通知》（临综执便函〔2022〕2号），建立非正规建筑垃圾堆放点长效管理机制。出台《2022年度临海市建筑垃圾管理工作考核办法》（临分类办〔2022〕13号）的通知，要求镇（街）履行建筑垃圾属地监管职能，对非正规建筑垃圾堆放点及新增建筑垃圾违法倾倒点位进行全面排查，落实“一点一方案”整改并及时上报，及时查处辖区内建筑垃圾违法行为。</w:t>
      </w:r>
    </w:p>
    <w:p>
      <w:pPr>
        <w:ind w:firstLine="640"/>
      </w:pPr>
      <w:r>
        <w:rPr>
          <w:rFonts w:hint="eastAsia"/>
        </w:rPr>
        <w:t>在道路扬尘治理工作上，临海市综合行政执法局结合临海市“漠视侵害群众利益”扬尘污染问题专项治理工作，开展扬尘治理专项行动，对建设工地、建筑垃圾运输未覆盖、带泥上路等情况进行常态化巡查，及时查处各类违法行为。按照要求完成台州府路、靖江中路、崇和路扬尘治理工作。开展常态化巡查，对店面装修围挡等进行检查，严格落实洒扫工作，完成扬尘治理任务。</w:t>
      </w:r>
    </w:p>
    <w:p>
      <w:pPr>
        <w:pStyle w:val="3"/>
      </w:pPr>
      <w:bookmarkStart w:id="20" w:name="_Toc168062385"/>
      <w:r>
        <w:rPr>
          <w:rFonts w:hint="eastAsia"/>
        </w:rPr>
        <w:t>信息公开宣传情况</w:t>
      </w:r>
      <w:bookmarkEnd w:id="20"/>
    </w:p>
    <w:p>
      <w:pPr>
        <w:pStyle w:val="30"/>
      </w:pPr>
      <w:r>
        <w:rPr>
          <w:rFonts w:hint="eastAsia"/>
        </w:rPr>
        <w:t>信息公开</w:t>
      </w:r>
    </w:p>
    <w:p>
      <w:pPr>
        <w:ind w:firstLine="640"/>
      </w:pPr>
      <w:r>
        <w:rPr>
          <w:rFonts w:hint="eastAsia"/>
        </w:rPr>
        <w:t>临海市目前定期公布建筑垃圾消纳信息。市综合行政执法局每月通过局微信公众号向社会公布渣土消纳场、泥浆固化中心、综合利用调运相关信息，促进渣土、泥浆供需方信息对接，提升综合利用水平。</w:t>
      </w:r>
    </w:p>
    <w:p>
      <w:pPr>
        <w:pStyle w:val="36"/>
      </w:pPr>
      <w:r>
        <w:rPr>
          <w:rFonts w:hint="eastAsia"/>
        </w:rPr>
        <w:drawing>
          <wp:inline distT="0" distB="0" distL="114300" distR="114300">
            <wp:extent cx="1360170" cy="3006725"/>
            <wp:effectExtent l="0" t="0" r="0" b="3175"/>
            <wp:docPr id="20" name="图片 20" descr="174d85d7df9e44eab8a89cb43abd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d85d7df9e44eab8a89cb43abd923"/>
                    <pic:cNvPicPr>
                      <a:picLocks noChangeAspect="1"/>
                    </pic:cNvPicPr>
                  </pic:nvPicPr>
                  <pic:blipFill>
                    <a:blip r:embed="rId42"/>
                    <a:stretch>
                      <a:fillRect/>
                    </a:stretch>
                  </pic:blipFill>
                  <pic:spPr>
                    <a:xfrm>
                      <a:off x="0" y="0"/>
                      <a:ext cx="1367705" cy="3022774"/>
                    </a:xfrm>
                    <a:prstGeom prst="rect">
                      <a:avLst/>
                    </a:prstGeom>
                  </pic:spPr>
                </pic:pic>
              </a:graphicData>
            </a:graphic>
          </wp:inline>
        </w:drawing>
      </w:r>
      <w:r>
        <w:t xml:space="preserve"> </w:t>
      </w:r>
      <w:r>
        <w:drawing>
          <wp:inline distT="0" distB="0" distL="114300" distR="114300">
            <wp:extent cx="1359535" cy="3004820"/>
            <wp:effectExtent l="0" t="0" r="0" b="5080"/>
            <wp:docPr id="21" name="图片 21" descr="8fd030718fe57046a7436694d2ba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fd030718fe57046a7436694d2bab36"/>
                    <pic:cNvPicPr>
                      <a:picLocks noChangeAspect="1"/>
                    </pic:cNvPicPr>
                  </pic:nvPicPr>
                  <pic:blipFill>
                    <a:blip r:embed="rId43"/>
                    <a:stretch>
                      <a:fillRect/>
                    </a:stretch>
                  </pic:blipFill>
                  <pic:spPr>
                    <a:xfrm>
                      <a:off x="0" y="0"/>
                      <a:ext cx="1370187" cy="3028657"/>
                    </a:xfrm>
                    <a:prstGeom prst="rect">
                      <a:avLst/>
                    </a:prstGeom>
                  </pic:spPr>
                </pic:pic>
              </a:graphicData>
            </a:graphic>
          </wp:inline>
        </w:drawing>
      </w:r>
      <w:r>
        <w:t xml:space="preserve"> </w:t>
      </w:r>
      <w:r>
        <w:drawing>
          <wp:inline distT="0" distB="0" distL="114300" distR="114300">
            <wp:extent cx="1360170" cy="3006725"/>
            <wp:effectExtent l="0" t="0" r="0" b="3175"/>
            <wp:docPr id="22" name="图片 22" descr="cb0cba434301f1776e8137cb1ea8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0cba434301f1776e8137cb1ea89a6"/>
                    <pic:cNvPicPr>
                      <a:picLocks noChangeAspect="1"/>
                    </pic:cNvPicPr>
                  </pic:nvPicPr>
                  <pic:blipFill>
                    <a:blip r:embed="rId44"/>
                    <a:stretch>
                      <a:fillRect/>
                    </a:stretch>
                  </pic:blipFill>
                  <pic:spPr>
                    <a:xfrm>
                      <a:off x="0" y="0"/>
                      <a:ext cx="1371147" cy="3031139"/>
                    </a:xfrm>
                    <a:prstGeom prst="rect">
                      <a:avLst/>
                    </a:prstGeom>
                  </pic:spPr>
                </pic:pic>
              </a:graphicData>
            </a:graphic>
          </wp:inline>
        </w:drawing>
      </w:r>
      <w:r>
        <w:rPr>
          <w:rFonts w:hint="eastAsia"/>
        </w:rPr>
        <w:t xml:space="preserve"> </w:t>
      </w:r>
      <w:r>
        <w:drawing>
          <wp:inline distT="0" distB="0" distL="114300" distR="114300">
            <wp:extent cx="1350010" cy="2984500"/>
            <wp:effectExtent l="0" t="0" r="2540" b="6350"/>
            <wp:docPr id="23" name="图片 23" descr="ef9ac0c33d698a52cbfab6e7c68f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f9ac0c33d698a52cbfab6e7c68fee2"/>
                    <pic:cNvPicPr>
                      <a:picLocks noChangeAspect="1"/>
                    </pic:cNvPicPr>
                  </pic:nvPicPr>
                  <pic:blipFill>
                    <a:blip r:embed="rId45"/>
                    <a:stretch>
                      <a:fillRect/>
                    </a:stretch>
                  </pic:blipFill>
                  <pic:spPr>
                    <a:xfrm>
                      <a:off x="0" y="0"/>
                      <a:ext cx="1360861" cy="3008327"/>
                    </a:xfrm>
                    <a:prstGeom prst="rect">
                      <a:avLst/>
                    </a:prstGeom>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16</w:t>
      </w:r>
      <w:r>
        <w:fldChar w:fldCharType="end"/>
      </w:r>
      <w:r>
        <w:t xml:space="preserve"> </w:t>
      </w:r>
      <w:r>
        <w:rPr>
          <w:rFonts w:hint="eastAsia"/>
        </w:rPr>
        <w:t>临海综合执法公众号推送情况（部分）</w:t>
      </w:r>
    </w:p>
    <w:p>
      <w:pPr>
        <w:ind w:firstLine="640"/>
      </w:pPr>
      <w:r>
        <w:rPr>
          <w:rFonts w:hint="eastAsia"/>
        </w:rPr>
        <w:t>按照台州市《建筑垃圾运输和消纳企业信用等级考核办法》，市综合行政执法局每月对消纳场、泥浆固化处置中心、运输企业进行常态化检查，将日常检查、违法案件查处等相关情况纳入考评。通过公众号公布建筑垃圾运输企业、消纳企业的考评结果，现已对四家月考评分未达到80分的企业负责人进行了约谈，要求企业严格按照相关标准整改到位。</w:t>
      </w:r>
    </w:p>
    <w:p>
      <w:pPr>
        <w:pStyle w:val="36"/>
      </w:pPr>
      <w:r>
        <w:drawing>
          <wp:inline distT="0" distB="0" distL="0" distR="0">
            <wp:extent cx="2712085" cy="3706495"/>
            <wp:effectExtent l="19050" t="19050" r="12065" b="27305"/>
            <wp:docPr id="1796038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38871" name="图片 1"/>
                    <pic:cNvPicPr>
                      <a:picLocks noChangeAspect="1"/>
                    </pic:cNvPicPr>
                  </pic:nvPicPr>
                  <pic:blipFill>
                    <a:blip r:embed="rId46"/>
                    <a:stretch>
                      <a:fillRect/>
                    </a:stretch>
                  </pic:blipFill>
                  <pic:spPr>
                    <a:xfrm>
                      <a:off x="0" y="0"/>
                      <a:ext cx="2722052" cy="3719635"/>
                    </a:xfrm>
                    <a:prstGeom prst="rect">
                      <a:avLst/>
                    </a:prstGeom>
                    <a:ln>
                      <a:solidFill>
                        <a:schemeClr val="bg1">
                          <a:lumMod val="95000"/>
                        </a:schemeClr>
                      </a:solidFill>
                    </a:ln>
                  </pic:spPr>
                </pic:pic>
              </a:graphicData>
            </a:graphic>
          </wp:inline>
        </w:drawing>
      </w:r>
      <w:r>
        <w:rPr>
          <w:rFonts w:hint="eastAsia"/>
        </w:rPr>
        <w:t xml:space="preserve"> </w:t>
      </w:r>
      <w:r>
        <w:drawing>
          <wp:inline distT="0" distB="0" distL="0" distR="0">
            <wp:extent cx="2668270" cy="3713480"/>
            <wp:effectExtent l="19050" t="19050" r="17780" b="20320"/>
            <wp:docPr id="1581532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32733" name="图片 1"/>
                    <pic:cNvPicPr>
                      <a:picLocks noChangeAspect="1"/>
                    </pic:cNvPicPr>
                  </pic:nvPicPr>
                  <pic:blipFill>
                    <a:blip r:embed="rId47"/>
                    <a:stretch>
                      <a:fillRect/>
                    </a:stretch>
                  </pic:blipFill>
                  <pic:spPr>
                    <a:xfrm>
                      <a:off x="0" y="0"/>
                      <a:ext cx="2678593" cy="3727381"/>
                    </a:xfrm>
                    <a:prstGeom prst="rect">
                      <a:avLst/>
                    </a:prstGeom>
                    <a:ln>
                      <a:solidFill>
                        <a:schemeClr val="bg1">
                          <a:lumMod val="95000"/>
                        </a:schemeClr>
                      </a:solidFill>
                    </a:ln>
                  </pic:spPr>
                </pic:pic>
              </a:graphicData>
            </a:graphic>
          </wp:inline>
        </w:drawing>
      </w:r>
    </w:p>
    <w:p>
      <w:pPr>
        <w:pStyle w:val="36"/>
        <w:ind w:firstLine="560"/>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17</w:t>
      </w:r>
      <w:r>
        <w:fldChar w:fldCharType="end"/>
      </w:r>
      <w:r>
        <w:t xml:space="preserve"> </w:t>
      </w:r>
      <w:r>
        <w:rPr>
          <w:rFonts w:hint="eastAsia"/>
        </w:rPr>
        <w:t>临海建筑垃圾运输和消纳企业考核结果公示（部分）</w:t>
      </w:r>
    </w:p>
    <w:p>
      <w:pPr>
        <w:pStyle w:val="30"/>
      </w:pPr>
      <w:r>
        <w:rPr>
          <w:rFonts w:hint="eastAsia"/>
        </w:rPr>
        <w:t>宣传工作</w:t>
      </w:r>
    </w:p>
    <w:p>
      <w:pPr>
        <w:ind w:firstLine="640"/>
      </w:pPr>
      <w:r>
        <w:rPr>
          <w:rFonts w:hint="eastAsia"/>
        </w:rPr>
        <w:t>市综合行政执法局高度重视宣传工作，在人民日报、学习强国、浙江新闻、台州日报等媒体发表建筑垃圾整治、智能监管、宣传引导等各类文章，引导市民正确投放、处置建筑垃圾，对违法运输违法倾倒行为形成威慑。</w:t>
      </w:r>
    </w:p>
    <w:p>
      <w:pPr>
        <w:pStyle w:val="36"/>
      </w:pPr>
      <w:r>
        <w:drawing>
          <wp:inline distT="0" distB="0" distL="114300" distR="114300">
            <wp:extent cx="2880995" cy="2520315"/>
            <wp:effectExtent l="0" t="0" r="0" b="0"/>
            <wp:docPr id="11" name="图片 11" descr="d7858867310e9d855303ea466e6db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7858867310e9d855303ea466e6dbe4d"/>
                    <pic:cNvPicPr>
                      <a:picLocks noChangeAspect="1"/>
                    </pic:cNvPicPr>
                  </pic:nvPicPr>
                  <pic:blipFill>
                    <a:blip r:embed="rId48"/>
                    <a:stretch>
                      <a:fillRect/>
                    </a:stretch>
                  </pic:blipFill>
                  <pic:spPr>
                    <a:xfrm>
                      <a:off x="0" y="0"/>
                      <a:ext cx="2889100" cy="2527342"/>
                    </a:xfrm>
                    <a:prstGeom prst="rect">
                      <a:avLst/>
                    </a:prstGeom>
                  </pic:spPr>
                </pic:pic>
              </a:graphicData>
            </a:graphic>
          </wp:inline>
        </w:drawing>
      </w:r>
      <w:r>
        <w:drawing>
          <wp:inline distT="0" distB="0" distL="114300" distR="114300">
            <wp:extent cx="2821940" cy="2593975"/>
            <wp:effectExtent l="0" t="0" r="0" b="0"/>
            <wp:docPr id="1" name="图片 1" descr="中国蓝新闻：临海开启城市执法数字化新时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蓝新闻：临海开启城市执法数字化新时代"/>
                    <pic:cNvPicPr>
                      <a:picLocks noChangeAspect="1"/>
                    </pic:cNvPicPr>
                  </pic:nvPicPr>
                  <pic:blipFill>
                    <a:blip r:embed="rId49"/>
                    <a:stretch>
                      <a:fillRect/>
                    </a:stretch>
                  </pic:blipFill>
                  <pic:spPr>
                    <a:xfrm>
                      <a:off x="0" y="0"/>
                      <a:ext cx="2825876" cy="2597841"/>
                    </a:xfrm>
                    <a:prstGeom prst="rect">
                      <a:avLst/>
                    </a:prstGeom>
                  </pic:spPr>
                </pic:pic>
              </a:graphicData>
            </a:graphic>
          </wp:inline>
        </w:drawing>
      </w:r>
    </w:p>
    <w:p>
      <w:pPr>
        <w:pStyle w:val="36"/>
      </w:pPr>
      <w:r>
        <w:drawing>
          <wp:inline distT="0" distB="0" distL="114300" distR="114300">
            <wp:extent cx="3018790" cy="2349500"/>
            <wp:effectExtent l="0" t="0" r="0" b="0"/>
            <wp:docPr id="10" name="图片 10" descr="网易：临海宾馆拆了，未来社区来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网易：临海宾馆拆了，未来社区来了！"/>
                    <pic:cNvPicPr>
                      <a:picLocks noChangeAspect="1"/>
                    </pic:cNvPicPr>
                  </pic:nvPicPr>
                  <pic:blipFill>
                    <a:blip r:embed="rId50"/>
                    <a:stretch>
                      <a:fillRect/>
                    </a:stretch>
                  </pic:blipFill>
                  <pic:spPr>
                    <a:xfrm>
                      <a:off x="0" y="0"/>
                      <a:ext cx="3022506" cy="2352685"/>
                    </a:xfrm>
                    <a:prstGeom prst="rect">
                      <a:avLst/>
                    </a:prstGeom>
                  </pic:spPr>
                </pic:pic>
              </a:graphicData>
            </a:graphic>
          </wp:inline>
        </w:drawing>
      </w:r>
      <w:r>
        <w:drawing>
          <wp:inline distT="0" distB="0" distL="114300" distR="114300">
            <wp:extent cx="2383155" cy="2338070"/>
            <wp:effectExtent l="0" t="0" r="0" b="5080"/>
            <wp:docPr id="3" name="图片 3" descr="浙江新闻：执法实现云办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浙江新闻：执法实现云办案"/>
                    <pic:cNvPicPr>
                      <a:picLocks noChangeAspect="1"/>
                    </pic:cNvPicPr>
                  </pic:nvPicPr>
                  <pic:blipFill>
                    <a:blip r:embed="rId51"/>
                    <a:stretch>
                      <a:fillRect/>
                    </a:stretch>
                  </pic:blipFill>
                  <pic:spPr>
                    <a:xfrm>
                      <a:off x="0" y="0"/>
                      <a:ext cx="2395051" cy="2350133"/>
                    </a:xfrm>
                    <a:prstGeom prst="rect">
                      <a:avLst/>
                    </a:prstGeom>
                  </pic:spPr>
                </pic:pic>
              </a:graphicData>
            </a:graphic>
          </wp:inline>
        </w:drawing>
      </w:r>
    </w:p>
    <w:p>
      <w:pPr>
        <w:pStyle w:val="36"/>
        <w:ind w:firstLine="560"/>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18</w:t>
      </w:r>
      <w:r>
        <w:fldChar w:fldCharType="end"/>
      </w:r>
      <w:r>
        <w:t xml:space="preserve"> </w:t>
      </w:r>
      <w:r>
        <w:rPr>
          <w:rFonts w:hint="eastAsia"/>
        </w:rPr>
        <w:t>临海建筑垃圾工作信息宣传公示（部分）</w:t>
      </w:r>
    </w:p>
    <w:p>
      <w:pPr>
        <w:pStyle w:val="3"/>
      </w:pPr>
      <w:bookmarkStart w:id="21" w:name="_Toc168062386"/>
      <w:r>
        <w:rPr>
          <w:rFonts w:hint="eastAsia"/>
        </w:rPr>
        <w:t>存在问题</w:t>
      </w:r>
      <w:bookmarkEnd w:id="21"/>
    </w:p>
    <w:p>
      <w:pPr>
        <w:pStyle w:val="30"/>
      </w:pPr>
      <w:r>
        <w:rPr>
          <w:rFonts w:hint="eastAsia"/>
        </w:rPr>
        <w:t>建筑垃圾跨县市区违规处置现象屡禁不止</w:t>
      </w:r>
    </w:p>
    <w:p>
      <w:pPr>
        <w:ind w:firstLine="640"/>
      </w:pPr>
      <w:r>
        <w:rPr>
          <w:rFonts w:hint="eastAsia"/>
        </w:rPr>
        <w:t>市外渣土跨区（县）非法倾倒现象严重，难以监管到位。椒江、黄岩等地区大多于后半夜将大量建筑渣土倾倒至我市，</w:t>
      </w:r>
      <w:r>
        <w:rPr>
          <w:rFonts w:hint="eastAsia"/>
          <w:highlight w:val="cyan"/>
        </w:rPr>
        <w:t>仅2023年查处椒江、黄岩等跨区（县）倾倒至我市头门港等地案件37起，处理处罚涉及金额285万余元。</w:t>
      </w:r>
      <w:r>
        <w:rPr>
          <w:rFonts w:hint="eastAsia"/>
        </w:rPr>
        <w:t>针对市外渣土跨区域非法倾倒现象，市综合执法局主要采取了以下措施：一是“动态巡查+设卡检查”，开展建筑垃圾夜间专项整治行动。组建建筑垃圾夜间专项整治队伍，科学安排夜间执法力量，明确管控重点，锁定违法运输高发区域，积极推进“重点路段定时巡查，必经路段设卡检查”的执法模式。在228国道、头门港红脚岩等建筑垃圾运输必经位置设置卡点，对过往建筑垃圾运输车辆逐一进行检查，同时组织人员对351国道、杜南大道、进港路等重点路段实行动态巡查，进一步提升执法巡查密度，加强对可疑车辆的跟踪监管。二是突出执法环节，开展联合执法。依托智慧城管平台，统筹镇街监控探头、部门自建系统、公安“天网”系统，打造重点点位全覆盖、查证取证一屏完成的监控网。市综合执法局先后联合生态环境、公安、建设、交通运输等部门开展执法行动76次，检查国省道过往渣土车1400余辆次，</w:t>
      </w:r>
      <w:r>
        <w:rPr>
          <w:rFonts w:hint="eastAsia"/>
          <w:highlight w:val="cyan"/>
        </w:rPr>
        <w:t>2023年总计办理建筑垃圾类案件151件，罚款364万余元，</w:t>
      </w:r>
      <w:r>
        <w:rPr>
          <w:rFonts w:hint="eastAsia"/>
        </w:rPr>
        <w:t>移送公安3起，行政拘留5人，并依据《浙江省固体废物污染防治条例》作出台州市首罚，促进省固废条例落地见效。三是堵疏结合，开放台州湾新材料场平工程（一期）项目跨县（市、区）渣土审批。台州湾新材料场平工程（一期）项目运行以来，我市开放台州湾新材料场平工程的市外渣土核准。</w:t>
      </w:r>
    </w:p>
    <w:p>
      <w:pPr>
        <w:pStyle w:val="30"/>
      </w:pPr>
      <w:r>
        <w:rPr>
          <w:rFonts w:hint="eastAsia"/>
        </w:rPr>
        <w:t>正规消纳场所数量缺乏，资源化企业引进落地难</w:t>
      </w:r>
    </w:p>
    <w:p>
      <w:pPr>
        <w:ind w:firstLine="640"/>
      </w:pPr>
      <w:r>
        <w:rPr>
          <w:rFonts w:hint="eastAsia"/>
        </w:rPr>
        <w:t>消纳点紧缺且正规消纳场容量已饱和。头门港城投渣土消纳场是由临海市社发集团城投建筑垃圾消纳有限公司作为经营主体，</w:t>
      </w:r>
      <w:r>
        <w:rPr>
          <w:rFonts w:hint="eastAsia"/>
          <w:highlight w:val="cyan"/>
        </w:rPr>
        <w:t>截至2023年填埋建筑渣土126万方，目前该渣土消纳场容量饱和，已于2023年底封场。</w:t>
      </w:r>
      <w:r>
        <w:rPr>
          <w:rFonts w:hint="eastAsia"/>
        </w:rPr>
        <w:t>台州湾新材料产业园场平工程（一期）土方调运方案于2023年7月13日经市政府常务会议讨论通过并正式实施。市综合执法局负责土方调运的行政许可及临海市域内土方运输全过程监管。</w:t>
      </w:r>
      <w:r>
        <w:rPr>
          <w:rFonts w:hint="eastAsia"/>
          <w:highlight w:val="cyan"/>
        </w:rPr>
        <w:t>白水洋镇大件垃圾及建筑垃圾处理中心（白水洋镇）、梅岙建筑垃圾分拣中心（大洋街道）、建筑渣土资源化利用中心（邵家渡街道）已经纳入《临海市国土空间总体规划（2021-2035）》（审批稿），已在省自然资源规划厅等待批复。</w:t>
      </w:r>
      <w:r>
        <w:rPr>
          <w:rFonts w:hint="eastAsia"/>
        </w:rPr>
        <w:t>受制于正规土地问题，无法引进资源化利用企业，等总体规划审核批准后，市综合执法局将与市社发集团对接推动有意向的资源化利用企业落地临海。</w:t>
      </w:r>
    </w:p>
    <w:p>
      <w:pPr>
        <w:pStyle w:val="2"/>
      </w:pPr>
      <w:bookmarkStart w:id="22" w:name="_Toc151073472"/>
      <w:bookmarkEnd w:id="22"/>
      <w:bookmarkStart w:id="23" w:name="_Toc151072921"/>
      <w:bookmarkEnd w:id="23"/>
      <w:bookmarkStart w:id="24" w:name="_Toc151073473"/>
      <w:bookmarkEnd w:id="24"/>
      <w:bookmarkStart w:id="25" w:name="_Toc151073107"/>
      <w:bookmarkEnd w:id="25"/>
      <w:bookmarkStart w:id="26" w:name="_Toc151073290"/>
      <w:bookmarkEnd w:id="26"/>
      <w:bookmarkStart w:id="27" w:name="_Toc151073106"/>
      <w:bookmarkEnd w:id="27"/>
      <w:bookmarkStart w:id="28" w:name="_Toc151073289"/>
      <w:bookmarkEnd w:id="28"/>
      <w:bookmarkStart w:id="29" w:name="_Toc151072922"/>
      <w:bookmarkEnd w:id="29"/>
      <w:bookmarkStart w:id="30" w:name="_Toc168062387"/>
      <w:r>
        <w:rPr>
          <w:rFonts w:hint="eastAsia"/>
        </w:rPr>
        <w:t>规划解读及案例分析</w:t>
      </w:r>
      <w:bookmarkEnd w:id="30"/>
    </w:p>
    <w:p>
      <w:pPr>
        <w:pStyle w:val="3"/>
      </w:pPr>
      <w:bookmarkStart w:id="31" w:name="_Toc168062388"/>
      <w:r>
        <w:rPr>
          <w:rFonts w:hint="eastAsia"/>
        </w:rPr>
        <w:t>相关规划解读</w:t>
      </w:r>
      <w:bookmarkEnd w:id="31"/>
    </w:p>
    <w:p>
      <w:pPr>
        <w:pStyle w:val="30"/>
      </w:pPr>
      <w:r>
        <w:rPr>
          <w:rFonts w:hint="eastAsia"/>
        </w:rPr>
        <w:t>临海市国土空间总体规划（2021-2035年）</w:t>
      </w:r>
    </w:p>
    <w:p>
      <w:pPr>
        <w:ind w:firstLine="640"/>
      </w:pPr>
      <w:r>
        <w:rPr>
          <w:rFonts w:hint="eastAsia"/>
        </w:rPr>
        <w:t>国土空间规划中与建筑垃圾相关的条文主要如下：</w:t>
      </w:r>
    </w:p>
    <w:p>
      <w:pPr>
        <w:ind w:firstLine="640"/>
      </w:pPr>
      <w:r>
        <w:rPr>
          <w:rFonts w:hint="eastAsia"/>
        </w:rPr>
        <w:t>构建垃圾资源化处置系统。预测中心城区日产垃圾量2025年为560吨/日，2035年为810吨/日。</w:t>
      </w:r>
    </w:p>
    <w:p>
      <w:pPr>
        <w:ind w:firstLine="640"/>
      </w:pPr>
      <w:r>
        <w:rPr>
          <w:rFonts w:hint="eastAsia"/>
        </w:rPr>
        <w:t>规划保留松山垃圾发电厂，处理规模达1450吨/日；扩建现状伟明环保能源有限公司的垃圾处理设施，处理规模达1450吨/日；保留现状餐厨垃圾处理厂，并预留二期建设用地，总处理规模为150吨/日。扩建临海市医疗废物处置中心，处理规模为7200吨/年；新建垃圾焚烧飞灰填埋场，总库容54.24万立方米；新建建筑垃圾资源化利用中心，处理规模为25万吨/年；新建古楼装修大件垃圾分拣中心，服务于临海全市域。保留现状垃圾转运站8座，新建垃圾转运站9座。提高垃圾无害化、减量化、资源化处置，加快实现“无废城市”建设。</w:t>
      </w:r>
    </w:p>
    <w:p>
      <w:pPr>
        <w:pStyle w:val="36"/>
      </w:pPr>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w:t>
      </w:r>
      <w:r>
        <w:fldChar w:fldCharType="end"/>
      </w:r>
      <w:r>
        <w:rPr>
          <w:rFonts w:hint="eastAsia"/>
        </w:rPr>
        <w:t>建设项目安排表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1"/>
        <w:gridCol w:w="851"/>
        <w:gridCol w:w="850"/>
        <w:gridCol w:w="1296"/>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531" w:type="dxa"/>
            <w:noWrap/>
            <w:vAlign w:val="center"/>
          </w:tcPr>
          <w:p>
            <w:pPr>
              <w:pStyle w:val="38"/>
              <w:widowControl w:val="0"/>
              <w:rPr>
                <w:rFonts w:cs="Times New Roman"/>
                <w:kern w:val="0"/>
                <w:szCs w:val="20"/>
              </w:rPr>
            </w:pPr>
            <w:r>
              <w:rPr>
                <w:rFonts w:hint="eastAsia" w:cs="Times New Roman"/>
                <w:kern w:val="0"/>
                <w:szCs w:val="20"/>
              </w:rPr>
              <w:t>名称</w:t>
            </w:r>
          </w:p>
        </w:tc>
        <w:tc>
          <w:tcPr>
            <w:tcW w:w="851" w:type="dxa"/>
            <w:noWrap/>
            <w:vAlign w:val="center"/>
          </w:tcPr>
          <w:p>
            <w:pPr>
              <w:pStyle w:val="38"/>
              <w:widowControl w:val="0"/>
              <w:rPr>
                <w:rFonts w:cs="Times New Roman"/>
                <w:kern w:val="0"/>
                <w:szCs w:val="20"/>
              </w:rPr>
            </w:pPr>
            <w:r>
              <w:rPr>
                <w:rFonts w:hint="eastAsia" w:cs="Times New Roman"/>
                <w:kern w:val="0"/>
                <w:szCs w:val="20"/>
              </w:rPr>
              <w:t>性质</w:t>
            </w:r>
          </w:p>
        </w:tc>
        <w:tc>
          <w:tcPr>
            <w:tcW w:w="850" w:type="dxa"/>
            <w:noWrap/>
            <w:vAlign w:val="center"/>
          </w:tcPr>
          <w:p>
            <w:pPr>
              <w:pStyle w:val="38"/>
              <w:widowControl w:val="0"/>
              <w:rPr>
                <w:rFonts w:cs="Times New Roman"/>
                <w:kern w:val="0"/>
                <w:szCs w:val="20"/>
              </w:rPr>
            </w:pPr>
            <w:r>
              <w:rPr>
                <w:rFonts w:hint="eastAsia" w:cs="Times New Roman"/>
                <w:kern w:val="0"/>
                <w:szCs w:val="20"/>
              </w:rPr>
              <w:t>级别</w:t>
            </w:r>
          </w:p>
        </w:tc>
        <w:tc>
          <w:tcPr>
            <w:tcW w:w="1296" w:type="dxa"/>
            <w:noWrap/>
            <w:vAlign w:val="center"/>
          </w:tcPr>
          <w:p>
            <w:pPr>
              <w:pStyle w:val="38"/>
              <w:widowControl w:val="0"/>
              <w:rPr>
                <w:rFonts w:cs="Times New Roman"/>
                <w:kern w:val="0"/>
                <w:szCs w:val="20"/>
              </w:rPr>
            </w:pPr>
            <w:r>
              <w:rPr>
                <w:rFonts w:hint="eastAsia" w:cs="Times New Roman"/>
                <w:kern w:val="0"/>
                <w:szCs w:val="20"/>
              </w:rPr>
              <w:t>建设年限</w:t>
            </w:r>
          </w:p>
        </w:tc>
        <w:tc>
          <w:tcPr>
            <w:tcW w:w="1532" w:type="dxa"/>
            <w:noWrap/>
            <w:vAlign w:val="center"/>
          </w:tcPr>
          <w:p>
            <w:pPr>
              <w:pStyle w:val="38"/>
              <w:widowControl w:val="0"/>
              <w:rPr>
                <w:rFonts w:cs="Times New Roman"/>
                <w:kern w:val="0"/>
                <w:szCs w:val="20"/>
              </w:rPr>
            </w:pPr>
            <w:r>
              <w:rPr>
                <w:rFonts w:hint="eastAsia" w:cs="Times New Roman"/>
                <w:kern w:val="0"/>
                <w:szCs w:val="20"/>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4531" w:type="dxa"/>
            <w:noWrap/>
            <w:vAlign w:val="center"/>
          </w:tcPr>
          <w:p>
            <w:pPr>
              <w:pStyle w:val="38"/>
              <w:widowControl w:val="0"/>
              <w:rPr>
                <w:rFonts w:cs="Times New Roman"/>
                <w:kern w:val="0"/>
                <w:szCs w:val="20"/>
              </w:rPr>
            </w:pPr>
            <w:r>
              <w:rPr>
                <w:rFonts w:hint="eastAsia" w:cs="Times New Roman"/>
                <w:kern w:val="0"/>
                <w:szCs w:val="20"/>
              </w:rPr>
              <w:t>白水洋镇大件垃圾及建筑垃圾处理中心</w:t>
            </w:r>
          </w:p>
        </w:tc>
        <w:tc>
          <w:tcPr>
            <w:tcW w:w="851" w:type="dxa"/>
            <w:noWrap/>
            <w:vAlign w:val="center"/>
          </w:tcPr>
          <w:p>
            <w:pPr>
              <w:pStyle w:val="38"/>
              <w:widowControl w:val="0"/>
              <w:rPr>
                <w:rFonts w:cs="Times New Roman"/>
                <w:kern w:val="0"/>
                <w:szCs w:val="20"/>
              </w:rPr>
            </w:pPr>
            <w:r>
              <w:rPr>
                <w:rFonts w:hint="eastAsia" w:cs="Times New Roman"/>
                <w:kern w:val="0"/>
                <w:szCs w:val="20"/>
              </w:rPr>
              <w:t>新建</w:t>
            </w:r>
          </w:p>
        </w:tc>
        <w:tc>
          <w:tcPr>
            <w:tcW w:w="850" w:type="dxa"/>
            <w:noWrap/>
            <w:vAlign w:val="center"/>
          </w:tcPr>
          <w:p>
            <w:pPr>
              <w:pStyle w:val="38"/>
              <w:widowControl w:val="0"/>
              <w:rPr>
                <w:rFonts w:cs="Times New Roman"/>
                <w:kern w:val="0"/>
                <w:szCs w:val="20"/>
              </w:rPr>
            </w:pPr>
            <w:r>
              <w:rPr>
                <w:rFonts w:hint="eastAsia" w:cs="Times New Roman"/>
                <w:kern w:val="0"/>
                <w:szCs w:val="20"/>
              </w:rPr>
              <w:t>县级</w:t>
            </w:r>
          </w:p>
        </w:tc>
        <w:tc>
          <w:tcPr>
            <w:tcW w:w="1296" w:type="dxa"/>
            <w:vAlign w:val="center"/>
          </w:tcPr>
          <w:p>
            <w:pPr>
              <w:pStyle w:val="38"/>
              <w:widowControl w:val="0"/>
              <w:rPr>
                <w:rFonts w:cs="Times New Roman"/>
                <w:kern w:val="0"/>
                <w:szCs w:val="20"/>
              </w:rPr>
            </w:pPr>
            <w:r>
              <w:rPr>
                <w:rFonts w:hint="eastAsia" w:cs="Times New Roman"/>
                <w:kern w:val="0"/>
                <w:szCs w:val="20"/>
              </w:rPr>
              <w:t>2022-2035</w:t>
            </w:r>
          </w:p>
        </w:tc>
        <w:tc>
          <w:tcPr>
            <w:tcW w:w="1532" w:type="dxa"/>
            <w:noWrap/>
            <w:vAlign w:val="center"/>
          </w:tcPr>
          <w:p>
            <w:pPr>
              <w:pStyle w:val="38"/>
              <w:widowControl w:val="0"/>
              <w:rPr>
                <w:rFonts w:cs="Times New Roman"/>
                <w:kern w:val="0"/>
                <w:szCs w:val="20"/>
              </w:rPr>
            </w:pPr>
            <w:r>
              <w:rPr>
                <w:rFonts w:hint="eastAsia" w:cs="Times New Roman"/>
                <w:kern w:val="0"/>
                <w:szCs w:val="20"/>
              </w:rPr>
              <w:t>白水洋镇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531" w:type="dxa"/>
            <w:noWrap/>
            <w:vAlign w:val="center"/>
          </w:tcPr>
          <w:p>
            <w:pPr>
              <w:pStyle w:val="38"/>
              <w:widowControl w:val="0"/>
              <w:rPr>
                <w:rFonts w:cs="Times New Roman"/>
                <w:kern w:val="0"/>
                <w:szCs w:val="20"/>
              </w:rPr>
            </w:pPr>
            <w:r>
              <w:rPr>
                <w:rFonts w:hint="eastAsia" w:cs="Times New Roman"/>
                <w:kern w:val="0"/>
                <w:szCs w:val="20"/>
              </w:rPr>
              <w:t>建筑垃圾资源化利用中心</w:t>
            </w:r>
          </w:p>
        </w:tc>
        <w:tc>
          <w:tcPr>
            <w:tcW w:w="851" w:type="dxa"/>
            <w:noWrap/>
            <w:vAlign w:val="center"/>
          </w:tcPr>
          <w:p>
            <w:pPr>
              <w:pStyle w:val="38"/>
              <w:widowControl w:val="0"/>
              <w:rPr>
                <w:rFonts w:cs="Times New Roman"/>
                <w:kern w:val="0"/>
                <w:szCs w:val="20"/>
              </w:rPr>
            </w:pPr>
            <w:r>
              <w:rPr>
                <w:rFonts w:hint="eastAsia" w:cs="Times New Roman"/>
                <w:kern w:val="0"/>
                <w:szCs w:val="20"/>
              </w:rPr>
              <w:t>新建</w:t>
            </w:r>
          </w:p>
        </w:tc>
        <w:tc>
          <w:tcPr>
            <w:tcW w:w="850" w:type="dxa"/>
            <w:noWrap/>
            <w:vAlign w:val="center"/>
          </w:tcPr>
          <w:p>
            <w:pPr>
              <w:pStyle w:val="38"/>
              <w:widowControl w:val="0"/>
              <w:rPr>
                <w:rFonts w:cs="Times New Roman"/>
                <w:kern w:val="0"/>
                <w:szCs w:val="20"/>
              </w:rPr>
            </w:pPr>
            <w:r>
              <w:rPr>
                <w:rFonts w:hint="eastAsia" w:cs="Times New Roman"/>
                <w:kern w:val="0"/>
                <w:szCs w:val="20"/>
              </w:rPr>
              <w:t>县级</w:t>
            </w:r>
          </w:p>
        </w:tc>
        <w:tc>
          <w:tcPr>
            <w:tcW w:w="1296" w:type="dxa"/>
            <w:noWrap/>
            <w:vAlign w:val="center"/>
          </w:tcPr>
          <w:p>
            <w:pPr>
              <w:pStyle w:val="38"/>
              <w:widowControl w:val="0"/>
              <w:rPr>
                <w:rFonts w:cs="Times New Roman"/>
                <w:kern w:val="0"/>
                <w:szCs w:val="20"/>
              </w:rPr>
            </w:pPr>
            <w:r>
              <w:rPr>
                <w:rFonts w:hint="eastAsia" w:cs="Times New Roman"/>
                <w:kern w:val="0"/>
                <w:szCs w:val="20"/>
              </w:rPr>
              <w:t>2021-2025</w:t>
            </w:r>
          </w:p>
        </w:tc>
        <w:tc>
          <w:tcPr>
            <w:tcW w:w="1532" w:type="dxa"/>
            <w:noWrap/>
            <w:vAlign w:val="center"/>
          </w:tcPr>
          <w:p>
            <w:pPr>
              <w:pStyle w:val="38"/>
              <w:widowControl w:val="0"/>
              <w:rPr>
                <w:rFonts w:cs="Times New Roman"/>
                <w:kern w:val="0"/>
                <w:szCs w:val="20"/>
              </w:rPr>
            </w:pPr>
            <w:r>
              <w:rPr>
                <w:rFonts w:hint="eastAsia" w:cs="Times New Roman"/>
                <w:kern w:val="0"/>
                <w:szCs w:val="20"/>
              </w:rPr>
              <w:t>台州湾经济技术开发区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531" w:type="dxa"/>
            <w:noWrap/>
            <w:vAlign w:val="center"/>
          </w:tcPr>
          <w:p>
            <w:pPr>
              <w:pStyle w:val="38"/>
              <w:widowControl w:val="0"/>
              <w:rPr>
                <w:rFonts w:cs="Times New Roman"/>
                <w:kern w:val="0"/>
                <w:szCs w:val="20"/>
              </w:rPr>
            </w:pPr>
            <w:r>
              <w:rPr>
                <w:rFonts w:hint="eastAsia" w:cs="Times New Roman"/>
                <w:kern w:val="0"/>
                <w:szCs w:val="20"/>
              </w:rPr>
              <w:t>梅岙建筑垃圾分拣中心</w:t>
            </w:r>
          </w:p>
        </w:tc>
        <w:tc>
          <w:tcPr>
            <w:tcW w:w="851" w:type="dxa"/>
            <w:noWrap/>
            <w:vAlign w:val="center"/>
          </w:tcPr>
          <w:p>
            <w:pPr>
              <w:pStyle w:val="38"/>
              <w:widowControl w:val="0"/>
              <w:rPr>
                <w:rFonts w:cs="Times New Roman"/>
                <w:kern w:val="0"/>
                <w:szCs w:val="20"/>
              </w:rPr>
            </w:pPr>
            <w:r>
              <w:rPr>
                <w:rFonts w:hint="eastAsia" w:cs="Times New Roman"/>
                <w:kern w:val="0"/>
                <w:szCs w:val="20"/>
              </w:rPr>
              <w:t>新建</w:t>
            </w:r>
          </w:p>
        </w:tc>
        <w:tc>
          <w:tcPr>
            <w:tcW w:w="850" w:type="dxa"/>
            <w:noWrap/>
            <w:vAlign w:val="center"/>
          </w:tcPr>
          <w:p>
            <w:pPr>
              <w:pStyle w:val="38"/>
              <w:widowControl w:val="0"/>
              <w:rPr>
                <w:rFonts w:cs="Times New Roman"/>
                <w:kern w:val="0"/>
                <w:szCs w:val="20"/>
              </w:rPr>
            </w:pPr>
            <w:r>
              <w:rPr>
                <w:rFonts w:hint="eastAsia" w:cs="Times New Roman"/>
                <w:kern w:val="0"/>
                <w:szCs w:val="20"/>
              </w:rPr>
              <w:t>县级</w:t>
            </w:r>
          </w:p>
        </w:tc>
        <w:tc>
          <w:tcPr>
            <w:tcW w:w="1296" w:type="dxa"/>
            <w:vAlign w:val="center"/>
          </w:tcPr>
          <w:p>
            <w:pPr>
              <w:pStyle w:val="38"/>
              <w:widowControl w:val="0"/>
              <w:rPr>
                <w:rFonts w:cs="Times New Roman"/>
                <w:kern w:val="0"/>
                <w:szCs w:val="20"/>
              </w:rPr>
            </w:pPr>
            <w:r>
              <w:rPr>
                <w:rFonts w:hint="eastAsia" w:cs="Times New Roman"/>
                <w:kern w:val="0"/>
                <w:szCs w:val="20"/>
              </w:rPr>
              <w:t>2022-2035</w:t>
            </w:r>
          </w:p>
        </w:tc>
        <w:tc>
          <w:tcPr>
            <w:tcW w:w="1532" w:type="dxa"/>
            <w:noWrap/>
            <w:vAlign w:val="center"/>
          </w:tcPr>
          <w:p>
            <w:pPr>
              <w:pStyle w:val="38"/>
              <w:widowControl w:val="0"/>
              <w:rPr>
                <w:rFonts w:cs="Times New Roman"/>
                <w:kern w:val="0"/>
                <w:szCs w:val="20"/>
              </w:rPr>
            </w:pPr>
            <w:r>
              <w:rPr>
                <w:rFonts w:hint="eastAsia" w:cs="Times New Roman"/>
                <w:kern w:val="0"/>
                <w:szCs w:val="20"/>
              </w:rPr>
              <w:t>中心城区</w:t>
            </w:r>
          </w:p>
        </w:tc>
      </w:tr>
    </w:tbl>
    <w:p>
      <w:pPr>
        <w:ind w:firstLine="640"/>
      </w:pPr>
    </w:p>
    <w:p>
      <w:pPr>
        <w:ind w:firstLine="640"/>
        <w:rPr>
          <w:rFonts w:hint="eastAsia"/>
        </w:rPr>
      </w:pPr>
    </w:p>
    <w:p>
      <w:pPr>
        <w:pStyle w:val="30"/>
      </w:pPr>
      <w:r>
        <w:rPr>
          <w:rFonts w:hint="eastAsia"/>
        </w:rPr>
        <w:t>临海市域环境卫生工程专项规划（2020-2035）</w:t>
      </w:r>
    </w:p>
    <w:p>
      <w:pPr>
        <w:ind w:firstLine="640"/>
      </w:pPr>
      <w:r>
        <w:rPr>
          <w:rFonts w:hint="eastAsia"/>
        </w:rPr>
        <w:t>1、规划范围</w:t>
      </w:r>
    </w:p>
    <w:p>
      <w:pPr>
        <w:ind w:firstLine="640"/>
      </w:pPr>
      <w:r>
        <w:rPr>
          <w:rFonts w:hint="eastAsia"/>
        </w:rPr>
        <w:t>本次规划范围为临海市所辖全部行政范围陆域面积2203平方公里，海域面积1590平方公里。</w:t>
      </w:r>
    </w:p>
    <w:p>
      <w:pPr>
        <w:ind w:firstLine="640"/>
      </w:pPr>
      <w:r>
        <w:rPr>
          <w:rFonts w:hint="eastAsia"/>
        </w:rPr>
        <w:t>2、规划期限</w:t>
      </w:r>
    </w:p>
    <w:p>
      <w:pPr>
        <w:ind w:firstLine="640"/>
      </w:pPr>
      <w:r>
        <w:rPr>
          <w:rFonts w:hint="eastAsia"/>
        </w:rPr>
        <w:t>规划基准年限：2019年；近期：2020年——2025年；远期：2026年——2035年；远景：展望至2050年。</w:t>
      </w:r>
    </w:p>
    <w:p>
      <w:pPr>
        <w:ind w:firstLine="640"/>
      </w:pPr>
      <w:r>
        <w:rPr>
          <w:rFonts w:hint="eastAsia"/>
        </w:rPr>
        <w:t>3、规划目标</w:t>
      </w:r>
    </w:p>
    <w:p>
      <w:pPr>
        <w:ind w:firstLine="640"/>
      </w:pPr>
      <w:r>
        <w:rPr>
          <w:rFonts w:hint="eastAsia"/>
        </w:rPr>
        <w:t>本规划坚持问题和目标为导向，通过健全垃圾分类全过程管理系统，规范中间分类收运以杜绝混装混运，完善终端处理设施以增强终端处理能力，来推进临海环卫事业的发展。</w:t>
      </w:r>
    </w:p>
    <w:p>
      <w:pPr>
        <w:ind w:firstLine="640"/>
      </w:pPr>
      <w:r>
        <w:rPr>
          <w:rFonts w:hint="eastAsia"/>
        </w:rPr>
        <w:t>4、建筑垃圾收处理规划</w:t>
      </w:r>
    </w:p>
    <w:p>
      <w:pPr>
        <w:ind w:firstLine="640"/>
      </w:pPr>
      <w:r>
        <w:rPr>
          <w:rFonts w:hint="eastAsia"/>
        </w:rPr>
        <w:t>规划全市项目所产生的渣土统一清运至头门港渣土消纳场集中处置，所产生的装修垃圾及其他建筑垃圾统一清运至临海市建筑垃圾处置场分类处置并进行资源化利用。</w:t>
      </w:r>
    </w:p>
    <w:p>
      <w:pPr>
        <w:pStyle w:val="3"/>
      </w:pPr>
      <w:bookmarkStart w:id="32" w:name="_Toc168062389"/>
      <w:r>
        <w:rPr>
          <w:rFonts w:hint="eastAsia"/>
        </w:rPr>
        <w:t>国内外经验借鉴</w:t>
      </w:r>
      <w:bookmarkEnd w:id="32"/>
    </w:p>
    <w:p>
      <w:pPr>
        <w:pStyle w:val="30"/>
      </w:pPr>
      <w:r>
        <w:rPr>
          <w:rFonts w:hint="eastAsia"/>
        </w:rPr>
        <w:t>上海工程渣土管理经验</w:t>
      </w:r>
    </w:p>
    <w:p>
      <w:pPr>
        <w:ind w:firstLine="643"/>
        <w:rPr>
          <w:b/>
          <w:bCs/>
        </w:rPr>
      </w:pPr>
      <w:r>
        <w:rPr>
          <w:rFonts w:hint="eastAsia"/>
          <w:b/>
          <w:bCs/>
        </w:rPr>
        <w:t>一、渣土消纳</w:t>
      </w:r>
    </w:p>
    <w:p>
      <w:pPr>
        <w:ind w:firstLine="640"/>
      </w:pPr>
      <w:r>
        <w:rPr>
          <w:rFonts w:hint="eastAsia"/>
        </w:rPr>
        <w:t>上海市在工程渣土处置上具备较为成熟的管理经验。</w:t>
      </w:r>
    </w:p>
    <w:p>
      <w:pPr>
        <w:ind w:firstLine="640"/>
      </w:pPr>
      <w:r>
        <w:rPr>
          <w:rFonts w:hint="eastAsia"/>
        </w:rPr>
        <w:t>上海市工程渣土处置方式主要有基础回填、低洼填平、场地标平、围海造地、绿化用土等5种方式。从近2年数据统计来看，低洼填平为主要处置方式，所占比例在73%左右，场地标平约占12%，围海造地约占5%，绿化用土约占3%，另通过堆山造景、再生利用等处理方式处置部分工程渣土。</w:t>
      </w:r>
    </w:p>
    <w:p>
      <w:pPr>
        <w:ind w:firstLine="640"/>
      </w:pPr>
      <w:r>
        <w:rPr>
          <w:rFonts w:hint="eastAsia"/>
        </w:rPr>
        <w:t>对于工程渣土，主要通过填平洼地、围海造地等方式消纳。近期上海将进一步提升工程渣土消纳处置能力，建设启用南汇东滩N</w:t>
      </w:r>
      <w:r>
        <w:t>1</w:t>
      </w:r>
      <w:r>
        <w:rPr>
          <w:rFonts w:hint="eastAsia"/>
        </w:rPr>
        <w:t>库区外侧码头，形成3万吨/天的作业能力，机场三号线南侧形成1万吨/天的处理能力；对于泥浆，上海正在研究通过源头就地干化和横沙岛区域围海造地等方式来消纳；对于建筑废弃混凝土，由于相关处置技术较为成熟，上海将加大资源化利用的力度；对于装修垃圾和拆房垃圾，主要通过分拣、粉碎制成骨料，用来填平洼地、修筑便道、绿地造景，还可以通过进一步细分，加工成透水砖等高附加值产品。</w:t>
      </w:r>
    </w:p>
    <w:p>
      <w:pPr>
        <w:ind w:firstLine="640"/>
      </w:pPr>
      <w:r>
        <w:rPr>
          <w:rFonts w:hint="eastAsia"/>
        </w:rPr>
        <w:t>上海年均申报处置的建筑垃圾总量约有1亿吨按照重量来划分，工程渣土约占九成以上，其次是装修垃圾和拆房垃圾，每年产生约700万吨，约占7%，此外还有泥浆和建筑废弃混凝土。</w:t>
      </w:r>
    </w:p>
    <w:p>
      <w:pPr>
        <w:ind w:firstLine="640"/>
      </w:pPr>
      <w:r>
        <w:rPr>
          <w:rFonts w:hint="eastAsia"/>
        </w:rPr>
        <w:t>在工程渣土监管上，上海市建立了建筑垃圾综合服务监管平台，将工地回填点（码头）、运输公司、政府部门等有关单位的信息都公开发布在平台上，最大限度地资源化消纳工程渣土，做到充分利用、合理调剂。</w:t>
      </w:r>
    </w:p>
    <w:p>
      <w:pPr>
        <w:pStyle w:val="36"/>
      </w:pPr>
      <w:r>
        <w:drawing>
          <wp:inline distT="0" distB="0" distL="0" distR="0">
            <wp:extent cx="5759450" cy="1835785"/>
            <wp:effectExtent l="0" t="0" r="0" b="0"/>
            <wp:docPr id="1220518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18939" name="图片 1"/>
                    <pic:cNvPicPr>
                      <a:picLocks noChangeAspect="1"/>
                    </pic:cNvPicPr>
                  </pic:nvPicPr>
                  <pic:blipFill>
                    <a:blip r:embed="rId52"/>
                    <a:stretch>
                      <a:fillRect/>
                    </a:stretch>
                  </pic:blipFill>
                  <pic:spPr>
                    <a:xfrm>
                      <a:off x="0" y="0"/>
                      <a:ext cx="5759450" cy="1835785"/>
                    </a:xfrm>
                    <a:prstGeom prst="rect">
                      <a:avLst/>
                    </a:prstGeom>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建筑垃圾资源化利用产品</w:t>
      </w:r>
    </w:p>
    <w:p>
      <w:pPr>
        <w:ind w:firstLine="640"/>
      </w:pPr>
      <w:r>
        <w:rPr>
          <w:rFonts w:hint="eastAsia"/>
        </w:rPr>
        <w:t>上海市90%的渣土通过水运处置，但为防止出现非法倾倒，上海对中转码头和船舶均作出严格规定：中转码头需申请渣土装卸港口经营许可证，渣土运输船舶应到港口、海事等部门办理备案手续，中转码头经营者必须落实符合要求的卸点；运输船舶必须按照港口、海事及海洋部门要求，安装AIS及智能设备。</w:t>
      </w:r>
    </w:p>
    <w:p>
      <w:pPr>
        <w:ind w:firstLine="643"/>
        <w:rPr>
          <w:b/>
          <w:bCs/>
        </w:rPr>
      </w:pPr>
      <w:r>
        <w:rPr>
          <w:rFonts w:hint="eastAsia"/>
          <w:b/>
          <w:bCs/>
        </w:rPr>
        <w:t>二、监管平台</w:t>
      </w:r>
    </w:p>
    <w:p>
      <w:pPr>
        <w:ind w:firstLine="640"/>
      </w:pPr>
      <w:r>
        <w:rPr>
          <w:rFonts w:hint="eastAsia"/>
        </w:rPr>
        <w:t>上海市建立了建筑垃圾综合服务监管平台，平台中公布了工地的建设地点、工程类别、招标人及中标人联系方式等。在回填点一栏中，发布回填点地址、经营单位联系方式、受纳种类、总量及剩余量等，另外运输公司规模、法人、联系方式、驾驶员信息和违规情况等信息也详细发布在平台上。</w:t>
      </w:r>
    </w:p>
    <w:p>
      <w:pPr>
        <w:pStyle w:val="36"/>
      </w:pPr>
      <w:r>
        <w:drawing>
          <wp:inline distT="0" distB="0" distL="0" distR="0">
            <wp:extent cx="5759450" cy="2765425"/>
            <wp:effectExtent l="0" t="0" r="0" b="0"/>
            <wp:docPr id="187062868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28681" name="图片 1" descr="图形用户界面, 应用程序&#10;&#10;描述已自动生成"/>
                    <pic:cNvPicPr>
                      <a:picLocks noChangeAspect="1"/>
                    </pic:cNvPicPr>
                  </pic:nvPicPr>
                  <pic:blipFill>
                    <a:blip r:embed="rId53"/>
                    <a:stretch>
                      <a:fillRect/>
                    </a:stretch>
                  </pic:blipFill>
                  <pic:spPr>
                    <a:xfrm>
                      <a:off x="0" y="0"/>
                      <a:ext cx="5759450" cy="2765425"/>
                    </a:xfrm>
                    <a:prstGeom prst="rect">
                      <a:avLst/>
                    </a:prstGeom>
                  </pic:spPr>
                </pic:pic>
              </a:graphicData>
            </a:graphic>
          </wp:inline>
        </w:drawing>
      </w:r>
    </w:p>
    <w:p>
      <w:pPr>
        <w:pStyle w:val="36"/>
      </w:pPr>
      <w:r>
        <w:drawing>
          <wp:inline distT="0" distB="0" distL="0" distR="0">
            <wp:extent cx="5759450" cy="5831205"/>
            <wp:effectExtent l="0" t="0" r="0" b="0"/>
            <wp:docPr id="191316527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65275" name="图片 1" descr="图形用户界面, 应用程序&#10;&#10;描述已自动生成"/>
                    <pic:cNvPicPr>
                      <a:picLocks noChangeAspect="1"/>
                    </pic:cNvPicPr>
                  </pic:nvPicPr>
                  <pic:blipFill>
                    <a:blip r:embed="rId54"/>
                    <a:stretch>
                      <a:fillRect/>
                    </a:stretch>
                  </pic:blipFill>
                  <pic:spPr>
                    <a:xfrm>
                      <a:off x="0" y="0"/>
                      <a:ext cx="5759450" cy="5831205"/>
                    </a:xfrm>
                    <a:prstGeom prst="rect">
                      <a:avLst/>
                    </a:prstGeom>
                  </pic:spPr>
                </pic:pic>
              </a:graphicData>
            </a:graphic>
          </wp:inline>
        </w:drawing>
      </w:r>
    </w:p>
    <w:p>
      <w:pPr>
        <w:pStyle w:val="36"/>
      </w:pPr>
      <w:r>
        <w:drawing>
          <wp:inline distT="0" distB="0" distL="0" distR="0">
            <wp:extent cx="5759450" cy="5723890"/>
            <wp:effectExtent l="0" t="0" r="0" b="0"/>
            <wp:docPr id="20328806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8060" name="图片 1" descr="图形用户界面, 应用程序&#10;&#10;描述已自动生成"/>
                    <pic:cNvPicPr>
                      <a:picLocks noChangeAspect="1"/>
                    </pic:cNvPicPr>
                  </pic:nvPicPr>
                  <pic:blipFill>
                    <a:blip r:embed="rId55"/>
                    <a:stretch>
                      <a:fillRect/>
                    </a:stretch>
                  </pic:blipFill>
                  <pic:spPr>
                    <a:xfrm>
                      <a:off x="0" y="0"/>
                      <a:ext cx="5759450" cy="5723890"/>
                    </a:xfrm>
                    <a:prstGeom prst="rect">
                      <a:avLst/>
                    </a:prstGeom>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hint="eastAsia"/>
        </w:rPr>
        <w:t>上海市建筑垃圾综合服务监管平台</w:t>
      </w:r>
    </w:p>
    <w:p>
      <w:pPr>
        <w:ind w:firstLine="643"/>
        <w:rPr>
          <w:b/>
          <w:bCs/>
        </w:rPr>
      </w:pPr>
      <w:r>
        <w:rPr>
          <w:rFonts w:hint="eastAsia"/>
          <w:b/>
          <w:bCs/>
        </w:rPr>
        <w:t>三、强化立法</w:t>
      </w:r>
    </w:p>
    <w:p>
      <w:pPr>
        <w:ind w:firstLine="640"/>
      </w:pPr>
      <w:r>
        <w:rPr>
          <w:rFonts w:hint="eastAsia"/>
        </w:rPr>
        <w:t>《上海市建筑垃圾处理管理规定》共七章5</w:t>
      </w:r>
      <w:r>
        <w:t>1</w:t>
      </w:r>
      <w:r>
        <w:rPr>
          <w:rFonts w:hint="eastAsia"/>
        </w:rPr>
        <w:t>条，明确了建筑垃圾的减排减量、循环利用，收集、运输、中转、分拣、消纳等处置活动的“全生命周期规划”，在法律制度层面落实建筑垃圾分类处理、全程管控等要求。</w:t>
      </w:r>
    </w:p>
    <w:p>
      <w:pPr>
        <w:ind w:firstLine="640"/>
      </w:pPr>
      <w:r>
        <w:rPr>
          <w:rFonts w:hint="eastAsia"/>
        </w:rPr>
        <w:t>处理原则：建筑垃圾处理实行减量化、资源化、无害化和“谁产生、谁承担处理责任”的原则。</w:t>
      </w:r>
    </w:p>
    <w:p>
      <w:pPr>
        <w:ind w:firstLine="640"/>
      </w:pPr>
      <w:r>
        <w:rPr>
          <w:rFonts w:hint="eastAsia"/>
        </w:rPr>
        <w:t>完善建筑垃圾分类管理要求，建立健全建筑垃圾专项规划建设、资源化产品强制使用制度、资源化利用扶持政策中转分拣规范、运输单位招投标办法、装修垃圾清运服务体系、运输许可证吊销规定等管理制度。</w:t>
      </w:r>
    </w:p>
    <w:p>
      <w:pPr>
        <w:ind w:firstLine="640"/>
      </w:pPr>
      <w:r>
        <w:rPr>
          <w:rFonts w:hint="eastAsia"/>
        </w:rPr>
        <w:t>重塑建筑垃圾管理流程，明确从分类排放（投放）、收集、道（水）路运输、中转分拣到消纳处置、资源利用的管理规范。</w:t>
      </w:r>
    </w:p>
    <w:p>
      <w:pPr>
        <w:pStyle w:val="30"/>
      </w:pPr>
      <w:bookmarkStart w:id="33" w:name="_Toc145412706"/>
      <w:r>
        <w:rPr>
          <w:rFonts w:hint="eastAsia"/>
        </w:rPr>
        <w:t>重庆市中心城区建筑垃圾专项治理规划</w:t>
      </w:r>
    </w:p>
    <w:p>
      <w:pPr>
        <w:ind w:firstLine="643"/>
        <w:rPr>
          <w:b/>
          <w:bCs/>
        </w:rPr>
      </w:pPr>
      <w:r>
        <w:rPr>
          <w:rFonts w:hint="eastAsia"/>
          <w:b/>
          <w:bCs/>
        </w:rPr>
        <w:t>一、规划总则</w:t>
      </w:r>
    </w:p>
    <w:p>
      <w:pPr>
        <w:ind w:firstLine="640"/>
      </w:pPr>
      <w:r>
        <w:rPr>
          <w:rFonts w:hint="eastAsia"/>
        </w:rPr>
        <w:t>1、指导思想</w:t>
      </w:r>
    </w:p>
    <w:p>
      <w:pPr>
        <w:ind w:firstLine="640"/>
      </w:pPr>
      <w:r>
        <w:rPr>
          <w:rFonts w:hint="eastAsia"/>
        </w:rPr>
        <w:t>高举中国特色社会主义伟大旗帜，深入贯彻党的十九大和十九届二中、三中、四中、五中、六种全会精神，以习近平新时代中国特色社会主义思想为指导，全面落实习近平总书记对重庆提出的营造良好政治生态，坚持“两点”定位、“两地”“两高”目标，发挥“三个作用”和推动成渝地区双城经济圈建设等重要指示要求。深入贯彻市委五届九次全会精神，落实《重庆市人民政府关于印发重庆市国民经济和社会发展第十四个五年规划和二</w:t>
      </w:r>
      <w:r>
        <w:rPr>
          <w:rFonts w:hint="eastAsia" w:ascii="微软雅黑" w:hAnsi="微软雅黑" w:eastAsia="微软雅黑" w:cs="微软雅黑"/>
        </w:rPr>
        <w:t>〇</w:t>
      </w:r>
      <w:r>
        <w:rPr>
          <w:rFonts w:hint="eastAsia"/>
        </w:rPr>
        <w:t>三五年远景目标纲要的通知》(渝府发(2021)6号)要求，深入践行新发展理念，遵循环境保护基本国策，贯彻循环经济理论，坚持源头减量、资源化利用和无害化处理并重的方针。梳理重庆市中心城区建筑垃圾产生现状和发展趋势，突出问题导向，按照“干净整洁有序、山清水秀城美、宜业宜居宜游”城市管理目标，加强建筑垃圾治理全过程管理。健全管理体制机制，实现建筑垃圾减量排放、规范清运、有效利用和安全处置构建与重庆市整体发展相匹配的城市建筑垃圾处理系统的基本框架。</w:t>
      </w:r>
    </w:p>
    <w:p>
      <w:pPr>
        <w:ind w:firstLine="640"/>
      </w:pPr>
      <w:r>
        <w:rPr>
          <w:rFonts w:hint="eastAsia"/>
        </w:rPr>
        <w:t>2、规划期限</w:t>
      </w:r>
    </w:p>
    <w:p>
      <w:pPr>
        <w:ind w:firstLine="640"/>
      </w:pPr>
      <w:r>
        <w:rPr>
          <w:rFonts w:hint="eastAsia"/>
        </w:rPr>
        <w:t>2021-2035年。其中近期为2021-2025年，远期为2026-2035年</w:t>
      </w:r>
    </w:p>
    <w:p>
      <w:pPr>
        <w:ind w:firstLine="640"/>
      </w:pPr>
      <w:r>
        <w:rPr>
          <w:rFonts w:hint="eastAsia"/>
        </w:rPr>
        <w:t>3、规划范围</w:t>
      </w:r>
    </w:p>
    <w:p>
      <w:pPr>
        <w:ind w:firstLine="640"/>
      </w:pPr>
      <w:r>
        <w:rPr>
          <w:rFonts w:hint="eastAsia"/>
        </w:rPr>
        <w:t>分为两个层次，建筑垃圾产量预测范围为重庆中心城区城市建设用地范围，面积1311平方公里。建筑垃圾消纳设施选址范围为重庆市中心城区规划区范围，包括渝中区、大渡口区、江北区沙坪坝区、九龙坡区、南岸区、北陪区、渝北区、巴南区行政所辖范围(含重庆市两江新区与重庆市高新技术产业开发区范围)，面积5467平方公里。</w:t>
      </w:r>
    </w:p>
    <w:p>
      <w:pPr>
        <w:ind w:firstLine="643"/>
        <w:rPr>
          <w:b/>
          <w:bCs/>
        </w:rPr>
      </w:pPr>
      <w:r>
        <w:rPr>
          <w:rFonts w:hint="eastAsia"/>
          <w:b/>
          <w:bCs/>
        </w:rPr>
        <w:t>二、规划目标</w:t>
      </w:r>
    </w:p>
    <w:p>
      <w:pPr>
        <w:ind w:firstLine="640"/>
      </w:pPr>
      <w:r>
        <w:rPr>
          <w:rFonts w:hint="eastAsia"/>
        </w:rPr>
        <w:t>1、总体目标</w:t>
      </w:r>
    </w:p>
    <w:p>
      <w:pPr>
        <w:ind w:firstLine="640"/>
      </w:pPr>
      <w:r>
        <w:rPr>
          <w:rFonts w:hint="eastAsia"/>
        </w:rPr>
        <w:t>以“减量化、资源化、无害化”为目标，以“绿色、低碳、循环发展为抓手，建立有效的建筑垃圾治理体系，加强建筑垃圾全过程管理，实现建筑垃圾的综合利用，最大限度减少填埋量;强化对有条件的已封场建筑垃圾填埋场进行生态修复和景观绿化，增加城市绿色空间，推动形成城市绿色可持续发展方式，加快建设重庆成为内陆开放高地、山清水秀美丽之地，努力推动城市高质量发展、创造高品质生活。</w:t>
      </w:r>
    </w:p>
    <w:p>
      <w:pPr>
        <w:ind w:firstLine="640"/>
        <w:rPr>
          <w:rFonts w:hint="eastAsia"/>
        </w:rPr>
      </w:pPr>
    </w:p>
    <w:p>
      <w:pPr>
        <w:ind w:firstLine="640"/>
      </w:pPr>
      <w:r>
        <w:rPr>
          <w:rFonts w:hint="eastAsia"/>
        </w:rPr>
        <w:t>2、规划指标</w:t>
      </w:r>
    </w:p>
    <w:p>
      <w:pPr>
        <w:ind w:firstLine="640"/>
      </w:pPr>
      <w:r>
        <w:rPr>
          <w:rFonts w:hint="eastAsia"/>
        </w:rPr>
        <w:t>规划至2035年底，重庆市中心城区工程垃圾、拆除垃圾、装修垃圾分类收集率达95%，建筑垃圾资源化利用率达82%，建筑垃圾综合利用率达85%，区级智能监管平台应用比例达100%。</w:t>
      </w:r>
    </w:p>
    <w:p>
      <w:pPr>
        <w:ind w:firstLine="643"/>
        <w:rPr>
          <w:b/>
          <w:bCs/>
        </w:rPr>
      </w:pPr>
      <w:r>
        <w:rPr>
          <w:rFonts w:hint="eastAsia"/>
          <w:b/>
          <w:bCs/>
        </w:rPr>
        <w:t>三、规划策略</w:t>
      </w:r>
    </w:p>
    <w:p>
      <w:pPr>
        <w:ind w:firstLine="640"/>
      </w:pPr>
      <w:r>
        <w:rPr>
          <w:rFonts w:hint="eastAsia"/>
        </w:rPr>
        <w:t>1、建筑垃圾减量化</w:t>
      </w:r>
    </w:p>
    <w:p>
      <w:pPr>
        <w:ind w:firstLine="640"/>
      </w:pPr>
      <w:r>
        <w:rPr>
          <w:rFonts w:hint="eastAsia"/>
        </w:rPr>
        <w:t>（1）优化规划编制</w:t>
      </w:r>
    </w:p>
    <w:p>
      <w:pPr>
        <w:ind w:firstLine="640"/>
      </w:pPr>
      <w:r>
        <w:rPr>
          <w:rFonts w:hint="eastAsia"/>
        </w:rPr>
        <w:t>1）优化城市新区场地竖向设计</w:t>
      </w:r>
    </w:p>
    <w:p>
      <w:pPr>
        <w:ind w:firstLine="640"/>
      </w:pPr>
      <w:r>
        <w:rPr>
          <w:rFonts w:hint="eastAsia"/>
        </w:rPr>
        <w:t>将工程渣土减排纳入城市新区各层次的城市规划以及各类重大市政规划中，合理选择和布局建设用地，严格控制开发建设强度，加强竖向规划设计管理，协调地下空间开发利用强度，以场地土方(含地下空间土方)就近平衡的原则确定场地周边路面标高，并合理利用自然地形地貌减少土方开挖。其中居住、商业类开发项目原则上应实现场地自我平衡。</w:t>
      </w:r>
    </w:p>
    <w:p>
      <w:pPr>
        <w:ind w:firstLine="640"/>
      </w:pPr>
      <w:r>
        <w:rPr>
          <w:rFonts w:hint="eastAsia"/>
        </w:rPr>
        <w:t>2）优化市政及轨道交通设计方案</w:t>
      </w:r>
    </w:p>
    <w:p>
      <w:pPr>
        <w:ind w:firstLine="640"/>
      </w:pPr>
      <w:r>
        <w:rPr>
          <w:rFonts w:hint="eastAsia"/>
        </w:rPr>
        <w:t>市政设施和轨道交通设计时，尽量采用先进的技术和生产工艺减少开挖。在项目初设阶段要将工程渣土产生量进行预测，并做好外运渣土的初步处置方案。</w:t>
      </w:r>
    </w:p>
    <w:p>
      <w:pPr>
        <w:ind w:firstLine="640"/>
      </w:pPr>
      <w:r>
        <w:rPr>
          <w:rFonts w:hint="eastAsia"/>
        </w:rPr>
        <w:t>（2）加强过程管控</w:t>
      </w:r>
    </w:p>
    <w:p>
      <w:pPr>
        <w:ind w:firstLine="640"/>
      </w:pPr>
      <w:r>
        <w:rPr>
          <w:rFonts w:hint="eastAsia"/>
        </w:rPr>
        <w:t>1）加强施工管理</w:t>
      </w:r>
    </w:p>
    <w:p>
      <w:pPr>
        <w:ind w:firstLine="640"/>
      </w:pPr>
      <w:r>
        <w:rPr>
          <w:rFonts w:hint="eastAsia"/>
        </w:rPr>
        <w:t>加强建筑施工的组织和管理工作，提高建筑施工管理水平，提高施工质量，有效地减少建筑垃圾的产生。</w:t>
      </w:r>
    </w:p>
    <w:p>
      <w:pPr>
        <w:ind w:firstLine="640"/>
      </w:pPr>
      <w:r>
        <w:rPr>
          <w:rFonts w:hint="eastAsia"/>
        </w:rPr>
        <w:t>2）推广新技术新材料</w:t>
      </w:r>
    </w:p>
    <w:p>
      <w:pPr>
        <w:ind w:firstLine="640"/>
      </w:pPr>
      <w:r>
        <w:rPr>
          <w:rFonts w:hint="eastAsia"/>
        </w:rPr>
        <w:t>推广新的施工技术,避免建筑材料在运输、储存、安装时的损伤和破坏所产生的建筑垃圾;提高结构的施工精度，避免凿除或修补而产生的垃圾；避免不必要的建筑产品包装。</w:t>
      </w:r>
    </w:p>
    <w:p>
      <w:pPr>
        <w:ind w:firstLine="640"/>
      </w:pPr>
      <w:r>
        <w:rPr>
          <w:rFonts w:hint="eastAsia"/>
        </w:rPr>
        <w:t>3）优化建设方案</w:t>
      </w:r>
    </w:p>
    <w:p>
      <w:pPr>
        <w:ind w:firstLine="640"/>
      </w:pPr>
      <w:r>
        <w:rPr>
          <w:rFonts w:hint="eastAsia"/>
        </w:rPr>
        <w:t>建筑设计方案选用时采用少产生建筑垃圾的建材和再生建材，重点考虑建筑材料和构件的再生利用，从建设中减少建筑垃圾产生量。</w:t>
      </w:r>
    </w:p>
    <w:p>
      <w:pPr>
        <w:ind w:firstLine="640"/>
      </w:pPr>
      <w:r>
        <w:rPr>
          <w:rFonts w:hint="eastAsia"/>
        </w:rPr>
        <w:t>4）应用建筑信息模型(BIM)技术</w:t>
      </w:r>
    </w:p>
    <w:p>
      <w:pPr>
        <w:ind w:firstLine="640"/>
      </w:pPr>
      <w:r>
        <w:rPr>
          <w:rFonts w:hint="eastAsia"/>
        </w:rPr>
        <w:t>提高建筑信息模型(BIM)技术应用水平，加快建筑信息模型(BIM)技术在建设工程项目勘察、设计、施工、运营维护全过程的集成应用。</w:t>
      </w:r>
    </w:p>
    <w:p>
      <w:pPr>
        <w:ind w:firstLine="640"/>
      </w:pPr>
      <w:r>
        <w:rPr>
          <w:rFonts w:hint="eastAsia"/>
        </w:rPr>
        <w:t>5）推广装配式建筑工程</w:t>
      </w:r>
    </w:p>
    <w:p>
      <w:pPr>
        <w:ind w:firstLine="640"/>
      </w:pPr>
      <w:r>
        <w:rPr>
          <w:rFonts w:hint="eastAsia"/>
        </w:rPr>
        <w:t>建立促进建筑工业化的设计、施工、部品生产等环节的标准体系，推广预制装配式建筑工程。推行住宅全装修、菜单式装修，减少装修垃圾产生量。</w:t>
      </w:r>
    </w:p>
    <w:p>
      <w:pPr>
        <w:ind w:firstLine="640"/>
      </w:pPr>
      <w:r>
        <w:rPr>
          <w:rFonts w:hint="eastAsia"/>
        </w:rPr>
        <w:t>6）增强环保意识</w:t>
      </w:r>
    </w:p>
    <w:p>
      <w:pPr>
        <w:ind w:firstLine="640"/>
      </w:pPr>
      <w:r>
        <w:rPr>
          <w:rFonts w:hint="eastAsia"/>
        </w:rPr>
        <w:t>增强施工现场施工人员环保意识，做到工完场清，多余材料及时回收再利用。</w:t>
      </w:r>
    </w:p>
    <w:p>
      <w:pPr>
        <w:ind w:firstLine="640"/>
      </w:pPr>
      <w:r>
        <w:rPr>
          <w:rFonts w:hint="eastAsia"/>
        </w:rPr>
        <w:t>（3）推进市场平衡</w:t>
      </w:r>
    </w:p>
    <w:p>
      <w:pPr>
        <w:ind w:firstLine="640"/>
      </w:pPr>
      <w:r>
        <w:rPr>
          <w:rFonts w:hint="eastAsia"/>
        </w:rPr>
        <w:t>主要针对工程渣土，采用工程回填的方法，以市场平衡为主。</w:t>
      </w:r>
    </w:p>
    <w:p>
      <w:pPr>
        <w:ind w:firstLine="640"/>
      </w:pPr>
      <w:r>
        <w:rPr>
          <w:rFonts w:hint="eastAsia"/>
        </w:rPr>
        <w:t>工程回填的区域，一是需要渣土的施工工地或单位；二是通过待建城市公园绿地地形整治消纳，主要结合待建公园平场和内部微地形景观塑造来进行；三是通过生态修复项目填埋消纳，结合生态整治项目(生态农业、废旧矿坑修复、坡坎崖绿化美化等)的建设布局进行要基于城市坚向控制规划要求，利用工程渣土回填开展项目用地的场地预平整，生态整治项目中林地、农田、水域等敏感区域不可用于回填；四是根据防洪规划、竖向规划，利用需要提高标高的区域进行整体回填。</w:t>
      </w:r>
    </w:p>
    <w:p>
      <w:pPr>
        <w:ind w:firstLine="640"/>
      </w:pPr>
      <w:r>
        <w:rPr>
          <w:rFonts w:hint="eastAsia"/>
        </w:rPr>
        <w:t>2、建筑垃圾处置方案</w:t>
      </w:r>
    </w:p>
    <w:p>
      <w:pPr>
        <w:ind w:firstLine="640"/>
      </w:pPr>
      <w:r>
        <w:rPr>
          <w:rFonts w:hint="eastAsia"/>
        </w:rPr>
        <w:t>（1）工程渣土和工程泥浆处理</w:t>
      </w:r>
    </w:p>
    <w:p>
      <w:pPr>
        <w:ind w:firstLine="640"/>
      </w:pPr>
      <w:r>
        <w:rPr>
          <w:rFonts w:hint="eastAsia"/>
        </w:rPr>
        <w:t>工程渣土和工程泥浆必须在建筑工地进行源头分拣(其中工程泥浆需事先进行无害化处理)，部分项目就近区域平衡后，再将剩余部分分类进行外运处理。其中可利用的优质土壤(生土需进行培育)应用于城市园林绿化，碎石页岩等进入资源回收体系，其他剩余的渣土应优先用于城市公园绿化项目地形改造利用和部分生态修复项目，最后未利用部分则进入工程渣土填埋场进行回填。</w:t>
      </w:r>
    </w:p>
    <w:p>
      <w:pPr>
        <w:ind w:firstLine="640"/>
      </w:pPr>
      <w:r>
        <w:rPr>
          <w:rFonts w:hint="eastAsia"/>
        </w:rPr>
        <w:t>（2）工程垃圾、拆除垃圾处理</w:t>
      </w:r>
    </w:p>
    <w:p>
      <w:pPr>
        <w:ind w:firstLine="640"/>
      </w:pPr>
      <w:r>
        <w:rPr>
          <w:rFonts w:hint="eastAsia"/>
        </w:rPr>
        <w:t>工程垃圾、拆除垃圾必须在源头进行分拣，木材、金属等有价值的物质进入可再生资源回收体系，混凝土块、砖块、碎石等进入建筑垃圾综合利用厂再生利用。渣土等其他没有利用价值的部分进入工程渣土填埋场回填处置。鼓励建筑垃圾资源化利用企业进入拆除工程等施工现场，利用临时固定式处置设施或现场移动式处理设施回收利用建筑垃圾。</w:t>
      </w:r>
    </w:p>
    <w:p>
      <w:pPr>
        <w:ind w:firstLine="640"/>
      </w:pPr>
      <w:r>
        <w:rPr>
          <w:rFonts w:hint="eastAsia"/>
        </w:rPr>
        <w:t>（3）装修垃圾处理</w:t>
      </w:r>
    </w:p>
    <w:p>
      <w:pPr>
        <w:ind w:firstLine="640"/>
      </w:pPr>
      <w:r>
        <w:rPr>
          <w:rFonts w:hint="eastAsia"/>
        </w:rPr>
        <w:t>装修垃圾必须进入装修垃圾分选场统一分选，木材、金属等有价值的物质进入再生资源回收体系，混凝土块、砖块、碎石等应进入建筑垃圾综合利用厂再生利用，其他剩余没有利用价值的部分进入装修垃圾填埋场填埋处置。</w:t>
      </w:r>
    </w:p>
    <w:p>
      <w:pPr>
        <w:pStyle w:val="36"/>
      </w:pPr>
      <w:r>
        <w:drawing>
          <wp:inline distT="0" distB="0" distL="0" distR="0">
            <wp:extent cx="4537075" cy="6414135"/>
            <wp:effectExtent l="0" t="0" r="0" b="5715"/>
            <wp:docPr id="731754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4917"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545108" cy="6425570"/>
                    </a:xfrm>
                    <a:prstGeom prst="rect">
                      <a:avLst/>
                    </a:prstGeom>
                    <a:noFill/>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r>
        <w:rPr>
          <w:rFonts w:hint="eastAsia"/>
        </w:rPr>
        <w:t>重庆市中心城区建筑垃圾治理专项规划设施规划布局图</w:t>
      </w:r>
    </w:p>
    <w:p>
      <w:pPr>
        <w:pStyle w:val="30"/>
      </w:pPr>
      <w:r>
        <w:rPr>
          <w:rFonts w:hint="eastAsia"/>
        </w:rPr>
        <w:t>深圳市建筑废弃物治理规划</w:t>
      </w:r>
    </w:p>
    <w:p>
      <w:pPr>
        <w:ind w:firstLine="643"/>
        <w:rPr>
          <w:b/>
          <w:bCs/>
        </w:rPr>
      </w:pPr>
      <w:r>
        <w:rPr>
          <w:rFonts w:hint="eastAsia"/>
          <w:b/>
          <w:bCs/>
        </w:rPr>
        <w:t>一、规划总则</w:t>
      </w:r>
    </w:p>
    <w:p>
      <w:pPr>
        <w:ind w:firstLine="640"/>
      </w:pPr>
      <w:r>
        <w:rPr>
          <w:rFonts w:hint="eastAsia"/>
        </w:rPr>
        <w:t>1、指导思想</w:t>
      </w:r>
    </w:p>
    <w:p>
      <w:pPr>
        <w:ind w:firstLine="640"/>
      </w:pPr>
      <w:r>
        <w:rPr>
          <w:rFonts w:hint="eastAsia"/>
        </w:rPr>
        <w:t>本规划以习近平新时代中国特色社会主义思想为指导，深入贯彻落实生态文明建设和环境保护基本国策，在遵循减量化、资源化、无害化及污染担责的原则下，进行高起点、高要求、适宜深圳的建筑废弃物处置规划，构建全市统筹、布局合理、技术先进、有效综合利用的建筑废弃物处理体系，达到建筑废弃物有计划、有步骤地全量安全处置，防止其污染环境，保障公众健康和生态安全。</w:t>
      </w:r>
    </w:p>
    <w:p>
      <w:pPr>
        <w:ind w:firstLine="640"/>
      </w:pPr>
      <w:r>
        <w:rPr>
          <w:rFonts w:hint="eastAsia"/>
        </w:rPr>
        <w:t>2、规划期限</w:t>
      </w:r>
    </w:p>
    <w:p>
      <w:pPr>
        <w:ind w:firstLine="640"/>
      </w:pPr>
      <w:r>
        <w:rPr>
          <w:rFonts w:hint="eastAsia"/>
        </w:rPr>
        <w:t>规划期限为 2020-2035年。其中规划近期为2020-2025年，规划远期为2026-2035年。</w:t>
      </w:r>
    </w:p>
    <w:p>
      <w:pPr>
        <w:ind w:firstLine="640"/>
      </w:pPr>
      <w:r>
        <w:rPr>
          <w:rFonts w:hint="eastAsia"/>
        </w:rPr>
        <w:t>3、规划范围</w:t>
      </w:r>
    </w:p>
    <w:p>
      <w:pPr>
        <w:ind w:firstLine="640"/>
      </w:pPr>
      <w:r>
        <w:rPr>
          <w:rFonts w:hint="eastAsia"/>
        </w:rPr>
        <w:t>本次规划范围为深圳市行政辖区管理范围，总面积1997平方公里。深汕合作区不在本次规划范围内。</w:t>
      </w:r>
    </w:p>
    <w:p>
      <w:pPr>
        <w:ind w:firstLine="640"/>
      </w:pPr>
      <w:r>
        <w:rPr>
          <w:rFonts w:hint="eastAsia"/>
        </w:rPr>
        <w:t>4、规划原则</w:t>
      </w:r>
    </w:p>
    <w:p>
      <w:pPr>
        <w:ind w:firstLine="640"/>
      </w:pPr>
      <w:r>
        <w:rPr>
          <w:rFonts w:hint="eastAsia"/>
        </w:rPr>
        <w:t>本次规划遵循前瞻性原则、科学性原则、协调性原则和刚性与弹性相结合的原则。</w:t>
      </w:r>
    </w:p>
    <w:p>
      <w:pPr>
        <w:ind w:firstLine="643"/>
        <w:rPr>
          <w:b/>
          <w:bCs/>
        </w:rPr>
      </w:pPr>
      <w:r>
        <w:rPr>
          <w:rFonts w:hint="eastAsia"/>
          <w:b/>
          <w:bCs/>
        </w:rPr>
        <w:t>二、规划目标</w:t>
      </w:r>
    </w:p>
    <w:p>
      <w:pPr>
        <w:ind w:firstLine="640"/>
      </w:pPr>
      <w:r>
        <w:rPr>
          <w:rFonts w:hint="eastAsia"/>
        </w:rPr>
        <w:t>进一步贯彻落实住房和城乡建设部印发《关于开展建筑垃圾治理试点工作的通知》（建城函〔2018〕65号）的要求，推进深圳市建筑废弃物处理处置工作，加强政府对建筑废弃物全过程的管控，更好地发挥建筑废弃物专项规划对建筑废弃物处理处置设施建设的指导性和前瞻性作用。摸清全市各类建筑废弃物产生量、产生来源及产生特征，科学预测规划期限内建筑废弃物产生量的时空分布，确定水运中转设施、循环经济产业园及建筑废弃物固定消纳场的建设要求，并结合城市国土空间规划确定的城市空间结构、建设用地布局等统筹安排全市建筑废弃物处置设施的空间布局，对建筑废弃物的源头减量、综合利用及安全处置提出合理化建议，形成与深圳市先行示范区相匹配的建筑废弃物处理体系。</w:t>
      </w:r>
    </w:p>
    <w:p>
      <w:pPr>
        <w:ind w:firstLine="643"/>
        <w:rPr>
          <w:b/>
          <w:bCs/>
        </w:rPr>
      </w:pPr>
      <w:r>
        <w:rPr>
          <w:rFonts w:hint="eastAsia"/>
          <w:b/>
          <w:bCs/>
        </w:rPr>
        <w:t>三、规划策略</w:t>
      </w:r>
    </w:p>
    <w:p>
      <w:pPr>
        <w:ind w:firstLine="640"/>
      </w:pPr>
      <w:r>
        <w:rPr>
          <w:rFonts w:hint="eastAsia"/>
        </w:rPr>
        <w:t>（1）工程渣土+工程泥浆</w:t>
      </w:r>
    </w:p>
    <w:p>
      <w:pPr>
        <w:ind w:firstLine="640"/>
      </w:pPr>
      <w:r>
        <w:rPr>
          <w:rFonts w:hint="eastAsia"/>
        </w:rPr>
        <w:t>一是含水率超过40%的工程渣土和工程泥浆必须在施工场地内经沉淀、晾干或固化后方可运出施工场地，因此工程泥浆与工程渣土采取相同的处置技术路线；二是规划近期，含水率低于40%的工程渣土和脱水干化后的工程泥浆以市外安全处置为主，规划合法外运量为80%；三是规划远期，全量本市安全处置。</w:t>
      </w:r>
    </w:p>
    <w:p>
      <w:pPr>
        <w:ind w:firstLine="640"/>
      </w:pPr>
      <w:r>
        <w:rPr>
          <w:rFonts w:hint="eastAsia"/>
        </w:rPr>
        <w:t>（2）拆除废弃物</w:t>
      </w:r>
    </w:p>
    <w:p>
      <w:pPr>
        <w:ind w:firstLine="640"/>
      </w:pPr>
      <w:r>
        <w:rPr>
          <w:rFonts w:hint="eastAsia"/>
        </w:rPr>
        <w:t>全量本市安全处置。以综合利用为主，辅以工程回填和消纳填埋。至规划期末，拆除废弃物的综合利用率为100%。</w:t>
      </w:r>
    </w:p>
    <w:p>
      <w:pPr>
        <w:ind w:firstLine="640"/>
      </w:pPr>
      <w:r>
        <w:rPr>
          <w:rFonts w:hint="eastAsia"/>
        </w:rPr>
        <w:t>（3）施工废弃物+装修废弃物</w:t>
      </w:r>
    </w:p>
    <w:p>
      <w:pPr>
        <w:ind w:firstLine="640"/>
      </w:pPr>
      <w:r>
        <w:rPr>
          <w:rFonts w:hint="eastAsia"/>
        </w:rPr>
        <w:t>全量本市安全处置。以综合利用为主，不能综合利用或综合利用能力之外的惰性组分进行消纳填埋。至规划期末，施工废弃物和装修废弃物的综合利用率为100%。</w:t>
      </w:r>
    </w:p>
    <w:p>
      <w:pPr>
        <w:pStyle w:val="36"/>
      </w:pPr>
      <w:r>
        <w:drawing>
          <wp:inline distT="0" distB="0" distL="0" distR="0">
            <wp:extent cx="5759450" cy="3799840"/>
            <wp:effectExtent l="0" t="0" r="0" b="0"/>
            <wp:docPr id="341088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88307" name="图片 1"/>
                    <pic:cNvPicPr>
                      <a:picLocks noChangeAspect="1"/>
                    </pic:cNvPicPr>
                  </pic:nvPicPr>
                  <pic:blipFill>
                    <a:blip r:embed="rId57"/>
                    <a:stretch>
                      <a:fillRect/>
                    </a:stretch>
                  </pic:blipFill>
                  <pic:spPr>
                    <a:xfrm>
                      <a:off x="0" y="0"/>
                      <a:ext cx="5759450" cy="3799840"/>
                    </a:xfrm>
                    <a:prstGeom prst="rect">
                      <a:avLst/>
                    </a:prstGeom>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r>
        <w:rPr>
          <w:rFonts w:hint="eastAsia"/>
        </w:rPr>
        <w:t>深圳市建筑废弃物治理专项规划设施规划布局图</w:t>
      </w:r>
    </w:p>
    <w:bookmarkEnd w:id="33"/>
    <w:p>
      <w:pPr>
        <w:pStyle w:val="30"/>
      </w:pPr>
      <w:bookmarkStart w:id="34" w:name="_Toc151072928"/>
      <w:bookmarkEnd w:id="34"/>
      <w:bookmarkStart w:id="35" w:name="_Toc151073298"/>
      <w:bookmarkEnd w:id="35"/>
      <w:bookmarkStart w:id="36" w:name="_Toc151073148"/>
      <w:bookmarkEnd w:id="36"/>
      <w:bookmarkStart w:id="37" w:name="_Toc151073300"/>
      <w:bookmarkEnd w:id="37"/>
      <w:bookmarkStart w:id="38" w:name="_Toc151073331"/>
      <w:bookmarkEnd w:id="38"/>
      <w:bookmarkStart w:id="39" w:name="_Toc151073482"/>
      <w:bookmarkEnd w:id="39"/>
      <w:bookmarkStart w:id="40" w:name="_Toc151073114"/>
      <w:bookmarkEnd w:id="40"/>
      <w:bookmarkStart w:id="41" w:name="_Toc151073483"/>
      <w:bookmarkEnd w:id="41"/>
      <w:bookmarkStart w:id="42" w:name="_Toc151073513"/>
      <w:bookmarkEnd w:id="42"/>
      <w:bookmarkStart w:id="43" w:name="_Toc151073479"/>
      <w:bookmarkEnd w:id="43"/>
      <w:bookmarkStart w:id="44" w:name="_Toc151073297"/>
      <w:bookmarkEnd w:id="44"/>
      <w:bookmarkStart w:id="45" w:name="_Toc151073296"/>
      <w:bookmarkEnd w:id="45"/>
      <w:bookmarkStart w:id="46" w:name="_Toc151073116"/>
      <w:bookmarkEnd w:id="46"/>
      <w:bookmarkStart w:id="47" w:name="_Toc151073146"/>
      <w:bookmarkEnd w:id="47"/>
      <w:bookmarkStart w:id="48" w:name="_Toc151072931"/>
      <w:bookmarkEnd w:id="48"/>
      <w:bookmarkStart w:id="49" w:name="_Toc151073330"/>
      <w:bookmarkEnd w:id="49"/>
      <w:bookmarkStart w:id="50" w:name="_Toc151072964"/>
      <w:bookmarkEnd w:id="50"/>
      <w:bookmarkStart w:id="51" w:name="_Toc151072961"/>
      <w:bookmarkEnd w:id="51"/>
      <w:bookmarkStart w:id="52" w:name="_Toc151073514"/>
      <w:bookmarkEnd w:id="52"/>
      <w:bookmarkStart w:id="53" w:name="_Toc151072932"/>
      <w:bookmarkEnd w:id="53"/>
      <w:bookmarkStart w:id="54" w:name="_Toc151072930"/>
      <w:bookmarkEnd w:id="54"/>
      <w:bookmarkStart w:id="55" w:name="_Toc151073117"/>
      <w:bookmarkEnd w:id="55"/>
      <w:bookmarkStart w:id="56" w:name="_Toc151073299"/>
      <w:bookmarkEnd w:id="56"/>
      <w:bookmarkStart w:id="57" w:name="_Toc151073481"/>
      <w:bookmarkEnd w:id="57"/>
      <w:bookmarkStart w:id="58" w:name="_Toc151073480"/>
      <w:bookmarkEnd w:id="58"/>
      <w:bookmarkStart w:id="59" w:name="_Toc151072962"/>
      <w:bookmarkEnd w:id="59"/>
      <w:bookmarkStart w:id="60" w:name="_Toc151073115"/>
      <w:bookmarkEnd w:id="60"/>
      <w:bookmarkStart w:id="61" w:name="_Toc151073329"/>
      <w:bookmarkEnd w:id="61"/>
      <w:bookmarkStart w:id="62" w:name="_Toc151073147"/>
      <w:bookmarkEnd w:id="62"/>
      <w:bookmarkStart w:id="63" w:name="_Toc151072929"/>
      <w:bookmarkEnd w:id="63"/>
      <w:bookmarkStart w:id="64" w:name="_Toc151073113"/>
      <w:bookmarkEnd w:id="64"/>
      <w:bookmarkStart w:id="65" w:name="_Toc151072963"/>
      <w:bookmarkEnd w:id="65"/>
      <w:bookmarkStart w:id="66" w:name="_Toc151073512"/>
      <w:bookmarkEnd w:id="66"/>
      <w:bookmarkStart w:id="67" w:name="_Toc151073155"/>
      <w:bookmarkEnd w:id="67"/>
      <w:bookmarkStart w:id="68" w:name="_Toc151073338"/>
      <w:bookmarkEnd w:id="68"/>
      <w:bookmarkStart w:id="69" w:name="_Toc151073153"/>
      <w:bookmarkEnd w:id="69"/>
      <w:bookmarkStart w:id="70" w:name="_Toc151073516"/>
      <w:bookmarkEnd w:id="70"/>
      <w:bookmarkStart w:id="71" w:name="_Toc151073521"/>
      <w:bookmarkEnd w:id="71"/>
      <w:bookmarkStart w:id="72" w:name="_Toc151073332"/>
      <w:bookmarkEnd w:id="72"/>
      <w:bookmarkStart w:id="73" w:name="_Toc151073518"/>
      <w:bookmarkEnd w:id="73"/>
      <w:bookmarkStart w:id="74" w:name="_Toc151073519"/>
      <w:bookmarkEnd w:id="74"/>
      <w:bookmarkStart w:id="75" w:name="_Toc151072971"/>
      <w:bookmarkEnd w:id="75"/>
      <w:bookmarkStart w:id="76" w:name="_Toc151073156"/>
      <w:bookmarkEnd w:id="76"/>
      <w:bookmarkStart w:id="77" w:name="_Toc151073339"/>
      <w:bookmarkEnd w:id="77"/>
      <w:bookmarkStart w:id="78" w:name="_Toc151073522"/>
      <w:bookmarkEnd w:id="78"/>
      <w:bookmarkStart w:id="79" w:name="_Toc151072972"/>
      <w:bookmarkEnd w:id="79"/>
      <w:bookmarkStart w:id="80" w:name="_Toc151073150"/>
      <w:bookmarkEnd w:id="80"/>
      <w:bookmarkStart w:id="81" w:name="_Toc151073154"/>
      <w:bookmarkEnd w:id="81"/>
      <w:bookmarkStart w:id="82" w:name="_Toc151073520"/>
      <w:bookmarkEnd w:id="82"/>
      <w:bookmarkStart w:id="83" w:name="_Toc151073336"/>
      <w:bookmarkEnd w:id="83"/>
      <w:bookmarkStart w:id="84" w:name="_Toc151073515"/>
      <w:bookmarkEnd w:id="84"/>
      <w:bookmarkStart w:id="85" w:name="_Toc151072969"/>
      <w:bookmarkEnd w:id="85"/>
      <w:bookmarkStart w:id="86" w:name="_Toc151073149"/>
      <w:bookmarkEnd w:id="86"/>
      <w:bookmarkStart w:id="87" w:name="_Toc151072966"/>
      <w:bookmarkEnd w:id="87"/>
      <w:bookmarkStart w:id="88" w:name="_Toc151072965"/>
      <w:bookmarkEnd w:id="88"/>
      <w:bookmarkStart w:id="89" w:name="_Toc151073151"/>
      <w:bookmarkEnd w:id="89"/>
      <w:bookmarkStart w:id="90" w:name="_Toc151073152"/>
      <w:bookmarkEnd w:id="90"/>
      <w:bookmarkStart w:id="91" w:name="_Toc151073334"/>
      <w:bookmarkEnd w:id="91"/>
      <w:bookmarkStart w:id="92" w:name="_Toc151073335"/>
      <w:bookmarkEnd w:id="92"/>
      <w:bookmarkStart w:id="93" w:name="_Toc151073333"/>
      <w:bookmarkEnd w:id="93"/>
      <w:bookmarkStart w:id="94" w:name="_Toc151072967"/>
      <w:bookmarkEnd w:id="94"/>
      <w:bookmarkStart w:id="95" w:name="_Toc151072968"/>
      <w:bookmarkEnd w:id="95"/>
      <w:bookmarkStart w:id="96" w:name="_Toc151073337"/>
      <w:bookmarkEnd w:id="96"/>
      <w:bookmarkStart w:id="97" w:name="_Toc151072970"/>
      <w:bookmarkEnd w:id="97"/>
      <w:bookmarkStart w:id="98" w:name="_Toc151073517"/>
      <w:bookmarkEnd w:id="98"/>
      <w:bookmarkStart w:id="99" w:name="_Toc151072975"/>
      <w:bookmarkEnd w:id="99"/>
      <w:bookmarkStart w:id="100" w:name="_Toc151072977"/>
      <w:bookmarkEnd w:id="100"/>
      <w:bookmarkStart w:id="101" w:name="_Toc151073159"/>
      <w:bookmarkEnd w:id="101"/>
      <w:bookmarkStart w:id="102" w:name="_Toc151073528"/>
      <w:bookmarkEnd w:id="102"/>
      <w:bookmarkStart w:id="103" w:name="_Toc151072978"/>
      <w:bookmarkEnd w:id="103"/>
      <w:bookmarkStart w:id="104" w:name="_Toc151073524"/>
      <w:bookmarkEnd w:id="104"/>
      <w:bookmarkStart w:id="105" w:name="_Toc151073162"/>
      <w:bookmarkEnd w:id="105"/>
      <w:bookmarkStart w:id="106" w:name="_Toc151073342"/>
      <w:bookmarkEnd w:id="106"/>
      <w:bookmarkStart w:id="107" w:name="_Toc151072979"/>
      <w:bookmarkEnd w:id="107"/>
      <w:bookmarkStart w:id="108" w:name="_Toc151073164"/>
      <w:bookmarkEnd w:id="108"/>
      <w:bookmarkStart w:id="109" w:name="_Toc151073157"/>
      <w:bookmarkEnd w:id="109"/>
      <w:bookmarkStart w:id="110" w:name="_Toc151073525"/>
      <w:bookmarkEnd w:id="110"/>
      <w:bookmarkStart w:id="111" w:name="_Toc151073160"/>
      <w:bookmarkEnd w:id="111"/>
      <w:bookmarkStart w:id="112" w:name="_Toc151073343"/>
      <w:bookmarkEnd w:id="112"/>
      <w:bookmarkStart w:id="113" w:name="_Toc151073526"/>
      <w:bookmarkEnd w:id="113"/>
      <w:bookmarkStart w:id="114" w:name="_Toc151073345"/>
      <w:bookmarkEnd w:id="114"/>
      <w:bookmarkStart w:id="115" w:name="_Toc151073347"/>
      <w:bookmarkEnd w:id="115"/>
      <w:bookmarkStart w:id="116" w:name="_Toc151073530"/>
      <w:bookmarkEnd w:id="116"/>
      <w:bookmarkStart w:id="117" w:name="_Toc151072980"/>
      <w:bookmarkEnd w:id="117"/>
      <w:bookmarkStart w:id="118" w:name="_Toc151073158"/>
      <w:bookmarkEnd w:id="118"/>
      <w:bookmarkStart w:id="119" w:name="_Toc151072973"/>
      <w:bookmarkEnd w:id="119"/>
      <w:bookmarkStart w:id="120" w:name="_Toc151073341"/>
      <w:bookmarkEnd w:id="120"/>
      <w:bookmarkStart w:id="121" w:name="_Toc151073527"/>
      <w:bookmarkEnd w:id="121"/>
      <w:bookmarkStart w:id="122" w:name="_Toc151073163"/>
      <w:bookmarkEnd w:id="122"/>
      <w:bookmarkStart w:id="123" w:name="_Toc151073346"/>
      <w:bookmarkEnd w:id="123"/>
      <w:bookmarkStart w:id="124" w:name="_Toc151073161"/>
      <w:bookmarkEnd w:id="124"/>
      <w:bookmarkStart w:id="125" w:name="_Toc151073344"/>
      <w:bookmarkEnd w:id="125"/>
      <w:bookmarkStart w:id="126" w:name="_Toc151073529"/>
      <w:bookmarkEnd w:id="126"/>
      <w:bookmarkStart w:id="127" w:name="_Toc151073523"/>
      <w:bookmarkEnd w:id="127"/>
      <w:bookmarkStart w:id="128" w:name="_Toc151072974"/>
      <w:bookmarkEnd w:id="128"/>
      <w:bookmarkStart w:id="129" w:name="_Toc151072976"/>
      <w:bookmarkEnd w:id="129"/>
      <w:bookmarkStart w:id="130" w:name="_Toc151073340"/>
      <w:bookmarkEnd w:id="130"/>
      <w:bookmarkStart w:id="131" w:name="_Toc151073165"/>
      <w:bookmarkEnd w:id="131"/>
      <w:bookmarkStart w:id="132" w:name="_Toc151073166"/>
      <w:bookmarkEnd w:id="132"/>
      <w:bookmarkStart w:id="133" w:name="_Toc151073348"/>
      <w:bookmarkEnd w:id="133"/>
      <w:bookmarkStart w:id="134" w:name="_Toc151073531"/>
      <w:bookmarkEnd w:id="134"/>
      <w:bookmarkStart w:id="135" w:name="_Toc151072981"/>
      <w:bookmarkEnd w:id="135"/>
      <w:bookmarkStart w:id="136" w:name="_Toc151073349"/>
      <w:bookmarkEnd w:id="136"/>
      <w:bookmarkStart w:id="137" w:name="_Toc151073532"/>
      <w:bookmarkEnd w:id="137"/>
      <w:r>
        <w:rPr>
          <w:rFonts w:hint="eastAsia"/>
        </w:rPr>
        <w:t>德国建筑垃圾管理经验</w:t>
      </w:r>
    </w:p>
    <w:p>
      <w:pPr>
        <w:ind w:firstLine="640"/>
      </w:pPr>
      <w:r>
        <w:rPr>
          <w:rFonts w:hint="eastAsia"/>
        </w:rPr>
        <w:t>德国是世界上首个大规模利用建筑垃圾的国家，在二战中，德国各主要城市遭受了盟军的大规模轰炸，柏林和德累斯顿的建筑损坏率在80%以上。重建期间，百废待兴的德国采用循环利用建筑垃圾的办法，大大缓解了建材供需矛盾，并降低了现场清理费用。</w:t>
      </w:r>
    </w:p>
    <w:p>
      <w:pPr>
        <w:ind w:firstLine="640"/>
      </w:pPr>
      <w:r>
        <w:rPr>
          <w:rFonts w:hint="eastAsia"/>
        </w:rPr>
        <w:t>德国也是世界上最早开展循环经济立法的国家，它在1978年推出了“蓝色天使”计划后制定了《废物处理法》等法规，而1994年制定的《循环经济和废物清除法》(1998年被修订)更是在世界上有广泛影响。根据德国法律，建筑垃圾生产链条中的每一个责任者，都需要为减少垃圾和回收再利用出力。建筑材料制造商必须将产品设计得更加环保和有利于回收，比如:生产不同长度的板材，避免将来重新切割。建筑承包商(包括工程师、建筑设计师)必须把垃圾回收纳入建筑计划，比如:多采用可回收建筑材料等。房屋拆迁工程商责任最为关键，法律要求他们的拆除行为必须有利于建筑垃圾回收。同时，德国对未处理利用的建筑垃圾按每吨500欧元的标准征收处理费。</w:t>
      </w:r>
    </w:p>
    <w:p>
      <w:pPr>
        <w:ind w:firstLine="640"/>
      </w:pPr>
      <w:r>
        <w:rPr>
          <w:rFonts w:hint="eastAsia"/>
        </w:rPr>
        <w:t>建筑垃圾的高收费为建筑垃圾被再次回收利用提供经济基础，保障了建筑垃圾回收企业的经济利益。经过回收处理后的建筑材料价格比原生建筑材料的价格低，使其具有竞争力。</w:t>
      </w:r>
    </w:p>
    <w:p>
      <w:pPr>
        <w:ind w:firstLine="640"/>
      </w:pPr>
      <w:r>
        <w:rPr>
          <w:rFonts w:hint="eastAsia"/>
        </w:rPr>
        <w:t>在激烈的市场竞争下，拆迁商经常以很低甚至零价格从业主那里得到合同，然后他们通过分解、回收和销售建筑垃圾获利。这种政策安排迫使建筑承包商和拆迁商最大程度防止建筑材料受污染，因为这不仅会导致他们收益减少，而目将来还需要为垃圾填埋或焚烧支付费用。</w:t>
      </w:r>
    </w:p>
    <w:p>
      <w:pPr>
        <w:ind w:firstLine="640"/>
      </w:pPr>
      <w:r>
        <w:rPr>
          <w:rFonts w:hint="eastAsia"/>
        </w:rPr>
        <w:t>为了落实相关法律，德国政府一方面监督相关企业按照法律办事，并对违反者进行惩处，另一方面与企业进行合作，促进整个建筑垃圾管理产业的发展。德国建筑行业积极与环境部合作，推动建筑垃圾总量大幅减少。</w:t>
      </w:r>
    </w:p>
    <w:p>
      <w:pPr>
        <w:ind w:firstLine="640"/>
      </w:pPr>
      <w:r>
        <w:rPr>
          <w:rFonts w:hint="eastAsia"/>
        </w:rPr>
        <w:t>德国以经济实惠的再生建材，推动建筑垃圾管理产业的发展。据悉，世界上生产规模最大的建筑垃圾处理厂就在德国，该厂每小时可生产1200吨建筑垃圾再生材料。德国约有200家建筑垃圾处理企业，年营业额达2</w:t>
      </w:r>
      <w:r>
        <w:t>0</w:t>
      </w:r>
      <w:r>
        <w:rPr>
          <w:rFonts w:hint="eastAsia"/>
        </w:rPr>
        <w:t>亿欧元。</w:t>
      </w:r>
    </w:p>
    <w:p>
      <w:pPr>
        <w:pStyle w:val="30"/>
      </w:pPr>
      <w:r>
        <w:rPr>
          <w:rFonts w:hint="eastAsia"/>
        </w:rPr>
        <w:t>美国建筑垃圾管理经验</w:t>
      </w:r>
    </w:p>
    <w:p>
      <w:pPr>
        <w:ind w:firstLine="640"/>
      </w:pPr>
      <w:r>
        <w:rPr>
          <w:rFonts w:hint="eastAsia"/>
        </w:rPr>
        <w:t>发达国家大多实行“建筑垃圾源头削减策略”，即在建筑垃圾形成之前，就通过科学管理和有效控制将其减量化，对于产生的建筑垃圾则采用科学手段，使之具有再生资源的功能。美国城市对建筑垃圾减量化特别重视，从标准、规范到政策、法规，从建筑设计到现场施工，无一不是限制建筑垃圾的产生。这种源头控制方式可减少资源开采、减少建筑成本、运输、对环境的破坏，比各种未端治理更有效。</w:t>
      </w:r>
    </w:p>
    <w:p>
      <w:pPr>
        <w:ind w:firstLine="640"/>
      </w:pPr>
      <w:r>
        <w:rPr>
          <w:rFonts w:hint="eastAsia"/>
        </w:rPr>
        <w:t>美国政府在1980年制定通过的《超级基金法》规定:任何在生产中导致工业废弃物的企业，必须自行妥善处理，不得擅自随意倾卸。这就从源头上限制了建筑垃圾的产生量，促使各企业自觉寻求建筑垃圾资源化利用途径。如美国住宅营造商协会推广“资源保护屋”，其墙壁用回收的轮胎和铝合金废料建成，屋架所用的大部分钢料从建筑工地上回收得来，所用板材是锯末和碎木料加上20%的聚乙烧制成。</w:t>
      </w:r>
    </w:p>
    <w:p>
      <w:pPr>
        <w:ind w:firstLine="640"/>
      </w:pPr>
      <w:r>
        <w:rPr>
          <w:rFonts w:hint="eastAsia"/>
        </w:rPr>
        <w:t>同时，美国通过建筑垃圾分级处理的办法促进其再利用，实现建筑垃圾“减量化”“资源化”“无害化”和建筑垃圾综合利用“产业化”。一是“低级利用”，如现场分拣利用，一般性回填等，占建筑垃圾总量的50%-60%;二是“中级利用”，如用作建筑物或道路的基础材料，经处理厂加工成骨料，再制成各种建筑用砖等，约占建筑垃圾总量的40%，二是“高级利用”，如将建筑垃圾还原成水泥、沥青等再利用。</w:t>
      </w:r>
    </w:p>
    <w:p>
      <w:pPr>
        <w:ind w:firstLine="640"/>
      </w:pPr>
      <w:r>
        <w:rPr>
          <w:rFonts w:hint="eastAsia"/>
        </w:rPr>
        <w:t>美国在建筑垃圾处理方面，形成了一系列完整、全面、有效的管理措施和政策、法规。在建筑垃圾管理政策方面，已经过“政府—市场—政府加市场”3个阶段的演变。第一阶段是基于政府主导的命令与控制方法，通过行政手段实现污染控制，第二阶段是基于市场的经济刺激手段，强调企业在建筑垃圾产生方面的源头削减作用，第三阶段是在进一步完善政策的基础上实现政府倡导和企业自律的结合，提高广大公众的参与意识和参与能力。</w:t>
      </w:r>
    </w:p>
    <w:p>
      <w:pPr>
        <w:ind w:firstLine="640"/>
      </w:pPr>
      <w:r>
        <w:rPr>
          <w:rFonts w:hint="eastAsia"/>
        </w:rPr>
        <w:t>如今，美国每年有1亿吨废弃混凝土被加工成骨料用于工程建设，通过这种方式实现了再利用，再生骨料占美国建筑骨料使用总量的5%。在美国，68%的再生骨料被用于道路基础建设，6%被用于搅拌混凝土，9%被用于搅拌沥青混凝土，3%被用于边坡防护，7%被用于回填基坑，7%被用在其他地方。据悉，美国城市每年产生建筑垃圾3.25亿吨，经过分拣、加工进行转化，再生利用的约占70%，其余30%的建筑垃圾填埋在需要的地方。从广义上说，美国的建筑垃圾100%得到综合利用。同时，美国还把处理建筑垃圾作为一个新兴产业来培育，研究如何使建筑垃圾处理形成新的产业。</w:t>
      </w:r>
    </w:p>
    <w:p>
      <w:pPr>
        <w:pStyle w:val="30"/>
      </w:pPr>
      <w:r>
        <w:rPr>
          <w:rFonts w:hint="eastAsia"/>
        </w:rPr>
        <w:t>经验小结</w:t>
      </w:r>
    </w:p>
    <w:p>
      <w:pPr>
        <w:ind w:firstLine="640"/>
      </w:pPr>
      <w:r>
        <w:rPr>
          <w:rFonts w:hint="eastAsia"/>
        </w:rPr>
        <w:t>通过对国内外建筑垃圾相关规划、工作经验的学习总结，目前临海市已经编制了包含建筑垃圾在内的环境专项规划，从规划层面已经统筹考虑了建筑垃圾的产生规模、转运体系、处置体系等。</w:t>
      </w:r>
    </w:p>
    <w:p>
      <w:pPr>
        <w:ind w:firstLine="640"/>
      </w:pPr>
      <w:r>
        <w:rPr>
          <w:rFonts w:hint="eastAsia"/>
        </w:rPr>
        <w:t>未来，一是加快完善建筑垃圾相关的制度标准。特别是工程渣土，与发达国家相比，我国渣土处理行业刚刚起步，相关法律法规及标准尚不完善。政府应首先完善相关的管理办法，从制度上约束行为主体对渣土进行合理处置，明确渣土处置责任主体；同时，也应重点考虑建筑垃圾的源头减量和资源化利用，加强渣土运输管理，制定相关规范、标准，对消纳场等处置场所的规划、审批、监管做出规定，逐步实现建筑垃圾的规范化、系统化治理。</w:t>
      </w:r>
    </w:p>
    <w:p>
      <w:pPr>
        <w:ind w:firstLine="640"/>
      </w:pPr>
      <w:r>
        <w:rPr>
          <w:rFonts w:hint="eastAsia"/>
        </w:rPr>
        <w:t>二是重视建筑垃圾分类及资源化利用。提高建筑垃圾分类意识，强化源头分类收集末端资源化利用集，打好基础。加强场内源头分类;利用渣土堆造假山、绿地，美化市容;发展建筑垃圾再生利用企业；鼓励社会资金参与投资经营。</w:t>
      </w:r>
    </w:p>
    <w:p>
      <w:pPr>
        <w:ind w:firstLine="640"/>
      </w:pPr>
      <w:r>
        <w:rPr>
          <w:rFonts w:hint="eastAsia"/>
        </w:rPr>
        <w:t>三是加大政府对相关企业的政策扶持。各地政府应该对相关企业给予必要的积极政策扶持，在土地、财政税收、金融及工商等方面给予大力资助，调动相关企业积极性，从而保证建筑垃圾资源化产业链不致中断。鼓励高等院校、科研机构、资源化利用企业等单位开展相关科学研究和技术合作，推广资源化利用新技术、新材料、新工艺新设备; 制定政策，对使用资源化利用产品和符合产业发展导向的资源化利用企业等予以扶持。</w:t>
      </w:r>
    </w:p>
    <w:p>
      <w:pPr>
        <w:ind w:firstLine="640"/>
      </w:pPr>
      <w:r>
        <w:rPr>
          <w:rFonts w:hint="eastAsia"/>
        </w:rPr>
        <w:t>四是重视建筑垃圾处置安全性及环保性。以工程渣土为例，对于盾构土、泥浆等高含水率的渣土应脱水处理后处置，吸取渣土处置事故的经验教训。既要满足环保要求，更要强调末端渣土受纳场的安全性，重视消纳场处置点的监督管理，警惕安全事故发生。对于受纳场的处置方式及选点应符合环保国土等相关部门要求 加强渣土受纳场安全教育及监督管理，严禁超量超高堆填。</w:t>
      </w:r>
    </w:p>
    <w:p>
      <w:pPr>
        <w:pStyle w:val="2"/>
      </w:pPr>
      <w:bookmarkStart w:id="138" w:name="_Toc151072990"/>
      <w:bookmarkEnd w:id="138"/>
      <w:bookmarkStart w:id="139" w:name="_Toc151072988"/>
      <w:bookmarkEnd w:id="139"/>
      <w:bookmarkStart w:id="140" w:name="_Toc151073172"/>
      <w:bookmarkEnd w:id="140"/>
      <w:bookmarkStart w:id="141" w:name="_Toc151073355"/>
      <w:bookmarkEnd w:id="141"/>
      <w:bookmarkStart w:id="142" w:name="_Toc151073356"/>
      <w:bookmarkEnd w:id="142"/>
      <w:bookmarkStart w:id="143" w:name="_Toc151072989"/>
      <w:bookmarkEnd w:id="143"/>
      <w:bookmarkStart w:id="144" w:name="_Toc151073174"/>
      <w:bookmarkEnd w:id="144"/>
      <w:bookmarkStart w:id="145" w:name="_Toc151073357"/>
      <w:bookmarkEnd w:id="145"/>
      <w:bookmarkStart w:id="146" w:name="_Toc151073538"/>
      <w:bookmarkEnd w:id="146"/>
      <w:bookmarkStart w:id="147" w:name="_Toc151072987"/>
      <w:bookmarkEnd w:id="147"/>
      <w:bookmarkStart w:id="148" w:name="_Toc151073539"/>
      <w:bookmarkEnd w:id="148"/>
      <w:bookmarkStart w:id="149" w:name="_Toc151073173"/>
      <w:bookmarkEnd w:id="149"/>
      <w:bookmarkStart w:id="150" w:name="_Toc151073540"/>
      <w:bookmarkEnd w:id="150"/>
      <w:bookmarkStart w:id="151" w:name="_Toc151073175"/>
      <w:bookmarkEnd w:id="151"/>
      <w:bookmarkStart w:id="152" w:name="_Toc151073358"/>
      <w:bookmarkEnd w:id="152"/>
      <w:bookmarkStart w:id="153" w:name="_Toc151073541"/>
      <w:bookmarkEnd w:id="153"/>
      <w:bookmarkStart w:id="154" w:name="_Toc151072992"/>
      <w:bookmarkEnd w:id="154"/>
      <w:bookmarkStart w:id="155" w:name="_Toc151073176"/>
      <w:bookmarkEnd w:id="155"/>
      <w:bookmarkStart w:id="156" w:name="_Toc151073177"/>
      <w:bookmarkEnd w:id="156"/>
      <w:bookmarkStart w:id="157" w:name="_Toc151073179"/>
      <w:bookmarkEnd w:id="157"/>
      <w:bookmarkStart w:id="158" w:name="_Toc151073543"/>
      <w:bookmarkEnd w:id="158"/>
      <w:bookmarkStart w:id="159" w:name="_Toc151072994"/>
      <w:bookmarkEnd w:id="159"/>
      <w:bookmarkStart w:id="160" w:name="_Toc151073359"/>
      <w:bookmarkEnd w:id="160"/>
      <w:bookmarkStart w:id="161" w:name="_Toc151072991"/>
      <w:bookmarkEnd w:id="161"/>
      <w:bookmarkStart w:id="162" w:name="_Toc151073542"/>
      <w:bookmarkEnd w:id="162"/>
      <w:bookmarkStart w:id="163" w:name="_Toc151073360"/>
      <w:bookmarkEnd w:id="163"/>
      <w:bookmarkStart w:id="164" w:name="_Toc151073361"/>
      <w:bookmarkEnd w:id="164"/>
      <w:bookmarkStart w:id="165" w:name="_Toc151073544"/>
      <w:bookmarkEnd w:id="165"/>
      <w:bookmarkStart w:id="166" w:name="_Toc151072993"/>
      <w:bookmarkEnd w:id="166"/>
      <w:bookmarkStart w:id="167" w:name="_Toc151073362"/>
      <w:bookmarkEnd w:id="167"/>
      <w:bookmarkStart w:id="168" w:name="_Toc151073545"/>
      <w:bookmarkEnd w:id="168"/>
      <w:bookmarkStart w:id="169" w:name="_Toc151073178"/>
      <w:bookmarkEnd w:id="169"/>
      <w:bookmarkStart w:id="170" w:name="_Toc168062390"/>
      <w:r>
        <w:rPr>
          <w:rFonts w:hint="eastAsia"/>
        </w:rPr>
        <w:t>规划目标</w:t>
      </w:r>
      <w:bookmarkEnd w:id="170"/>
    </w:p>
    <w:p>
      <w:pPr>
        <w:pStyle w:val="3"/>
      </w:pPr>
      <w:bookmarkStart w:id="171" w:name="_Toc168062391"/>
      <w:r>
        <w:rPr>
          <w:rFonts w:hint="eastAsia"/>
        </w:rPr>
        <w:t>总体目标</w:t>
      </w:r>
      <w:bookmarkEnd w:id="171"/>
    </w:p>
    <w:p>
      <w:pPr>
        <w:ind w:firstLine="640"/>
      </w:pPr>
      <w:bookmarkStart w:id="172" w:name="_Hlk168062064"/>
      <w:r>
        <w:rPr>
          <w:rFonts w:hint="eastAsia"/>
        </w:rPr>
        <w:t>推进建筑垃圾源头减量，健全建筑垃圾分类处理设施和保障体系，建立建筑垃圾全过程管理和环境防治制度，形成建筑垃圾的源头减量、分类投放、中端收运、末端处置和再生产品利用的全流程管理体系</w:t>
      </w:r>
      <w:bookmarkEnd w:id="172"/>
      <w:r>
        <w:rPr>
          <w:rFonts w:hint="eastAsia"/>
        </w:rPr>
        <w:t>。</w:t>
      </w:r>
    </w:p>
    <w:p>
      <w:pPr>
        <w:pStyle w:val="3"/>
      </w:pPr>
      <w:bookmarkStart w:id="173" w:name="_Toc168062392"/>
      <w:r>
        <w:rPr>
          <w:rFonts w:hint="eastAsia"/>
        </w:rPr>
        <w:t>分期目标</w:t>
      </w:r>
      <w:bookmarkEnd w:id="173"/>
    </w:p>
    <w:p>
      <w:pPr>
        <w:ind w:firstLine="640"/>
      </w:pPr>
      <w:bookmarkStart w:id="174" w:name="_Hlk168062071"/>
      <w:r>
        <w:rPr>
          <w:rFonts w:hint="eastAsia"/>
        </w:rPr>
        <w:t>到2030年底，全市建筑垃圾产消能力基本平衡；全面推行建筑垃圾分类管理模式，基本建立源头减量、规范处置、监管闭环、整体智治的数字化治理体系；建筑垃圾综合利用率达</w:t>
      </w:r>
      <w:r>
        <w:rPr>
          <w:rFonts w:hint="eastAsia"/>
          <w:highlight w:val="cyan"/>
        </w:rPr>
        <w:t>93%以上</w:t>
      </w:r>
      <w:r>
        <w:rPr>
          <w:rFonts w:hint="eastAsia"/>
        </w:rPr>
        <w:t>。</w:t>
      </w:r>
    </w:p>
    <w:p>
      <w:pPr>
        <w:ind w:firstLine="640"/>
      </w:pPr>
      <w:r>
        <w:rPr>
          <w:rFonts w:hint="eastAsia"/>
        </w:rPr>
        <w:t>到2035年底，全市建筑垃圾处置能力充足，数字化综合监管水平显著提升，基本形成链条完整、环境友好、良性发展的建筑垃圾资源化产业体系，建筑垃圾污染环境问题得到有效解决；建筑垃圾综合利用率达95%以上</w:t>
      </w:r>
      <w:bookmarkEnd w:id="174"/>
      <w:r>
        <w:rPr>
          <w:rFonts w:hint="eastAsia"/>
        </w:rPr>
        <w:t>。</w:t>
      </w:r>
    </w:p>
    <w:p>
      <w:pPr>
        <w:pStyle w:val="3"/>
      </w:pPr>
      <w:bookmarkStart w:id="175" w:name="_Toc168062393"/>
      <w:r>
        <w:rPr>
          <w:rFonts w:hint="eastAsia"/>
        </w:rPr>
        <w:t>规划指标体系</w:t>
      </w:r>
      <w:bookmarkEnd w:id="175"/>
    </w:p>
    <w:p>
      <w:pPr>
        <w:ind w:firstLine="640"/>
      </w:pPr>
      <w:r>
        <w:rPr>
          <w:rFonts w:hint="eastAsia"/>
        </w:rPr>
        <w:t>结合相关要求，规划期内指标体系详见下表：</w:t>
      </w:r>
    </w:p>
    <w:p>
      <w:pPr>
        <w:pStyle w:val="47"/>
        <w:spacing w:before="62" w:after="9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临海市建筑垃圾规划指标表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51"/>
        <w:gridCol w:w="4111"/>
        <w:gridCol w:w="850"/>
        <w:gridCol w:w="851"/>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562" w:type="dxa"/>
            <w:vAlign w:val="center"/>
          </w:tcPr>
          <w:p>
            <w:pPr>
              <w:pStyle w:val="38"/>
            </w:pPr>
            <w:bookmarkStart w:id="176" w:name="_Hlk168062083"/>
            <w:r>
              <w:rPr>
                <w:rFonts w:hint="eastAsia"/>
              </w:rPr>
              <w:t>序号</w:t>
            </w:r>
          </w:p>
        </w:tc>
        <w:tc>
          <w:tcPr>
            <w:tcW w:w="851" w:type="dxa"/>
            <w:vAlign w:val="center"/>
          </w:tcPr>
          <w:p>
            <w:pPr>
              <w:pStyle w:val="38"/>
            </w:pPr>
            <w:r>
              <w:rPr>
                <w:rFonts w:hint="eastAsia"/>
              </w:rPr>
              <w:t>指标类别</w:t>
            </w:r>
          </w:p>
        </w:tc>
        <w:tc>
          <w:tcPr>
            <w:tcW w:w="4111" w:type="dxa"/>
            <w:vAlign w:val="center"/>
          </w:tcPr>
          <w:p>
            <w:pPr>
              <w:pStyle w:val="38"/>
            </w:pPr>
            <w:r>
              <w:rPr>
                <w:rFonts w:hint="eastAsia"/>
              </w:rPr>
              <w:t>指标内容</w:t>
            </w:r>
          </w:p>
        </w:tc>
        <w:tc>
          <w:tcPr>
            <w:tcW w:w="850" w:type="dxa"/>
            <w:vAlign w:val="center"/>
          </w:tcPr>
          <w:p>
            <w:pPr>
              <w:pStyle w:val="38"/>
            </w:pPr>
            <w:r>
              <w:rPr>
                <w:rFonts w:hint="eastAsia"/>
              </w:rPr>
              <w:t>近期目标</w:t>
            </w:r>
          </w:p>
        </w:tc>
        <w:tc>
          <w:tcPr>
            <w:tcW w:w="851" w:type="dxa"/>
            <w:vAlign w:val="center"/>
          </w:tcPr>
          <w:p>
            <w:pPr>
              <w:pStyle w:val="38"/>
            </w:pPr>
            <w:r>
              <w:rPr>
                <w:rFonts w:hint="eastAsia"/>
              </w:rPr>
              <w:t>远期目标</w:t>
            </w:r>
          </w:p>
        </w:tc>
        <w:tc>
          <w:tcPr>
            <w:tcW w:w="1071" w:type="dxa"/>
            <w:vAlign w:val="center"/>
          </w:tcPr>
          <w:p>
            <w:pPr>
              <w:pStyle w:val="38"/>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pStyle w:val="38"/>
            </w:pPr>
            <w:r>
              <w:rPr>
                <w:rFonts w:hint="eastAsia"/>
              </w:rPr>
              <w:t>1</w:t>
            </w:r>
          </w:p>
        </w:tc>
        <w:tc>
          <w:tcPr>
            <w:tcW w:w="851" w:type="dxa"/>
            <w:vMerge w:val="restart"/>
            <w:vAlign w:val="center"/>
          </w:tcPr>
          <w:p>
            <w:pPr>
              <w:pStyle w:val="38"/>
            </w:pPr>
            <w:r>
              <w:rPr>
                <w:rFonts w:hint="eastAsia"/>
              </w:rPr>
              <w:t>减量化</w:t>
            </w:r>
          </w:p>
        </w:tc>
        <w:tc>
          <w:tcPr>
            <w:tcW w:w="4111" w:type="dxa"/>
            <w:vAlign w:val="center"/>
          </w:tcPr>
          <w:p>
            <w:pPr>
              <w:pStyle w:val="38"/>
            </w:pPr>
            <w:r>
              <w:rPr>
                <w:rFonts w:hint="eastAsia"/>
              </w:rPr>
              <w:t>新建建筑施工现场建筑垃圾排放量（不包括工程渣土、工程泥浆）（吨/万平方米）</w:t>
            </w:r>
          </w:p>
        </w:tc>
        <w:tc>
          <w:tcPr>
            <w:tcW w:w="850" w:type="dxa"/>
            <w:vAlign w:val="center"/>
          </w:tcPr>
          <w:p>
            <w:pPr>
              <w:pStyle w:val="38"/>
            </w:pPr>
            <w:r>
              <w:rPr>
                <w:rFonts w:hint="eastAsia"/>
              </w:rPr>
              <w:t>≤300</w:t>
            </w:r>
          </w:p>
        </w:tc>
        <w:tc>
          <w:tcPr>
            <w:tcW w:w="851" w:type="dxa"/>
            <w:vAlign w:val="center"/>
          </w:tcPr>
          <w:p>
            <w:pPr>
              <w:pStyle w:val="38"/>
            </w:pPr>
            <w:r>
              <w:rPr>
                <w:rFonts w:hint="eastAsia"/>
              </w:rPr>
              <w:t>—</w:t>
            </w:r>
          </w:p>
        </w:tc>
        <w:tc>
          <w:tcPr>
            <w:tcW w:w="1071" w:type="dxa"/>
            <w:vAlign w:val="center"/>
          </w:tcPr>
          <w:p>
            <w:pPr>
              <w:pStyle w:val="38"/>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pStyle w:val="38"/>
            </w:pPr>
            <w:r>
              <w:rPr>
                <w:rFonts w:hint="eastAsia"/>
              </w:rPr>
              <w:t>2</w:t>
            </w:r>
          </w:p>
        </w:tc>
        <w:tc>
          <w:tcPr>
            <w:tcW w:w="851" w:type="dxa"/>
            <w:vMerge w:val="continue"/>
            <w:vAlign w:val="center"/>
          </w:tcPr>
          <w:p>
            <w:pPr>
              <w:pStyle w:val="38"/>
            </w:pPr>
          </w:p>
        </w:tc>
        <w:tc>
          <w:tcPr>
            <w:tcW w:w="4111" w:type="dxa"/>
            <w:vAlign w:val="center"/>
          </w:tcPr>
          <w:p>
            <w:pPr>
              <w:pStyle w:val="38"/>
            </w:pPr>
            <w:r>
              <w:rPr>
                <w:rFonts w:hint="eastAsia"/>
              </w:rPr>
              <w:t>装配式建筑施工现场建筑垃圾排放量（不包括工程渣土、工程泥浆）（吨/万平方米）</w:t>
            </w:r>
          </w:p>
        </w:tc>
        <w:tc>
          <w:tcPr>
            <w:tcW w:w="850" w:type="dxa"/>
            <w:vAlign w:val="center"/>
          </w:tcPr>
          <w:p>
            <w:pPr>
              <w:pStyle w:val="38"/>
            </w:pPr>
            <w:r>
              <w:rPr>
                <w:rFonts w:hint="eastAsia"/>
              </w:rPr>
              <w:t>≤200</w:t>
            </w:r>
          </w:p>
        </w:tc>
        <w:tc>
          <w:tcPr>
            <w:tcW w:w="851" w:type="dxa"/>
            <w:vAlign w:val="center"/>
          </w:tcPr>
          <w:p>
            <w:pPr>
              <w:pStyle w:val="38"/>
            </w:pPr>
            <w:r>
              <w:rPr>
                <w:rFonts w:hint="eastAsia"/>
              </w:rPr>
              <w:t>—</w:t>
            </w:r>
          </w:p>
        </w:tc>
        <w:tc>
          <w:tcPr>
            <w:tcW w:w="1071" w:type="dxa"/>
            <w:vAlign w:val="center"/>
          </w:tcPr>
          <w:p>
            <w:pPr>
              <w:pStyle w:val="38"/>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3</w:t>
            </w:r>
          </w:p>
        </w:tc>
        <w:tc>
          <w:tcPr>
            <w:tcW w:w="851" w:type="dxa"/>
            <w:vMerge w:val="continue"/>
            <w:vAlign w:val="center"/>
          </w:tcPr>
          <w:p>
            <w:pPr>
              <w:pStyle w:val="38"/>
            </w:pPr>
          </w:p>
        </w:tc>
        <w:tc>
          <w:tcPr>
            <w:tcW w:w="4111" w:type="dxa"/>
            <w:vAlign w:val="center"/>
          </w:tcPr>
          <w:p>
            <w:pPr>
              <w:pStyle w:val="38"/>
            </w:pPr>
            <w:r>
              <w:rPr>
                <w:rFonts w:hint="eastAsia"/>
              </w:rPr>
              <w:t>新开工装配式建筑面积占新建建筑比例（%）</w:t>
            </w:r>
          </w:p>
        </w:tc>
        <w:tc>
          <w:tcPr>
            <w:tcW w:w="850" w:type="dxa"/>
            <w:vAlign w:val="center"/>
          </w:tcPr>
          <w:p>
            <w:pPr>
              <w:pStyle w:val="38"/>
            </w:pPr>
            <w:r>
              <w:rPr>
                <w:rFonts w:hint="eastAsia"/>
              </w:rPr>
              <w:t>≥55</w:t>
            </w:r>
          </w:p>
        </w:tc>
        <w:tc>
          <w:tcPr>
            <w:tcW w:w="851" w:type="dxa"/>
            <w:vAlign w:val="center"/>
          </w:tcPr>
          <w:p>
            <w:pPr>
              <w:pStyle w:val="38"/>
            </w:pPr>
            <w:r>
              <w:rPr>
                <w:rFonts w:hint="eastAsia"/>
              </w:rPr>
              <w:t>≥60</w:t>
            </w:r>
          </w:p>
        </w:tc>
        <w:tc>
          <w:tcPr>
            <w:tcW w:w="1071" w:type="dxa"/>
            <w:vAlign w:val="center"/>
          </w:tcPr>
          <w:p>
            <w:pPr>
              <w:pStyle w:val="38"/>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4</w:t>
            </w:r>
          </w:p>
        </w:tc>
        <w:tc>
          <w:tcPr>
            <w:tcW w:w="851" w:type="dxa"/>
            <w:vMerge w:val="restart"/>
            <w:vAlign w:val="center"/>
          </w:tcPr>
          <w:p>
            <w:pPr>
              <w:pStyle w:val="38"/>
            </w:pPr>
            <w:r>
              <w:rPr>
                <w:rFonts w:hint="eastAsia"/>
              </w:rPr>
              <w:t>资源化</w:t>
            </w:r>
          </w:p>
        </w:tc>
        <w:tc>
          <w:tcPr>
            <w:tcW w:w="4111" w:type="dxa"/>
            <w:vAlign w:val="center"/>
          </w:tcPr>
          <w:p>
            <w:pPr>
              <w:pStyle w:val="38"/>
            </w:pPr>
            <w:r>
              <w:rPr>
                <w:rFonts w:hint="eastAsia"/>
              </w:rPr>
              <w:t>建筑垃圾综合利用率（%）</w:t>
            </w:r>
          </w:p>
        </w:tc>
        <w:tc>
          <w:tcPr>
            <w:tcW w:w="850" w:type="dxa"/>
            <w:vAlign w:val="center"/>
          </w:tcPr>
          <w:p>
            <w:pPr>
              <w:pStyle w:val="38"/>
            </w:pPr>
            <w:r>
              <w:rPr>
                <w:rFonts w:hint="eastAsia"/>
              </w:rPr>
              <w:t>≥93</w:t>
            </w:r>
          </w:p>
        </w:tc>
        <w:tc>
          <w:tcPr>
            <w:tcW w:w="851" w:type="dxa"/>
            <w:vAlign w:val="center"/>
          </w:tcPr>
          <w:p>
            <w:pPr>
              <w:pStyle w:val="38"/>
            </w:pPr>
            <w:r>
              <w:rPr>
                <w:rFonts w:hint="eastAsia"/>
              </w:rPr>
              <w:t>≥95</w:t>
            </w:r>
          </w:p>
        </w:tc>
        <w:tc>
          <w:tcPr>
            <w:tcW w:w="1071" w:type="dxa"/>
            <w:vAlign w:val="center"/>
          </w:tcPr>
          <w:p>
            <w:pPr>
              <w:pStyle w:val="38"/>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5</w:t>
            </w:r>
          </w:p>
        </w:tc>
        <w:tc>
          <w:tcPr>
            <w:tcW w:w="851" w:type="dxa"/>
            <w:vMerge w:val="continue"/>
            <w:vAlign w:val="center"/>
          </w:tcPr>
          <w:p>
            <w:pPr>
              <w:pStyle w:val="38"/>
            </w:pPr>
          </w:p>
        </w:tc>
        <w:tc>
          <w:tcPr>
            <w:tcW w:w="4111" w:type="dxa"/>
            <w:vAlign w:val="center"/>
          </w:tcPr>
          <w:p>
            <w:pPr>
              <w:pStyle w:val="38"/>
            </w:pPr>
            <w:r>
              <w:rPr>
                <w:rFonts w:hint="eastAsia"/>
              </w:rPr>
              <w:t>渣土泥浆资源化再生利用率（%）</w:t>
            </w:r>
          </w:p>
        </w:tc>
        <w:tc>
          <w:tcPr>
            <w:tcW w:w="850" w:type="dxa"/>
            <w:vAlign w:val="center"/>
          </w:tcPr>
          <w:p>
            <w:pPr>
              <w:pStyle w:val="38"/>
            </w:pPr>
            <w:r>
              <w:rPr>
                <w:rFonts w:hint="eastAsia"/>
              </w:rPr>
              <w:t>≥20</w:t>
            </w:r>
          </w:p>
        </w:tc>
        <w:tc>
          <w:tcPr>
            <w:tcW w:w="851" w:type="dxa"/>
            <w:vAlign w:val="center"/>
          </w:tcPr>
          <w:p>
            <w:pPr>
              <w:pStyle w:val="38"/>
            </w:pPr>
            <w:r>
              <w:rPr>
                <w:rFonts w:hint="eastAsia"/>
              </w:rPr>
              <w:t>≥30</w:t>
            </w:r>
          </w:p>
        </w:tc>
        <w:tc>
          <w:tcPr>
            <w:tcW w:w="1071" w:type="dxa"/>
            <w:vAlign w:val="center"/>
          </w:tcPr>
          <w:p>
            <w:pPr>
              <w:pStyle w:val="38"/>
            </w:pPr>
            <w:r>
              <w:rPr>
                <w:rFonts w:hint="eastAsi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6</w:t>
            </w:r>
          </w:p>
        </w:tc>
        <w:tc>
          <w:tcPr>
            <w:tcW w:w="851" w:type="dxa"/>
            <w:vMerge w:val="continue"/>
            <w:vAlign w:val="center"/>
          </w:tcPr>
          <w:p>
            <w:pPr>
              <w:pStyle w:val="38"/>
            </w:pPr>
          </w:p>
        </w:tc>
        <w:tc>
          <w:tcPr>
            <w:tcW w:w="4111" w:type="dxa"/>
            <w:vAlign w:val="center"/>
          </w:tcPr>
          <w:p>
            <w:pPr>
              <w:pStyle w:val="38"/>
            </w:pPr>
            <w:r>
              <w:rPr>
                <w:rFonts w:hint="eastAsia"/>
              </w:rPr>
              <w:t>工程、拆装、装修垃圾资源化再生利用（%）</w:t>
            </w:r>
          </w:p>
        </w:tc>
        <w:tc>
          <w:tcPr>
            <w:tcW w:w="850" w:type="dxa"/>
            <w:vAlign w:val="center"/>
          </w:tcPr>
          <w:p>
            <w:pPr>
              <w:pStyle w:val="38"/>
            </w:pPr>
            <w:r>
              <w:rPr>
                <w:rFonts w:hint="eastAsia"/>
              </w:rPr>
              <w:t>≥60</w:t>
            </w:r>
          </w:p>
        </w:tc>
        <w:tc>
          <w:tcPr>
            <w:tcW w:w="851" w:type="dxa"/>
            <w:vAlign w:val="center"/>
          </w:tcPr>
          <w:p>
            <w:pPr>
              <w:pStyle w:val="38"/>
            </w:pPr>
            <w:r>
              <w:rPr>
                <w:rFonts w:hint="eastAsia"/>
              </w:rPr>
              <w:t>≥80</w:t>
            </w:r>
          </w:p>
        </w:tc>
        <w:tc>
          <w:tcPr>
            <w:tcW w:w="1071" w:type="dxa"/>
            <w:vAlign w:val="center"/>
          </w:tcPr>
          <w:p>
            <w:pPr>
              <w:pStyle w:val="38"/>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7</w:t>
            </w:r>
          </w:p>
        </w:tc>
        <w:tc>
          <w:tcPr>
            <w:tcW w:w="851" w:type="dxa"/>
            <w:vMerge w:val="restart"/>
            <w:vAlign w:val="center"/>
          </w:tcPr>
          <w:p>
            <w:pPr>
              <w:pStyle w:val="38"/>
            </w:pPr>
            <w:r>
              <w:rPr>
                <w:rFonts w:hint="eastAsia"/>
              </w:rPr>
              <w:t>无害化</w:t>
            </w:r>
          </w:p>
        </w:tc>
        <w:tc>
          <w:tcPr>
            <w:tcW w:w="4111" w:type="dxa"/>
            <w:vAlign w:val="center"/>
          </w:tcPr>
          <w:p>
            <w:pPr>
              <w:pStyle w:val="38"/>
            </w:pPr>
            <w:r>
              <w:rPr>
                <w:rFonts w:hint="eastAsia"/>
              </w:rPr>
              <w:t>建筑垃圾收运率（%）</w:t>
            </w:r>
          </w:p>
        </w:tc>
        <w:tc>
          <w:tcPr>
            <w:tcW w:w="850" w:type="dxa"/>
            <w:vAlign w:val="center"/>
          </w:tcPr>
          <w:p>
            <w:pPr>
              <w:pStyle w:val="38"/>
            </w:pPr>
            <w:r>
              <w:rPr>
                <w:rFonts w:hint="eastAsia"/>
              </w:rPr>
              <w:t>100</w:t>
            </w:r>
          </w:p>
        </w:tc>
        <w:tc>
          <w:tcPr>
            <w:tcW w:w="851" w:type="dxa"/>
            <w:vAlign w:val="center"/>
          </w:tcPr>
          <w:p>
            <w:pPr>
              <w:pStyle w:val="38"/>
            </w:pPr>
            <w:r>
              <w:rPr>
                <w:rFonts w:hint="eastAsia"/>
              </w:rPr>
              <w:t>100</w:t>
            </w:r>
          </w:p>
        </w:tc>
        <w:tc>
          <w:tcPr>
            <w:tcW w:w="1071" w:type="dxa"/>
            <w:vAlign w:val="center"/>
          </w:tcPr>
          <w:p>
            <w:pPr>
              <w:pStyle w:val="38"/>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8</w:t>
            </w:r>
          </w:p>
        </w:tc>
        <w:tc>
          <w:tcPr>
            <w:tcW w:w="851" w:type="dxa"/>
            <w:vMerge w:val="continue"/>
            <w:vAlign w:val="center"/>
          </w:tcPr>
          <w:p>
            <w:pPr>
              <w:pStyle w:val="38"/>
            </w:pPr>
          </w:p>
        </w:tc>
        <w:tc>
          <w:tcPr>
            <w:tcW w:w="4111" w:type="dxa"/>
            <w:vAlign w:val="center"/>
          </w:tcPr>
          <w:p>
            <w:pPr>
              <w:pStyle w:val="38"/>
            </w:pPr>
            <w:r>
              <w:rPr>
                <w:rFonts w:hint="eastAsia"/>
              </w:rPr>
              <w:t>建筑垃圾密闭化收运率（%）</w:t>
            </w:r>
          </w:p>
        </w:tc>
        <w:tc>
          <w:tcPr>
            <w:tcW w:w="850" w:type="dxa"/>
            <w:vAlign w:val="center"/>
          </w:tcPr>
          <w:p>
            <w:pPr>
              <w:pStyle w:val="38"/>
            </w:pPr>
            <w:r>
              <w:rPr>
                <w:rFonts w:hint="eastAsia"/>
              </w:rPr>
              <w:t>100</w:t>
            </w:r>
          </w:p>
        </w:tc>
        <w:tc>
          <w:tcPr>
            <w:tcW w:w="851" w:type="dxa"/>
            <w:vAlign w:val="center"/>
          </w:tcPr>
          <w:p>
            <w:pPr>
              <w:pStyle w:val="38"/>
            </w:pPr>
            <w:r>
              <w:rPr>
                <w:rFonts w:hint="eastAsia"/>
              </w:rPr>
              <w:t>100</w:t>
            </w:r>
          </w:p>
        </w:tc>
        <w:tc>
          <w:tcPr>
            <w:tcW w:w="1071" w:type="dxa"/>
            <w:vAlign w:val="center"/>
          </w:tcPr>
          <w:p>
            <w:pPr>
              <w:pStyle w:val="38"/>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9</w:t>
            </w:r>
          </w:p>
        </w:tc>
        <w:tc>
          <w:tcPr>
            <w:tcW w:w="851" w:type="dxa"/>
            <w:vMerge w:val="continue"/>
            <w:vAlign w:val="center"/>
          </w:tcPr>
          <w:p>
            <w:pPr>
              <w:pStyle w:val="38"/>
            </w:pPr>
          </w:p>
        </w:tc>
        <w:tc>
          <w:tcPr>
            <w:tcW w:w="4111" w:type="dxa"/>
            <w:vAlign w:val="center"/>
          </w:tcPr>
          <w:p>
            <w:pPr>
              <w:pStyle w:val="38"/>
            </w:pPr>
            <w:r>
              <w:rPr>
                <w:rFonts w:hint="eastAsia"/>
              </w:rPr>
              <w:t>建筑垃圾无害化处置率（%）</w:t>
            </w:r>
          </w:p>
        </w:tc>
        <w:tc>
          <w:tcPr>
            <w:tcW w:w="850" w:type="dxa"/>
            <w:vAlign w:val="center"/>
          </w:tcPr>
          <w:p>
            <w:pPr>
              <w:pStyle w:val="38"/>
            </w:pPr>
            <w:r>
              <w:rPr>
                <w:rFonts w:hint="eastAsia"/>
              </w:rPr>
              <w:t>100</w:t>
            </w:r>
          </w:p>
        </w:tc>
        <w:tc>
          <w:tcPr>
            <w:tcW w:w="851" w:type="dxa"/>
            <w:vAlign w:val="center"/>
          </w:tcPr>
          <w:p>
            <w:pPr>
              <w:pStyle w:val="38"/>
            </w:pPr>
            <w:r>
              <w:rPr>
                <w:rFonts w:hint="eastAsia"/>
              </w:rPr>
              <w:t>100</w:t>
            </w:r>
          </w:p>
        </w:tc>
        <w:tc>
          <w:tcPr>
            <w:tcW w:w="1071" w:type="dxa"/>
            <w:vAlign w:val="center"/>
          </w:tcPr>
          <w:p>
            <w:pPr>
              <w:pStyle w:val="38"/>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10</w:t>
            </w:r>
          </w:p>
        </w:tc>
        <w:tc>
          <w:tcPr>
            <w:tcW w:w="851" w:type="dxa"/>
            <w:vMerge w:val="restart"/>
            <w:vAlign w:val="center"/>
          </w:tcPr>
          <w:p>
            <w:pPr>
              <w:pStyle w:val="38"/>
            </w:pPr>
            <w:r>
              <w:rPr>
                <w:rFonts w:hint="eastAsia"/>
              </w:rPr>
              <w:t>数字化</w:t>
            </w:r>
          </w:p>
        </w:tc>
        <w:tc>
          <w:tcPr>
            <w:tcW w:w="4111" w:type="dxa"/>
            <w:vAlign w:val="center"/>
          </w:tcPr>
          <w:p>
            <w:pPr>
              <w:pStyle w:val="38"/>
            </w:pPr>
            <w:r>
              <w:rPr>
                <w:rFonts w:hint="eastAsia"/>
              </w:rPr>
              <w:t>建筑垃圾运输车船卫星定位装置接入率（%）</w:t>
            </w:r>
          </w:p>
        </w:tc>
        <w:tc>
          <w:tcPr>
            <w:tcW w:w="850" w:type="dxa"/>
            <w:vAlign w:val="center"/>
          </w:tcPr>
          <w:p>
            <w:pPr>
              <w:pStyle w:val="38"/>
            </w:pPr>
            <w:r>
              <w:rPr>
                <w:rFonts w:hint="eastAsia"/>
              </w:rPr>
              <w:t>100</w:t>
            </w:r>
          </w:p>
        </w:tc>
        <w:tc>
          <w:tcPr>
            <w:tcW w:w="851" w:type="dxa"/>
            <w:vAlign w:val="center"/>
          </w:tcPr>
          <w:p>
            <w:pPr>
              <w:pStyle w:val="38"/>
            </w:pPr>
            <w:r>
              <w:rPr>
                <w:rFonts w:hint="eastAsia"/>
              </w:rPr>
              <w:t>100</w:t>
            </w:r>
          </w:p>
        </w:tc>
        <w:tc>
          <w:tcPr>
            <w:tcW w:w="1071" w:type="dxa"/>
            <w:vAlign w:val="center"/>
          </w:tcPr>
          <w:p>
            <w:pPr>
              <w:pStyle w:val="38"/>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11</w:t>
            </w:r>
          </w:p>
        </w:tc>
        <w:tc>
          <w:tcPr>
            <w:tcW w:w="851" w:type="dxa"/>
            <w:vMerge w:val="continue"/>
            <w:vAlign w:val="center"/>
          </w:tcPr>
          <w:p>
            <w:pPr>
              <w:pStyle w:val="38"/>
            </w:pPr>
          </w:p>
        </w:tc>
        <w:tc>
          <w:tcPr>
            <w:tcW w:w="4111" w:type="dxa"/>
            <w:vAlign w:val="center"/>
          </w:tcPr>
          <w:p>
            <w:pPr>
              <w:pStyle w:val="38"/>
            </w:pPr>
            <w:r>
              <w:rPr>
                <w:rFonts w:hint="eastAsia"/>
              </w:rPr>
              <w:t>工程项目视频监控接入率（%）</w:t>
            </w:r>
          </w:p>
        </w:tc>
        <w:tc>
          <w:tcPr>
            <w:tcW w:w="850" w:type="dxa"/>
            <w:vAlign w:val="center"/>
          </w:tcPr>
          <w:p>
            <w:pPr>
              <w:pStyle w:val="38"/>
            </w:pPr>
            <w:r>
              <w:rPr>
                <w:rFonts w:hint="eastAsia"/>
              </w:rPr>
              <w:t>100</w:t>
            </w:r>
          </w:p>
        </w:tc>
        <w:tc>
          <w:tcPr>
            <w:tcW w:w="851" w:type="dxa"/>
            <w:vAlign w:val="center"/>
          </w:tcPr>
          <w:p>
            <w:pPr>
              <w:pStyle w:val="38"/>
            </w:pPr>
            <w:r>
              <w:rPr>
                <w:rFonts w:hint="eastAsia"/>
              </w:rPr>
              <w:t>100</w:t>
            </w:r>
          </w:p>
        </w:tc>
        <w:tc>
          <w:tcPr>
            <w:tcW w:w="1071" w:type="dxa"/>
            <w:vAlign w:val="center"/>
          </w:tcPr>
          <w:p>
            <w:pPr>
              <w:pStyle w:val="38"/>
            </w:pPr>
            <w:r>
              <w:rPr>
                <w:rFonts w:hint="eastAsi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pStyle w:val="38"/>
            </w:pPr>
            <w:r>
              <w:rPr>
                <w:rFonts w:hint="eastAsia"/>
              </w:rPr>
              <w:t>12</w:t>
            </w:r>
          </w:p>
        </w:tc>
        <w:tc>
          <w:tcPr>
            <w:tcW w:w="851" w:type="dxa"/>
            <w:vMerge w:val="continue"/>
            <w:vAlign w:val="center"/>
          </w:tcPr>
          <w:p>
            <w:pPr>
              <w:pStyle w:val="38"/>
            </w:pPr>
          </w:p>
        </w:tc>
        <w:tc>
          <w:tcPr>
            <w:tcW w:w="4111" w:type="dxa"/>
            <w:vAlign w:val="center"/>
          </w:tcPr>
          <w:p>
            <w:pPr>
              <w:pStyle w:val="38"/>
            </w:pPr>
            <w:r>
              <w:rPr>
                <w:rFonts w:hint="eastAsia"/>
              </w:rPr>
              <w:t>建筑垃圾消纳场所视频监控接入率（%）</w:t>
            </w:r>
          </w:p>
        </w:tc>
        <w:tc>
          <w:tcPr>
            <w:tcW w:w="850" w:type="dxa"/>
            <w:vAlign w:val="center"/>
          </w:tcPr>
          <w:p>
            <w:pPr>
              <w:pStyle w:val="38"/>
            </w:pPr>
            <w:r>
              <w:rPr>
                <w:rFonts w:hint="eastAsia"/>
              </w:rPr>
              <w:t>100</w:t>
            </w:r>
          </w:p>
        </w:tc>
        <w:tc>
          <w:tcPr>
            <w:tcW w:w="851" w:type="dxa"/>
            <w:vAlign w:val="center"/>
          </w:tcPr>
          <w:p>
            <w:pPr>
              <w:pStyle w:val="38"/>
            </w:pPr>
            <w:r>
              <w:rPr>
                <w:rFonts w:hint="eastAsia"/>
              </w:rPr>
              <w:t>100</w:t>
            </w:r>
          </w:p>
        </w:tc>
        <w:tc>
          <w:tcPr>
            <w:tcW w:w="1071" w:type="dxa"/>
            <w:vAlign w:val="center"/>
          </w:tcPr>
          <w:p>
            <w:pPr>
              <w:pStyle w:val="38"/>
            </w:pPr>
            <w:r>
              <w:rPr>
                <w:rFonts w:hint="eastAsi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tcPr>
          <w:p>
            <w:pPr>
              <w:pStyle w:val="38"/>
            </w:pPr>
            <w:r>
              <w:rPr>
                <w:rFonts w:hint="eastAsia"/>
              </w:rPr>
              <w:t>13</w:t>
            </w:r>
          </w:p>
        </w:tc>
        <w:tc>
          <w:tcPr>
            <w:tcW w:w="851" w:type="dxa"/>
            <w:vMerge w:val="continue"/>
          </w:tcPr>
          <w:p>
            <w:pPr>
              <w:pStyle w:val="38"/>
            </w:pPr>
          </w:p>
        </w:tc>
        <w:tc>
          <w:tcPr>
            <w:tcW w:w="4111" w:type="dxa"/>
          </w:tcPr>
          <w:p>
            <w:pPr>
              <w:pStyle w:val="38"/>
            </w:pPr>
            <w:r>
              <w:rPr>
                <w:rFonts w:hint="eastAsia"/>
              </w:rPr>
              <w:t>建筑垃圾电子转移联单闭环率（%）</w:t>
            </w:r>
          </w:p>
        </w:tc>
        <w:tc>
          <w:tcPr>
            <w:tcW w:w="850" w:type="dxa"/>
          </w:tcPr>
          <w:p>
            <w:pPr>
              <w:pStyle w:val="38"/>
            </w:pPr>
            <w:r>
              <w:rPr>
                <w:rFonts w:hint="eastAsia"/>
              </w:rPr>
              <w:t>100</w:t>
            </w:r>
          </w:p>
        </w:tc>
        <w:tc>
          <w:tcPr>
            <w:tcW w:w="851" w:type="dxa"/>
          </w:tcPr>
          <w:p>
            <w:pPr>
              <w:pStyle w:val="38"/>
            </w:pPr>
            <w:r>
              <w:rPr>
                <w:rFonts w:hint="eastAsia"/>
              </w:rPr>
              <w:t>100</w:t>
            </w:r>
          </w:p>
        </w:tc>
        <w:tc>
          <w:tcPr>
            <w:tcW w:w="1071" w:type="dxa"/>
          </w:tcPr>
          <w:p>
            <w:pPr>
              <w:pStyle w:val="38"/>
            </w:pPr>
            <w:r>
              <w:rPr>
                <w:rFonts w:hint="eastAsia"/>
              </w:rPr>
              <w:t>约束性</w:t>
            </w:r>
          </w:p>
        </w:tc>
      </w:tr>
      <w:bookmarkEnd w:id="176"/>
    </w:tbl>
    <w:p>
      <w:pPr>
        <w:ind w:firstLine="640"/>
      </w:pPr>
    </w:p>
    <w:p>
      <w:pPr>
        <w:pStyle w:val="2"/>
      </w:pPr>
      <w:bookmarkStart w:id="177" w:name="_Toc168062394"/>
      <w:r>
        <w:rPr>
          <w:rFonts w:hint="eastAsia"/>
        </w:rPr>
        <w:t>规模预测</w:t>
      </w:r>
      <w:bookmarkEnd w:id="177"/>
    </w:p>
    <w:p>
      <w:pPr>
        <w:pStyle w:val="3"/>
      </w:pPr>
      <w:bookmarkStart w:id="178" w:name="_Toc167461381"/>
      <w:bookmarkStart w:id="179" w:name="_Toc168062395"/>
      <w:r>
        <w:rPr>
          <w:rFonts w:hint="eastAsia"/>
        </w:rPr>
        <w:t>建筑垃圾产生量预测</w:t>
      </w:r>
      <w:bookmarkEnd w:id="178"/>
      <w:bookmarkEnd w:id="179"/>
    </w:p>
    <w:p>
      <w:pPr>
        <w:pStyle w:val="30"/>
      </w:pPr>
      <w:r>
        <w:rPr>
          <w:rFonts w:hint="eastAsia"/>
        </w:rPr>
        <w:t>预测分析</w:t>
      </w:r>
    </w:p>
    <w:p>
      <w:pPr>
        <w:pStyle w:val="5"/>
      </w:pPr>
      <w:r>
        <w:rPr>
          <w:rFonts w:hint="eastAsia"/>
        </w:rPr>
        <w:t>人口预测</w:t>
      </w:r>
    </w:p>
    <w:p>
      <w:pPr>
        <w:ind w:firstLine="640"/>
      </w:pPr>
      <w:r>
        <w:rPr>
          <w:rFonts w:hint="eastAsia"/>
        </w:rPr>
        <w:t>根据“七普”成果，2020年临海市常住人口为</w:t>
      </w:r>
      <w:r>
        <w:t>111</w:t>
      </w:r>
      <w:r>
        <w:rPr>
          <w:rFonts w:hint="eastAsia"/>
        </w:rPr>
        <w:t>.</w:t>
      </w:r>
      <w:r>
        <w:t>4</w:t>
      </w:r>
      <w:r>
        <w:rPr>
          <w:rFonts w:hint="eastAsia"/>
        </w:rPr>
        <w:t>万人，与2010年第六次全国人口普查的102.9万人相比，十年共增加8.5万人，增长8.29%，年平均增长率为0.80%。</w:t>
      </w:r>
    </w:p>
    <w:p>
      <w:pPr>
        <w:ind w:firstLine="640"/>
      </w:pPr>
      <w:r>
        <w:rPr>
          <w:rFonts w:hint="eastAsia"/>
        </w:rPr>
        <w:t>根据《临海市国土空间总体规划（2021-2035年）》，预测2035年临海市常住人口134万人，按照2.6人/户（临海市七普数据），预测2035年临海市共约51.5万户；2030年人口则按照年均增长量法预测约126万人，共48.5万户。</w:t>
      </w:r>
    </w:p>
    <w:p>
      <w:pPr>
        <w:pStyle w:val="5"/>
      </w:pPr>
      <w:r>
        <w:rPr>
          <w:rFonts w:hint="eastAsia"/>
        </w:rPr>
        <w:t>开工面积预测</w:t>
      </w:r>
    </w:p>
    <w:p>
      <w:pPr>
        <w:ind w:firstLine="640"/>
      </w:pPr>
      <w:r>
        <w:rPr>
          <w:rFonts w:hint="eastAsia"/>
        </w:rPr>
        <w:t>根据市住建局统计数据，2019年~2023年临海市全年开工建设施工面积约1567公顷，年际之间波动较大，平均每年开工面积约314公顷，平均增速约16%。</w:t>
      </w:r>
    </w:p>
    <w:p>
      <w:pPr>
        <w:ind w:firstLine="640"/>
      </w:pPr>
      <w:r>
        <w:rPr>
          <w:rFonts w:hint="eastAsia"/>
        </w:rPr>
        <w:t>考虑到疫情前后建设情况波动较大，本次以2023年开工面积作为预测上限，平均值314公顷作为预测参考基础数据，并结合近5年实际开工面积，适当考虑一定增长，综合预测近期临海市全年房屋建筑施工面积约300万平方米；远期全年房屋建筑施工面积约350万平方米。</w:t>
      </w:r>
    </w:p>
    <w:p>
      <w:pPr>
        <w:pStyle w:val="47"/>
        <w:spacing w:before="62" w:after="9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临海市历年开工面积统计表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4"/>
        <w:gridCol w:w="2752"/>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483" w:type="pct"/>
          </w:tcPr>
          <w:p>
            <w:pPr>
              <w:pStyle w:val="38"/>
            </w:pPr>
            <w:r>
              <w:rPr>
                <w:rFonts w:hint="eastAsia"/>
              </w:rPr>
              <w:t>序号</w:t>
            </w:r>
          </w:p>
        </w:tc>
        <w:tc>
          <w:tcPr>
            <w:tcW w:w="1482" w:type="pct"/>
            <w:noWrap/>
          </w:tcPr>
          <w:p>
            <w:pPr>
              <w:pStyle w:val="38"/>
            </w:pPr>
            <w:r>
              <w:rPr>
                <w:rFonts w:hint="eastAsia"/>
              </w:rPr>
              <w:t>年份</w:t>
            </w:r>
          </w:p>
        </w:tc>
        <w:tc>
          <w:tcPr>
            <w:tcW w:w="2035" w:type="pct"/>
            <w:noWrap/>
          </w:tcPr>
          <w:p>
            <w:pPr>
              <w:pStyle w:val="38"/>
            </w:pPr>
            <w:r>
              <w:rPr>
                <w:rFonts w:hint="eastAsia"/>
              </w:rPr>
              <w:t>开工面积/公顷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83" w:type="pct"/>
          </w:tcPr>
          <w:p>
            <w:pPr>
              <w:pStyle w:val="38"/>
            </w:pPr>
            <w:r>
              <w:rPr>
                <w:rFonts w:hint="eastAsia"/>
              </w:rPr>
              <w:t>1</w:t>
            </w:r>
          </w:p>
        </w:tc>
        <w:tc>
          <w:tcPr>
            <w:tcW w:w="1482" w:type="pct"/>
            <w:noWrap/>
          </w:tcPr>
          <w:p>
            <w:pPr>
              <w:pStyle w:val="38"/>
            </w:pPr>
            <w:r>
              <w:rPr>
                <w:rFonts w:hint="eastAsia"/>
              </w:rPr>
              <w:t>2019</w:t>
            </w:r>
          </w:p>
        </w:tc>
        <w:tc>
          <w:tcPr>
            <w:tcW w:w="2035" w:type="pct"/>
            <w:noWrap/>
          </w:tcPr>
          <w:p>
            <w:pPr>
              <w:pStyle w:val="38"/>
            </w:pPr>
            <w:r>
              <w:rPr>
                <w:rFonts w:hint="eastAsia"/>
              </w:rPr>
              <w:t>312.6042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83" w:type="pct"/>
          </w:tcPr>
          <w:p>
            <w:pPr>
              <w:pStyle w:val="38"/>
            </w:pPr>
            <w:r>
              <w:rPr>
                <w:rFonts w:hint="eastAsia"/>
              </w:rPr>
              <w:t>2</w:t>
            </w:r>
          </w:p>
        </w:tc>
        <w:tc>
          <w:tcPr>
            <w:tcW w:w="1482" w:type="pct"/>
            <w:noWrap/>
          </w:tcPr>
          <w:p>
            <w:pPr>
              <w:pStyle w:val="38"/>
            </w:pPr>
            <w:r>
              <w:rPr>
                <w:rFonts w:hint="eastAsia"/>
              </w:rPr>
              <w:t>2020</w:t>
            </w:r>
          </w:p>
        </w:tc>
        <w:tc>
          <w:tcPr>
            <w:tcW w:w="2035" w:type="pct"/>
            <w:noWrap/>
          </w:tcPr>
          <w:p>
            <w:pPr>
              <w:pStyle w:val="38"/>
            </w:pPr>
            <w:r>
              <w:rPr>
                <w:rFonts w:hint="eastAsia"/>
              </w:rPr>
              <w:t>297.3962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83" w:type="pct"/>
          </w:tcPr>
          <w:p>
            <w:pPr>
              <w:pStyle w:val="38"/>
            </w:pPr>
            <w:r>
              <w:rPr>
                <w:rFonts w:hint="eastAsia"/>
              </w:rPr>
              <w:t>3</w:t>
            </w:r>
          </w:p>
        </w:tc>
        <w:tc>
          <w:tcPr>
            <w:tcW w:w="1482" w:type="pct"/>
            <w:noWrap/>
          </w:tcPr>
          <w:p>
            <w:pPr>
              <w:pStyle w:val="38"/>
            </w:pPr>
            <w:r>
              <w:rPr>
                <w:rFonts w:hint="eastAsia"/>
              </w:rPr>
              <w:t>2021</w:t>
            </w:r>
          </w:p>
        </w:tc>
        <w:tc>
          <w:tcPr>
            <w:tcW w:w="2035" w:type="pct"/>
            <w:noWrap/>
          </w:tcPr>
          <w:p>
            <w:pPr>
              <w:pStyle w:val="38"/>
            </w:pPr>
            <w:r>
              <w:rPr>
                <w:rFonts w:hint="eastAsia"/>
              </w:rPr>
              <w:t>203.2214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83" w:type="pct"/>
          </w:tcPr>
          <w:p>
            <w:pPr>
              <w:pStyle w:val="38"/>
            </w:pPr>
            <w:r>
              <w:rPr>
                <w:rFonts w:hint="eastAsia"/>
              </w:rPr>
              <w:t>4</w:t>
            </w:r>
          </w:p>
        </w:tc>
        <w:tc>
          <w:tcPr>
            <w:tcW w:w="1482" w:type="pct"/>
            <w:noWrap/>
          </w:tcPr>
          <w:p>
            <w:pPr>
              <w:pStyle w:val="38"/>
            </w:pPr>
            <w:r>
              <w:rPr>
                <w:rFonts w:hint="eastAsia"/>
              </w:rPr>
              <w:t>2022</w:t>
            </w:r>
          </w:p>
        </w:tc>
        <w:tc>
          <w:tcPr>
            <w:tcW w:w="2035" w:type="pct"/>
            <w:noWrap/>
          </w:tcPr>
          <w:p>
            <w:pPr>
              <w:pStyle w:val="38"/>
            </w:pPr>
            <w:r>
              <w:rPr>
                <w:rFonts w:hint="eastAsia"/>
              </w:rPr>
              <w:t>289.7685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83" w:type="pct"/>
          </w:tcPr>
          <w:p>
            <w:pPr>
              <w:pStyle w:val="38"/>
            </w:pPr>
            <w:r>
              <w:rPr>
                <w:rFonts w:hint="eastAsia"/>
              </w:rPr>
              <w:t>5</w:t>
            </w:r>
          </w:p>
        </w:tc>
        <w:tc>
          <w:tcPr>
            <w:tcW w:w="1482" w:type="pct"/>
            <w:noWrap/>
          </w:tcPr>
          <w:p>
            <w:pPr>
              <w:pStyle w:val="38"/>
            </w:pPr>
            <w:r>
              <w:rPr>
                <w:rFonts w:hint="eastAsia"/>
              </w:rPr>
              <w:t>2023</w:t>
            </w:r>
          </w:p>
        </w:tc>
        <w:tc>
          <w:tcPr>
            <w:tcW w:w="2035" w:type="pct"/>
            <w:noWrap/>
          </w:tcPr>
          <w:p>
            <w:pPr>
              <w:pStyle w:val="38"/>
            </w:pPr>
            <w:r>
              <w:rPr>
                <w:rFonts w:hint="eastAsia"/>
              </w:rPr>
              <w:t>464.524</w:t>
            </w:r>
          </w:p>
        </w:tc>
      </w:tr>
    </w:tbl>
    <w:p>
      <w:pPr>
        <w:pStyle w:val="5"/>
      </w:pPr>
      <w:r>
        <w:rPr>
          <w:rFonts w:hint="eastAsia"/>
        </w:rPr>
        <w:t>拆除面积预测</w:t>
      </w:r>
    </w:p>
    <w:p>
      <w:pPr>
        <w:ind w:firstLine="640"/>
      </w:pPr>
      <w:r>
        <w:rPr>
          <w:rFonts w:hint="eastAsia"/>
        </w:rPr>
        <w:t>根据临海市三拆一改统计数据，2020年-2023年平均拆除面积约为53.45万立方米/年，整体为降低趋势。本次预测近期拆除面积按35万立方米/年，远期按30万立方米/年。</w:t>
      </w:r>
    </w:p>
    <w:p>
      <w:pPr>
        <w:pStyle w:val="47"/>
        <w:spacing w:before="62" w:after="9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临海市历年拆除面积统计表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3051"/>
        <w:gridCol w:w="4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14" w:type="pct"/>
          </w:tcPr>
          <w:p>
            <w:pPr>
              <w:pStyle w:val="38"/>
            </w:pPr>
            <w:r>
              <w:rPr>
                <w:rFonts w:hint="eastAsia"/>
              </w:rPr>
              <w:t>序号</w:t>
            </w:r>
          </w:p>
        </w:tc>
        <w:tc>
          <w:tcPr>
            <w:tcW w:w="1643" w:type="pct"/>
            <w:noWrap/>
          </w:tcPr>
          <w:p>
            <w:pPr>
              <w:pStyle w:val="38"/>
            </w:pPr>
            <w:r>
              <w:rPr>
                <w:rFonts w:hint="eastAsia"/>
              </w:rPr>
              <w:t>年份</w:t>
            </w:r>
          </w:p>
        </w:tc>
        <w:tc>
          <w:tcPr>
            <w:tcW w:w="2343" w:type="pct"/>
            <w:noWrap/>
          </w:tcPr>
          <w:p>
            <w:pPr>
              <w:pStyle w:val="38"/>
            </w:pPr>
            <w:r>
              <w:rPr>
                <w:rFonts w:hint="eastAsia"/>
              </w:rPr>
              <w:t>拆除面积/公顷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tcPr>
          <w:p>
            <w:pPr>
              <w:pStyle w:val="38"/>
            </w:pPr>
            <w:r>
              <w:rPr>
                <w:rFonts w:hint="eastAsia"/>
              </w:rPr>
              <w:t>1</w:t>
            </w:r>
          </w:p>
        </w:tc>
        <w:tc>
          <w:tcPr>
            <w:tcW w:w="1643" w:type="pct"/>
            <w:noWrap/>
          </w:tcPr>
          <w:p>
            <w:pPr>
              <w:pStyle w:val="38"/>
            </w:pPr>
            <w:r>
              <w:rPr>
                <w:rFonts w:hint="eastAsia"/>
              </w:rPr>
              <w:t>2020</w:t>
            </w:r>
          </w:p>
        </w:tc>
        <w:tc>
          <w:tcPr>
            <w:tcW w:w="2343" w:type="pct"/>
            <w:noWrap/>
            <w:vAlign w:val="bottom"/>
          </w:tcPr>
          <w:p>
            <w:pPr>
              <w:pStyle w:val="38"/>
            </w:pPr>
            <w:r>
              <w:rPr>
                <w:rFonts w:hint="eastAsia"/>
              </w:rPr>
              <w:t>64.71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tcPr>
          <w:p>
            <w:pPr>
              <w:pStyle w:val="38"/>
            </w:pPr>
            <w:r>
              <w:rPr>
                <w:rFonts w:hint="eastAsia"/>
              </w:rPr>
              <w:t>2</w:t>
            </w:r>
          </w:p>
        </w:tc>
        <w:tc>
          <w:tcPr>
            <w:tcW w:w="1643" w:type="pct"/>
            <w:noWrap/>
          </w:tcPr>
          <w:p>
            <w:pPr>
              <w:pStyle w:val="38"/>
            </w:pPr>
            <w:r>
              <w:rPr>
                <w:rFonts w:hint="eastAsia"/>
              </w:rPr>
              <w:t>2021</w:t>
            </w:r>
          </w:p>
        </w:tc>
        <w:tc>
          <w:tcPr>
            <w:tcW w:w="2343" w:type="pct"/>
            <w:noWrap/>
            <w:vAlign w:val="bottom"/>
          </w:tcPr>
          <w:p>
            <w:pPr>
              <w:pStyle w:val="38"/>
            </w:pPr>
            <w:r>
              <w:rPr>
                <w:rFonts w:hint="eastAsia"/>
              </w:rPr>
              <w:t>81.44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tcPr>
          <w:p>
            <w:pPr>
              <w:pStyle w:val="38"/>
            </w:pPr>
            <w:r>
              <w:rPr>
                <w:rFonts w:hint="eastAsia"/>
              </w:rPr>
              <w:t>3</w:t>
            </w:r>
          </w:p>
        </w:tc>
        <w:tc>
          <w:tcPr>
            <w:tcW w:w="1643" w:type="pct"/>
            <w:noWrap/>
          </w:tcPr>
          <w:p>
            <w:pPr>
              <w:pStyle w:val="38"/>
            </w:pPr>
            <w:r>
              <w:rPr>
                <w:rFonts w:hint="eastAsia"/>
              </w:rPr>
              <w:t>2022</w:t>
            </w:r>
          </w:p>
        </w:tc>
        <w:tc>
          <w:tcPr>
            <w:tcW w:w="2343" w:type="pct"/>
            <w:noWrap/>
            <w:vAlign w:val="bottom"/>
          </w:tcPr>
          <w:p>
            <w:pPr>
              <w:pStyle w:val="38"/>
            </w:pPr>
            <w:r>
              <w:rPr>
                <w:rFonts w:hint="eastAsia"/>
              </w:rPr>
              <w:t>29.57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tcPr>
          <w:p>
            <w:pPr>
              <w:pStyle w:val="38"/>
            </w:pPr>
            <w:r>
              <w:rPr>
                <w:rFonts w:hint="eastAsia"/>
              </w:rPr>
              <w:t>4</w:t>
            </w:r>
          </w:p>
        </w:tc>
        <w:tc>
          <w:tcPr>
            <w:tcW w:w="1643" w:type="pct"/>
            <w:noWrap/>
          </w:tcPr>
          <w:p>
            <w:pPr>
              <w:pStyle w:val="38"/>
            </w:pPr>
            <w:r>
              <w:rPr>
                <w:rFonts w:hint="eastAsia"/>
              </w:rPr>
              <w:t>2023</w:t>
            </w:r>
          </w:p>
        </w:tc>
        <w:tc>
          <w:tcPr>
            <w:tcW w:w="2343" w:type="pct"/>
            <w:noWrap/>
            <w:vAlign w:val="bottom"/>
          </w:tcPr>
          <w:p>
            <w:pPr>
              <w:pStyle w:val="38"/>
            </w:pPr>
            <w:r>
              <w:rPr>
                <w:rFonts w:hint="eastAsia"/>
              </w:rPr>
              <w:t>38.11</w:t>
            </w:r>
          </w:p>
        </w:tc>
      </w:tr>
    </w:tbl>
    <w:p>
      <w:pPr>
        <w:ind w:firstLine="640"/>
      </w:pPr>
    </w:p>
    <w:p>
      <w:pPr>
        <w:ind w:firstLine="640"/>
      </w:pPr>
    </w:p>
    <w:p>
      <w:pPr>
        <w:pStyle w:val="30"/>
      </w:pPr>
      <w:r>
        <w:rPr>
          <w:rFonts w:hint="eastAsia"/>
        </w:rPr>
        <w:t>产量预测</w:t>
      </w:r>
    </w:p>
    <w:p>
      <w:pPr>
        <w:pStyle w:val="5"/>
      </w:pPr>
      <w:r>
        <w:rPr>
          <w:rFonts w:hint="eastAsia"/>
        </w:rPr>
        <w:t>装修垃圾产生量</w:t>
      </w:r>
    </w:p>
    <w:p>
      <w:pPr>
        <w:ind w:firstLine="640"/>
      </w:pPr>
      <w:r>
        <w:rPr>
          <w:rFonts w:hint="eastAsia"/>
        </w:rPr>
        <w:t>根据《建筑垃圾处理技术标准》(CJJ/T 134</w:t>
      </w:r>
      <w:r>
        <w:rPr>
          <w:rFonts w:eastAsia="Times New Roman" w:cs="Times New Roman"/>
        </w:rPr>
        <w:t>-</w:t>
      </w:r>
      <w:r>
        <w:rPr>
          <w:rFonts w:hint="eastAsia"/>
        </w:rPr>
        <w:t>2019)，装修垃圾产生量的估算公式：</w:t>
      </w:r>
    </w:p>
    <w:p>
      <w:pPr>
        <w:ind w:firstLine="640"/>
        <w:jc w:val="center"/>
      </w:pPr>
      <w:r>
        <w:t>Mz=Rz</w:t>
      </w:r>
      <w:r>
        <w:rPr>
          <w:rFonts w:hint="eastAsia"/>
        </w:rPr>
        <w:t>×</w:t>
      </w:r>
      <w:r>
        <w:t>mz</w:t>
      </w:r>
    </w:p>
    <w:p>
      <w:pPr>
        <w:ind w:firstLine="640"/>
      </w:pPr>
      <w:r>
        <w:rPr>
          <w:rFonts w:hint="eastAsia"/>
        </w:rPr>
        <w:t>式中：Mz—某城市或区域装修垃圾产生量（吨/年）；</w:t>
      </w:r>
    </w:p>
    <w:p>
      <w:pPr>
        <w:ind w:firstLine="1600" w:firstLineChars="500"/>
      </w:pPr>
      <w:r>
        <w:rPr>
          <w:rFonts w:hint="eastAsia"/>
        </w:rPr>
        <w:t>Rz—城市或区域居民户数（户）；</w:t>
      </w:r>
    </w:p>
    <w:p>
      <w:pPr>
        <w:ind w:firstLine="1600" w:firstLineChars="500"/>
      </w:pPr>
      <w:r>
        <w:rPr>
          <w:rFonts w:hint="eastAsia"/>
        </w:rPr>
        <w:t>mz—单位户数装修垃圾产生量基数[吨/(户</w:t>
      </w:r>
      <w:r>
        <w:rPr>
          <w:rFonts w:hint="eastAsia" w:ascii="微软雅黑" w:hAnsi="微软雅黑" w:eastAsia="微软雅黑" w:cs="微软雅黑"/>
        </w:rPr>
        <w:t>•</w:t>
      </w:r>
      <w:r>
        <w:rPr>
          <w:rFonts w:hint="eastAsia"/>
        </w:rPr>
        <w:t>年)</w:t>
      </w:r>
      <w:r>
        <w:t>]</w:t>
      </w:r>
      <w:r>
        <w:rPr>
          <w:rFonts w:hint="eastAsia"/>
        </w:rPr>
        <w:t>，可取0.5[吨/(户</w:t>
      </w:r>
      <w:r>
        <w:rPr>
          <w:rFonts w:hint="eastAsia" w:ascii="微软雅黑" w:hAnsi="微软雅黑" w:eastAsia="微软雅黑" w:cs="微软雅黑"/>
        </w:rPr>
        <w:t>•</w:t>
      </w:r>
      <w:r>
        <w:rPr>
          <w:rFonts w:hint="eastAsia"/>
        </w:rPr>
        <w:t>年)</w:t>
      </w:r>
      <w:r>
        <w:t>]</w:t>
      </w:r>
      <w:r>
        <w:rPr>
          <w:rFonts w:hint="eastAsia"/>
        </w:rPr>
        <w:t>~1.0[吨/(户</w:t>
      </w:r>
      <w:r>
        <w:rPr>
          <w:rFonts w:hint="eastAsia" w:ascii="微软雅黑" w:hAnsi="微软雅黑" w:eastAsia="微软雅黑" w:cs="微软雅黑"/>
        </w:rPr>
        <w:t>•</w:t>
      </w:r>
      <w:r>
        <w:rPr>
          <w:rFonts w:hint="eastAsia"/>
        </w:rPr>
        <w:t>年)</w:t>
      </w:r>
      <w:r>
        <w:t>]</w:t>
      </w:r>
      <w:r>
        <w:rPr>
          <w:rFonts w:hint="eastAsia"/>
        </w:rPr>
        <w:t>。</w:t>
      </w:r>
    </w:p>
    <w:p>
      <w:pPr>
        <w:ind w:firstLine="640"/>
      </w:pPr>
      <w:r>
        <w:rPr>
          <w:rFonts w:hint="eastAsia"/>
        </w:rPr>
        <w:t>以上述临海市居民总户数为计算基准，考虑源头垃圾减量化，规划每户装修垃圾产生量基数取0.5[吨/(户</w:t>
      </w:r>
      <w:r>
        <w:rPr>
          <w:rFonts w:hint="eastAsia" w:ascii="微软雅黑" w:hAnsi="微软雅黑" w:eastAsia="微软雅黑" w:cs="微软雅黑"/>
        </w:rPr>
        <w:t>•</w:t>
      </w:r>
      <w:r>
        <w:rPr>
          <w:rFonts w:hint="eastAsia"/>
        </w:rPr>
        <w:t>年)]，则预测近期；临海市装修垃圾产生量为24.3万吨/年；远期临海市装修垃圾产生量为25.8万吨/年。</w:t>
      </w:r>
    </w:p>
    <w:p>
      <w:pPr>
        <w:pStyle w:val="5"/>
      </w:pPr>
      <w:r>
        <w:rPr>
          <w:rFonts w:hint="eastAsia"/>
        </w:rPr>
        <w:t>拆除垃圾产生量</w:t>
      </w:r>
    </w:p>
    <w:p>
      <w:pPr>
        <w:ind w:firstLine="640"/>
      </w:pPr>
      <w:r>
        <w:rPr>
          <w:rFonts w:hint="eastAsia"/>
        </w:rPr>
        <w:t>根据《建筑垃圾处理技术标准》(CJJ/T 134-2019)，拆除垃圾是指各类建筑物、构筑物等拆除过程中产生的弃料，主要以金屈、混凝土、沥青、砖瓦、陶瓷、玻璃、木材、塑料、土等为主要材料。拆除垃圾的产生量可按下式计算：</w:t>
      </w:r>
    </w:p>
    <w:p>
      <w:pPr>
        <w:ind w:firstLine="640"/>
        <w:jc w:val="center"/>
      </w:pPr>
      <w:r>
        <w:t>Mc=Rc</w:t>
      </w:r>
      <w:r>
        <w:rPr>
          <w:rFonts w:hint="eastAsia"/>
        </w:rPr>
        <w:t>×</w:t>
      </w:r>
      <w:r>
        <w:t>m</w:t>
      </w:r>
      <w:r>
        <w:rPr>
          <w:rFonts w:hint="eastAsia"/>
        </w:rPr>
        <w:t>c</w:t>
      </w:r>
    </w:p>
    <w:p>
      <w:pPr>
        <w:ind w:firstLine="640"/>
      </w:pPr>
      <w:r>
        <w:rPr>
          <w:rFonts w:hint="eastAsia"/>
        </w:rPr>
        <w:t>式中：Mc—城市或区域拆除垃圾产生量（吨/年）；</w:t>
      </w:r>
    </w:p>
    <w:p>
      <w:pPr>
        <w:ind w:firstLine="1600" w:firstLineChars="500"/>
      </w:pPr>
      <w:r>
        <w:rPr>
          <w:rFonts w:hint="eastAsia"/>
        </w:rPr>
        <w:t>Rc—城市或区域拆除面积，万平方米/年；</w:t>
      </w:r>
    </w:p>
    <w:p>
      <w:pPr>
        <w:ind w:firstLine="1600" w:firstLineChars="500"/>
      </w:pPr>
      <w:r>
        <w:rPr>
          <w:rFonts w:hint="eastAsia"/>
        </w:rPr>
        <w:t>mc—单位面积拆除垃圾产生量基数（吨</w:t>
      </w:r>
      <w:r>
        <w:t>/</w:t>
      </w:r>
      <w:r>
        <w:rPr>
          <w:rFonts w:hint="eastAsia"/>
        </w:rPr>
        <w:t>万平方米），可取8000（吨</w:t>
      </w:r>
      <w:r>
        <w:t>/</w:t>
      </w:r>
      <w:r>
        <w:rPr>
          <w:rFonts w:hint="eastAsia"/>
        </w:rPr>
        <w:t>万平方米）~13</w:t>
      </w:r>
      <w:r>
        <w:t>0</w:t>
      </w:r>
      <w:r>
        <w:rPr>
          <w:rFonts w:hint="eastAsia"/>
        </w:rPr>
        <w:t>00（吨</w:t>
      </w:r>
      <w:r>
        <w:t>/</w:t>
      </w:r>
      <w:r>
        <w:rPr>
          <w:rFonts w:hint="eastAsia"/>
        </w:rPr>
        <w:t>万平方米）。考虑源头垃圾减量化，本次取9000吨</w:t>
      </w:r>
      <w:r>
        <w:t>/</w:t>
      </w:r>
      <w:r>
        <w:rPr>
          <w:rFonts w:hint="eastAsia"/>
        </w:rPr>
        <w:t>万平方米，预测近期拆除垃圾产生量约31.5万吨/年；远期拆除垃圾产生量约27万吨/年。</w:t>
      </w:r>
    </w:p>
    <w:p>
      <w:pPr>
        <w:pStyle w:val="5"/>
      </w:pPr>
      <w:r>
        <w:rPr>
          <w:rFonts w:hint="eastAsia"/>
        </w:rPr>
        <w:t>工程垃圾产生量</w:t>
      </w:r>
    </w:p>
    <w:p>
      <w:pPr>
        <w:ind w:firstLine="640"/>
      </w:pPr>
      <w:r>
        <w:rPr>
          <w:rFonts w:hint="eastAsia"/>
        </w:rPr>
        <w:t>根据《建筑垃圾处理技术标准》(CJJ/T 134</w:t>
      </w:r>
      <w:r>
        <w:rPr>
          <w:rFonts w:hint="eastAsia" w:cs="Times New Roman" w:eastAsiaTheme="minorEastAsia"/>
        </w:rPr>
        <w:t>-</w:t>
      </w:r>
      <w:r>
        <w:rPr>
          <w:rFonts w:hint="eastAsia"/>
        </w:rPr>
        <w:t>2019)，工程垃圾是指各类建筑物、构筑物等建设过程中产生的弃料，主要以金属、混凝土、沥青和模板等为主要成分，其产生量的估算公式：</w:t>
      </w:r>
    </w:p>
    <w:p>
      <w:pPr>
        <w:ind w:firstLine="640"/>
        <w:jc w:val="center"/>
      </w:pPr>
      <w:r>
        <w:t>Mg=Rg</w:t>
      </w:r>
      <w:r>
        <w:rPr>
          <w:rFonts w:hint="eastAsia"/>
        </w:rPr>
        <w:t>×</w:t>
      </w:r>
      <w:r>
        <w:t>mg</w:t>
      </w:r>
    </w:p>
    <w:p>
      <w:pPr>
        <w:ind w:firstLine="640"/>
      </w:pPr>
      <w:r>
        <w:rPr>
          <w:rFonts w:hint="eastAsia"/>
        </w:rPr>
        <w:t>式中：Mg—某城市或区域工程垃圾产生量（吨/年）；</w:t>
      </w:r>
    </w:p>
    <w:p>
      <w:pPr>
        <w:ind w:firstLine="1600" w:firstLineChars="500"/>
      </w:pPr>
      <w:r>
        <w:rPr>
          <w:rFonts w:hint="eastAsia"/>
        </w:rPr>
        <w:t>Rg—城市或区域新增建筑面积（万平方米/年）；</w:t>
      </w:r>
    </w:p>
    <w:p>
      <w:pPr>
        <w:ind w:firstLine="1600" w:firstLineChars="500"/>
      </w:pPr>
      <w:r>
        <w:rPr>
          <w:rFonts w:hint="eastAsia"/>
        </w:rPr>
        <w:t>mg—单位面积工程垃圾产生量基数（吨</w:t>
      </w:r>
      <w:r>
        <w:t>/</w:t>
      </w:r>
      <w:r>
        <w:rPr>
          <w:rFonts w:hint="eastAsia"/>
        </w:rPr>
        <w:t>万平方米）,可取300（吨</w:t>
      </w:r>
      <w:r>
        <w:t>/</w:t>
      </w:r>
      <w:r>
        <w:rPr>
          <w:rFonts w:hint="eastAsia"/>
        </w:rPr>
        <w:t>万平方米）~</w:t>
      </w:r>
      <w:r>
        <w:t>800</w:t>
      </w:r>
      <w:r>
        <w:rPr>
          <w:rFonts w:hint="eastAsia"/>
        </w:rPr>
        <w:t>（吨</w:t>
      </w:r>
      <w:r>
        <w:t>/</w:t>
      </w:r>
      <w:r>
        <w:rPr>
          <w:rFonts w:hint="eastAsia"/>
        </w:rPr>
        <w:t>万平方米）。</w:t>
      </w:r>
    </w:p>
    <w:p>
      <w:pPr>
        <w:ind w:firstLine="640"/>
      </w:pPr>
      <w:r>
        <w:rPr>
          <w:rFonts w:hint="eastAsia"/>
        </w:rPr>
        <w:t>新增建筑面积以上述预测值为基准，结合现状工程垃圾统计数据，单位面积工程垃圾产生量基数按300吨</w:t>
      </w:r>
      <w:r>
        <w:t>/</w:t>
      </w:r>
      <w:r>
        <w:rPr>
          <w:rFonts w:hint="eastAsia"/>
        </w:rPr>
        <w:t>万平方米计，则预测近期临海市的工程垃圾产生量约9万吨/年；远期临海市的工程垃圾产生量约10.5万吨/年。</w:t>
      </w:r>
    </w:p>
    <w:p>
      <w:pPr>
        <w:pStyle w:val="5"/>
      </w:pPr>
      <w:r>
        <w:rPr>
          <w:rFonts w:hint="eastAsia"/>
        </w:rPr>
        <w:t>工程渣土产生量</w:t>
      </w:r>
    </w:p>
    <w:p>
      <w:pPr>
        <w:ind w:firstLine="640"/>
      </w:pPr>
      <w:r>
        <w:rPr>
          <w:rFonts w:hint="eastAsia"/>
        </w:rPr>
        <w:t>根据历史统计数据，临海市2020年工程渣土产生量230.5万吨，2021年工程渣土产生量205.1万吨，2022年工程渣土产生量127万吨，2023年工程渣土产生量192万吨。</w:t>
      </w:r>
      <w:r>
        <w:rPr>
          <w:rFonts w:hint="eastAsia"/>
          <w:highlight w:val="green"/>
        </w:rPr>
        <w:t>根据临海市2024年相关统计数据，预计2024年产生建筑渣土约368万吨</w:t>
      </w:r>
      <w:r>
        <w:rPr>
          <w:rFonts w:hint="eastAsia"/>
        </w:rPr>
        <w:t>。由于工程渣土产生量波动性较大，缺少较为直接的预测依据。</w:t>
      </w:r>
      <w:r>
        <w:rPr>
          <w:rFonts w:hint="eastAsia"/>
          <w:highlight w:val="green"/>
        </w:rPr>
        <w:t>为保障设施容量充足，本次采用保守估算，按照近几年渣土产量高值进行预测，近期工程渣土产量约370万吨，远期约400万吨。</w:t>
      </w:r>
    </w:p>
    <w:p>
      <w:pPr>
        <w:pStyle w:val="5"/>
      </w:pPr>
      <w:bookmarkStart w:id="180" w:name="_Hlk167975474"/>
      <w:r>
        <w:rPr>
          <w:rFonts w:hint="eastAsia"/>
        </w:rPr>
        <w:t>工程泥浆产生量</w:t>
      </w:r>
    </w:p>
    <w:p>
      <w:pPr>
        <w:ind w:firstLine="640"/>
      </w:pPr>
      <w:r>
        <w:rPr>
          <w:rFonts w:hint="eastAsia"/>
        </w:rPr>
        <w:t>工程泥浆由于缺少统计数据，根据杭州市等相关统计资料，工程泥浆产量约占工程渣土产生量的10%，预测近期工程泥浆产量约18万吨，远期约20万吨。</w:t>
      </w:r>
    </w:p>
    <w:bookmarkEnd w:id="180"/>
    <w:p>
      <w:pPr>
        <w:pStyle w:val="3"/>
      </w:pPr>
      <w:bookmarkStart w:id="181" w:name="_Toc167461382"/>
      <w:bookmarkStart w:id="182" w:name="_Toc168062396"/>
      <w:r>
        <w:rPr>
          <w:rFonts w:hint="eastAsia"/>
        </w:rPr>
        <w:t>建筑垃圾利用和处置规模预测</w:t>
      </w:r>
      <w:bookmarkEnd w:id="181"/>
      <w:bookmarkEnd w:id="182"/>
    </w:p>
    <w:p>
      <w:pPr>
        <w:ind w:firstLine="640"/>
      </w:pPr>
      <w:r>
        <w:rPr>
          <w:rFonts w:hint="eastAsia"/>
        </w:rPr>
        <w:t>规划按照：工程垃圾、拆除垃圾、装修垃圾近期再生利用率60%，远期80%；工程泥浆渣土近期再生利用率20%，远期30%；由于临海现状工程渣土综合利用率较高（资源化利用及直接利用），随着临海市数字化体系建设，建筑渣土直接利用效率将再次得到有效提高。综上所述，具体建筑垃圾预测如下表所示。</w:t>
      </w:r>
    </w:p>
    <w:p>
      <w:pPr>
        <w:pStyle w:val="47"/>
        <w:spacing w:before="62" w:after="9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rPr>
          <w:rFonts w:hint="eastAsia"/>
        </w:rPr>
        <w:t>临海市建筑垃圾产生处置量预测表（单位：万吨）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9"/>
        <w:gridCol w:w="871"/>
        <w:gridCol w:w="869"/>
        <w:gridCol w:w="899"/>
        <w:gridCol w:w="884"/>
        <w:gridCol w:w="943"/>
        <w:gridCol w:w="943"/>
        <w:gridCol w:w="945"/>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vMerge w:val="restart"/>
            <w:noWrap/>
          </w:tcPr>
          <w:p>
            <w:pPr>
              <w:pStyle w:val="38"/>
              <w:rPr>
                <w:highlight w:val="green"/>
              </w:rPr>
            </w:pPr>
            <w:r>
              <w:rPr>
                <w:rFonts w:hint="eastAsia"/>
                <w:highlight w:val="green"/>
              </w:rPr>
              <w:t>建筑垃圾类别</w:t>
            </w:r>
          </w:p>
        </w:tc>
        <w:tc>
          <w:tcPr>
            <w:tcW w:w="937" w:type="pct"/>
            <w:gridSpan w:val="2"/>
            <w:noWrap/>
          </w:tcPr>
          <w:p>
            <w:pPr>
              <w:pStyle w:val="38"/>
              <w:rPr>
                <w:highlight w:val="green"/>
              </w:rPr>
            </w:pPr>
            <w:r>
              <w:rPr>
                <w:rFonts w:hint="eastAsia"/>
                <w:highlight w:val="green"/>
              </w:rPr>
              <w:t>产生量</w:t>
            </w:r>
          </w:p>
        </w:tc>
        <w:tc>
          <w:tcPr>
            <w:tcW w:w="960" w:type="pct"/>
            <w:gridSpan w:val="2"/>
            <w:noWrap/>
          </w:tcPr>
          <w:p>
            <w:pPr>
              <w:pStyle w:val="38"/>
              <w:rPr>
                <w:highlight w:val="green"/>
              </w:rPr>
            </w:pPr>
            <w:r>
              <w:rPr>
                <w:rFonts w:hint="eastAsia"/>
                <w:highlight w:val="green"/>
              </w:rPr>
              <w:t>直接利用量</w:t>
            </w:r>
          </w:p>
        </w:tc>
        <w:tc>
          <w:tcPr>
            <w:tcW w:w="1015" w:type="pct"/>
            <w:gridSpan w:val="2"/>
            <w:noWrap/>
          </w:tcPr>
          <w:p>
            <w:pPr>
              <w:pStyle w:val="38"/>
              <w:rPr>
                <w:highlight w:val="green"/>
              </w:rPr>
            </w:pPr>
            <w:r>
              <w:rPr>
                <w:rFonts w:hint="eastAsia"/>
                <w:highlight w:val="green"/>
              </w:rPr>
              <w:t>再生利用量</w:t>
            </w:r>
          </w:p>
        </w:tc>
        <w:tc>
          <w:tcPr>
            <w:tcW w:w="973" w:type="pct"/>
            <w:gridSpan w:val="2"/>
            <w:noWrap/>
          </w:tcPr>
          <w:p>
            <w:pPr>
              <w:pStyle w:val="38"/>
              <w:rPr>
                <w:highlight w:val="green"/>
              </w:rPr>
            </w:pPr>
            <w:r>
              <w:rPr>
                <w:rFonts w:hint="eastAsia"/>
                <w:highlight w:val="green"/>
              </w:rPr>
              <w:t>处置量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vMerge w:val="continue"/>
          </w:tcPr>
          <w:p>
            <w:pPr>
              <w:pStyle w:val="38"/>
              <w:rPr>
                <w:highlight w:val="green"/>
              </w:rPr>
            </w:pPr>
          </w:p>
        </w:tc>
        <w:tc>
          <w:tcPr>
            <w:tcW w:w="469" w:type="pct"/>
            <w:noWrap/>
          </w:tcPr>
          <w:p>
            <w:pPr>
              <w:pStyle w:val="38"/>
              <w:rPr>
                <w:highlight w:val="green"/>
              </w:rPr>
            </w:pPr>
            <w:r>
              <w:rPr>
                <w:rFonts w:hint="eastAsia"/>
                <w:highlight w:val="green"/>
              </w:rPr>
              <w:t>近期</w:t>
            </w:r>
          </w:p>
        </w:tc>
        <w:tc>
          <w:tcPr>
            <w:tcW w:w="468" w:type="pct"/>
            <w:noWrap/>
          </w:tcPr>
          <w:p>
            <w:pPr>
              <w:pStyle w:val="38"/>
              <w:rPr>
                <w:highlight w:val="green"/>
              </w:rPr>
            </w:pPr>
            <w:r>
              <w:rPr>
                <w:rFonts w:hint="eastAsia"/>
                <w:highlight w:val="green"/>
              </w:rPr>
              <w:t>远期</w:t>
            </w:r>
          </w:p>
        </w:tc>
        <w:tc>
          <w:tcPr>
            <w:tcW w:w="484" w:type="pct"/>
            <w:noWrap/>
          </w:tcPr>
          <w:p>
            <w:pPr>
              <w:pStyle w:val="38"/>
              <w:rPr>
                <w:highlight w:val="green"/>
              </w:rPr>
            </w:pPr>
            <w:r>
              <w:rPr>
                <w:rFonts w:hint="eastAsia"/>
                <w:highlight w:val="green"/>
              </w:rPr>
              <w:t>近期</w:t>
            </w:r>
          </w:p>
        </w:tc>
        <w:tc>
          <w:tcPr>
            <w:tcW w:w="476" w:type="pct"/>
            <w:noWrap/>
          </w:tcPr>
          <w:p>
            <w:pPr>
              <w:pStyle w:val="38"/>
              <w:rPr>
                <w:highlight w:val="green"/>
              </w:rPr>
            </w:pPr>
            <w:r>
              <w:rPr>
                <w:rFonts w:hint="eastAsia"/>
                <w:highlight w:val="green"/>
              </w:rPr>
              <w:t>远期</w:t>
            </w:r>
          </w:p>
        </w:tc>
        <w:tc>
          <w:tcPr>
            <w:tcW w:w="508" w:type="pct"/>
            <w:noWrap/>
          </w:tcPr>
          <w:p>
            <w:pPr>
              <w:pStyle w:val="38"/>
              <w:rPr>
                <w:highlight w:val="green"/>
              </w:rPr>
            </w:pPr>
            <w:r>
              <w:rPr>
                <w:rFonts w:hint="eastAsia"/>
                <w:highlight w:val="green"/>
              </w:rPr>
              <w:t>近期</w:t>
            </w:r>
          </w:p>
        </w:tc>
        <w:tc>
          <w:tcPr>
            <w:tcW w:w="508" w:type="pct"/>
            <w:noWrap/>
          </w:tcPr>
          <w:p>
            <w:pPr>
              <w:pStyle w:val="38"/>
              <w:rPr>
                <w:highlight w:val="green"/>
              </w:rPr>
            </w:pPr>
            <w:r>
              <w:rPr>
                <w:rFonts w:hint="eastAsia"/>
                <w:highlight w:val="green"/>
              </w:rPr>
              <w:t>远期</w:t>
            </w:r>
          </w:p>
        </w:tc>
        <w:tc>
          <w:tcPr>
            <w:tcW w:w="509" w:type="pct"/>
            <w:noWrap/>
          </w:tcPr>
          <w:p>
            <w:pPr>
              <w:pStyle w:val="38"/>
              <w:rPr>
                <w:highlight w:val="green"/>
              </w:rPr>
            </w:pPr>
            <w:r>
              <w:rPr>
                <w:rFonts w:hint="eastAsia"/>
                <w:highlight w:val="green"/>
              </w:rPr>
              <w:t>近期</w:t>
            </w:r>
          </w:p>
        </w:tc>
        <w:tc>
          <w:tcPr>
            <w:tcW w:w="464" w:type="pct"/>
            <w:noWrap/>
          </w:tcPr>
          <w:p>
            <w:pPr>
              <w:pStyle w:val="38"/>
              <w:rPr>
                <w:highlight w:val="green"/>
              </w:rPr>
            </w:pPr>
            <w:r>
              <w:rPr>
                <w:rFonts w:hint="eastAsia"/>
                <w:highlight w:val="gree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工程渣土</w:t>
            </w:r>
          </w:p>
        </w:tc>
        <w:tc>
          <w:tcPr>
            <w:tcW w:w="469" w:type="pct"/>
            <w:noWrap/>
            <w:vAlign w:val="bottom"/>
          </w:tcPr>
          <w:p>
            <w:pPr>
              <w:pStyle w:val="38"/>
              <w:rPr>
                <w:highlight w:val="green"/>
              </w:rPr>
            </w:pPr>
            <w:r>
              <w:rPr>
                <w:rFonts w:hint="eastAsia"/>
                <w:highlight w:val="green"/>
              </w:rPr>
              <w:t>370</w:t>
            </w:r>
          </w:p>
        </w:tc>
        <w:tc>
          <w:tcPr>
            <w:tcW w:w="468" w:type="pct"/>
            <w:noWrap/>
            <w:vAlign w:val="bottom"/>
          </w:tcPr>
          <w:p>
            <w:pPr>
              <w:pStyle w:val="38"/>
              <w:rPr>
                <w:highlight w:val="green"/>
              </w:rPr>
            </w:pPr>
            <w:r>
              <w:rPr>
                <w:rFonts w:hint="eastAsia"/>
                <w:highlight w:val="green"/>
              </w:rPr>
              <w:t>400</w:t>
            </w:r>
          </w:p>
        </w:tc>
        <w:tc>
          <w:tcPr>
            <w:tcW w:w="484" w:type="pct"/>
            <w:noWrap/>
            <w:vAlign w:val="bottom"/>
          </w:tcPr>
          <w:p>
            <w:pPr>
              <w:pStyle w:val="38"/>
              <w:rPr>
                <w:highlight w:val="green"/>
              </w:rPr>
            </w:pPr>
            <w:r>
              <w:rPr>
                <w:rFonts w:hint="eastAsia"/>
                <w:highlight w:val="green"/>
              </w:rPr>
              <w:t>270.1</w:t>
            </w:r>
          </w:p>
        </w:tc>
        <w:tc>
          <w:tcPr>
            <w:tcW w:w="476" w:type="pct"/>
            <w:noWrap/>
            <w:vAlign w:val="bottom"/>
          </w:tcPr>
          <w:p>
            <w:pPr>
              <w:pStyle w:val="38"/>
              <w:rPr>
                <w:highlight w:val="green"/>
              </w:rPr>
            </w:pPr>
            <w:r>
              <w:rPr>
                <w:rFonts w:hint="eastAsia"/>
                <w:highlight w:val="green"/>
              </w:rPr>
              <w:t>260</w:t>
            </w:r>
          </w:p>
        </w:tc>
        <w:tc>
          <w:tcPr>
            <w:tcW w:w="508" w:type="pct"/>
            <w:noWrap/>
            <w:vAlign w:val="bottom"/>
          </w:tcPr>
          <w:p>
            <w:pPr>
              <w:pStyle w:val="38"/>
              <w:rPr>
                <w:highlight w:val="green"/>
              </w:rPr>
            </w:pPr>
            <w:r>
              <w:rPr>
                <w:rFonts w:hint="eastAsia"/>
                <w:highlight w:val="green"/>
              </w:rPr>
              <w:t>74</w:t>
            </w:r>
          </w:p>
        </w:tc>
        <w:tc>
          <w:tcPr>
            <w:tcW w:w="508" w:type="pct"/>
            <w:noWrap/>
            <w:vAlign w:val="bottom"/>
          </w:tcPr>
          <w:p>
            <w:pPr>
              <w:pStyle w:val="38"/>
              <w:rPr>
                <w:highlight w:val="green"/>
              </w:rPr>
            </w:pPr>
            <w:r>
              <w:rPr>
                <w:rFonts w:hint="eastAsia"/>
                <w:highlight w:val="green"/>
              </w:rPr>
              <w:t>120</w:t>
            </w:r>
          </w:p>
        </w:tc>
        <w:tc>
          <w:tcPr>
            <w:tcW w:w="509" w:type="pct"/>
            <w:noWrap/>
            <w:vAlign w:val="bottom"/>
          </w:tcPr>
          <w:p>
            <w:pPr>
              <w:pStyle w:val="38"/>
              <w:rPr>
                <w:highlight w:val="green"/>
              </w:rPr>
            </w:pPr>
            <w:r>
              <w:rPr>
                <w:rFonts w:hint="eastAsia"/>
                <w:highlight w:val="green"/>
              </w:rPr>
              <w:t>25.9</w:t>
            </w:r>
          </w:p>
        </w:tc>
        <w:tc>
          <w:tcPr>
            <w:tcW w:w="464" w:type="pct"/>
            <w:noWrap/>
            <w:vAlign w:val="bottom"/>
          </w:tcPr>
          <w:p>
            <w:pPr>
              <w:pStyle w:val="38"/>
              <w:rPr>
                <w:highlight w:val="green"/>
              </w:rPr>
            </w:pPr>
            <w:r>
              <w:rPr>
                <w:rFonts w:hint="eastAsia"/>
                <w:highlight w:val="gree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工程泥浆</w:t>
            </w:r>
          </w:p>
        </w:tc>
        <w:tc>
          <w:tcPr>
            <w:tcW w:w="469" w:type="pct"/>
            <w:noWrap/>
            <w:vAlign w:val="bottom"/>
          </w:tcPr>
          <w:p>
            <w:pPr>
              <w:pStyle w:val="38"/>
              <w:rPr>
                <w:highlight w:val="green"/>
              </w:rPr>
            </w:pPr>
            <w:r>
              <w:rPr>
                <w:rFonts w:hint="eastAsia"/>
                <w:highlight w:val="green"/>
              </w:rPr>
              <w:t>18</w:t>
            </w:r>
          </w:p>
        </w:tc>
        <w:tc>
          <w:tcPr>
            <w:tcW w:w="468" w:type="pct"/>
            <w:noWrap/>
            <w:vAlign w:val="bottom"/>
          </w:tcPr>
          <w:p>
            <w:pPr>
              <w:pStyle w:val="38"/>
              <w:rPr>
                <w:highlight w:val="green"/>
              </w:rPr>
            </w:pPr>
            <w:r>
              <w:rPr>
                <w:rFonts w:hint="eastAsia"/>
                <w:highlight w:val="green"/>
              </w:rPr>
              <w:t>20</w:t>
            </w:r>
          </w:p>
        </w:tc>
        <w:tc>
          <w:tcPr>
            <w:tcW w:w="484" w:type="pct"/>
            <w:noWrap/>
            <w:vAlign w:val="bottom"/>
          </w:tcPr>
          <w:p>
            <w:pPr>
              <w:pStyle w:val="38"/>
              <w:rPr>
                <w:highlight w:val="green"/>
              </w:rPr>
            </w:pPr>
            <w:r>
              <w:rPr>
                <w:rFonts w:hint="eastAsia"/>
                <w:highlight w:val="green"/>
              </w:rPr>
              <w:t>13.14</w:t>
            </w:r>
          </w:p>
        </w:tc>
        <w:tc>
          <w:tcPr>
            <w:tcW w:w="476" w:type="pct"/>
            <w:noWrap/>
            <w:vAlign w:val="bottom"/>
          </w:tcPr>
          <w:p>
            <w:pPr>
              <w:pStyle w:val="38"/>
              <w:rPr>
                <w:highlight w:val="green"/>
              </w:rPr>
            </w:pPr>
            <w:r>
              <w:rPr>
                <w:rFonts w:hint="eastAsia"/>
                <w:highlight w:val="green"/>
              </w:rPr>
              <w:t>13</w:t>
            </w:r>
          </w:p>
        </w:tc>
        <w:tc>
          <w:tcPr>
            <w:tcW w:w="508" w:type="pct"/>
            <w:noWrap/>
            <w:vAlign w:val="bottom"/>
          </w:tcPr>
          <w:p>
            <w:pPr>
              <w:pStyle w:val="38"/>
              <w:rPr>
                <w:highlight w:val="green"/>
              </w:rPr>
            </w:pPr>
            <w:r>
              <w:rPr>
                <w:rFonts w:hint="eastAsia"/>
                <w:highlight w:val="green"/>
              </w:rPr>
              <w:t>3.6</w:t>
            </w:r>
          </w:p>
        </w:tc>
        <w:tc>
          <w:tcPr>
            <w:tcW w:w="508" w:type="pct"/>
            <w:noWrap/>
            <w:vAlign w:val="bottom"/>
          </w:tcPr>
          <w:p>
            <w:pPr>
              <w:pStyle w:val="38"/>
              <w:rPr>
                <w:highlight w:val="green"/>
              </w:rPr>
            </w:pPr>
            <w:r>
              <w:rPr>
                <w:rFonts w:hint="eastAsia"/>
                <w:highlight w:val="green"/>
              </w:rPr>
              <w:t>6</w:t>
            </w:r>
          </w:p>
        </w:tc>
        <w:tc>
          <w:tcPr>
            <w:tcW w:w="509" w:type="pct"/>
            <w:noWrap/>
            <w:vAlign w:val="bottom"/>
          </w:tcPr>
          <w:p>
            <w:pPr>
              <w:pStyle w:val="38"/>
              <w:rPr>
                <w:highlight w:val="green"/>
              </w:rPr>
            </w:pPr>
            <w:r>
              <w:rPr>
                <w:rFonts w:hint="eastAsia"/>
                <w:highlight w:val="green"/>
              </w:rPr>
              <w:t>1.26</w:t>
            </w:r>
          </w:p>
        </w:tc>
        <w:tc>
          <w:tcPr>
            <w:tcW w:w="464" w:type="pct"/>
            <w:noWrap/>
            <w:vAlign w:val="bottom"/>
          </w:tcPr>
          <w:p>
            <w:pPr>
              <w:pStyle w:val="38"/>
              <w:rPr>
                <w:highlight w:val="green"/>
              </w:rPr>
            </w:pPr>
            <w:r>
              <w:rPr>
                <w:rFonts w:hint="eastAsia"/>
                <w:highlight w:val="gree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工程垃圾</w:t>
            </w:r>
          </w:p>
        </w:tc>
        <w:tc>
          <w:tcPr>
            <w:tcW w:w="469" w:type="pct"/>
            <w:noWrap/>
            <w:vAlign w:val="bottom"/>
          </w:tcPr>
          <w:p>
            <w:pPr>
              <w:pStyle w:val="38"/>
              <w:rPr>
                <w:highlight w:val="green"/>
              </w:rPr>
            </w:pPr>
            <w:r>
              <w:rPr>
                <w:rFonts w:hint="eastAsia"/>
                <w:highlight w:val="green"/>
              </w:rPr>
              <w:t>9</w:t>
            </w:r>
          </w:p>
        </w:tc>
        <w:tc>
          <w:tcPr>
            <w:tcW w:w="468" w:type="pct"/>
            <w:noWrap/>
            <w:vAlign w:val="bottom"/>
          </w:tcPr>
          <w:p>
            <w:pPr>
              <w:pStyle w:val="38"/>
              <w:rPr>
                <w:highlight w:val="green"/>
              </w:rPr>
            </w:pPr>
            <w:r>
              <w:rPr>
                <w:rFonts w:hint="eastAsia"/>
                <w:highlight w:val="green"/>
              </w:rPr>
              <w:t>10.5</w:t>
            </w:r>
          </w:p>
        </w:tc>
        <w:tc>
          <w:tcPr>
            <w:tcW w:w="484" w:type="pct"/>
            <w:noWrap/>
            <w:vAlign w:val="bottom"/>
          </w:tcPr>
          <w:p>
            <w:pPr>
              <w:pStyle w:val="38"/>
              <w:rPr>
                <w:highlight w:val="green"/>
              </w:rPr>
            </w:pPr>
            <w:r>
              <w:rPr>
                <w:rFonts w:hint="eastAsia"/>
                <w:highlight w:val="green"/>
              </w:rPr>
              <w:t>2.97</w:t>
            </w:r>
          </w:p>
        </w:tc>
        <w:tc>
          <w:tcPr>
            <w:tcW w:w="476" w:type="pct"/>
            <w:noWrap/>
            <w:vAlign w:val="bottom"/>
          </w:tcPr>
          <w:p>
            <w:pPr>
              <w:pStyle w:val="38"/>
              <w:rPr>
                <w:highlight w:val="green"/>
              </w:rPr>
            </w:pPr>
            <w:r>
              <w:rPr>
                <w:rFonts w:hint="eastAsia"/>
                <w:highlight w:val="green"/>
              </w:rPr>
              <w:t>1.57</w:t>
            </w:r>
          </w:p>
        </w:tc>
        <w:tc>
          <w:tcPr>
            <w:tcW w:w="508" w:type="pct"/>
            <w:noWrap/>
            <w:vAlign w:val="bottom"/>
          </w:tcPr>
          <w:p>
            <w:pPr>
              <w:pStyle w:val="38"/>
              <w:rPr>
                <w:highlight w:val="green"/>
              </w:rPr>
            </w:pPr>
            <w:r>
              <w:rPr>
                <w:rFonts w:hint="eastAsia"/>
                <w:highlight w:val="green"/>
              </w:rPr>
              <w:t>5.4</w:t>
            </w:r>
          </w:p>
        </w:tc>
        <w:tc>
          <w:tcPr>
            <w:tcW w:w="508" w:type="pct"/>
            <w:noWrap/>
            <w:vAlign w:val="bottom"/>
          </w:tcPr>
          <w:p>
            <w:pPr>
              <w:pStyle w:val="38"/>
              <w:rPr>
                <w:highlight w:val="green"/>
              </w:rPr>
            </w:pPr>
            <w:r>
              <w:rPr>
                <w:rFonts w:hint="eastAsia"/>
                <w:highlight w:val="green"/>
              </w:rPr>
              <w:t>8.4</w:t>
            </w:r>
          </w:p>
        </w:tc>
        <w:tc>
          <w:tcPr>
            <w:tcW w:w="509" w:type="pct"/>
            <w:noWrap/>
            <w:vAlign w:val="bottom"/>
          </w:tcPr>
          <w:p>
            <w:pPr>
              <w:pStyle w:val="38"/>
              <w:rPr>
                <w:highlight w:val="green"/>
              </w:rPr>
            </w:pPr>
            <w:r>
              <w:rPr>
                <w:rFonts w:hint="eastAsia"/>
                <w:highlight w:val="green"/>
              </w:rPr>
              <w:t>0.63</w:t>
            </w:r>
          </w:p>
        </w:tc>
        <w:tc>
          <w:tcPr>
            <w:tcW w:w="464" w:type="pct"/>
            <w:noWrap/>
            <w:vAlign w:val="bottom"/>
          </w:tcPr>
          <w:p>
            <w:pPr>
              <w:pStyle w:val="38"/>
              <w:rPr>
                <w:highlight w:val="green"/>
              </w:rPr>
            </w:pPr>
            <w:r>
              <w:rPr>
                <w:rFonts w:hint="eastAsia"/>
                <w:highlight w:val="gree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拆除垃圾</w:t>
            </w:r>
          </w:p>
        </w:tc>
        <w:tc>
          <w:tcPr>
            <w:tcW w:w="469" w:type="pct"/>
            <w:noWrap/>
            <w:vAlign w:val="bottom"/>
          </w:tcPr>
          <w:p>
            <w:pPr>
              <w:pStyle w:val="38"/>
              <w:rPr>
                <w:highlight w:val="green"/>
              </w:rPr>
            </w:pPr>
            <w:r>
              <w:rPr>
                <w:rFonts w:hint="eastAsia"/>
                <w:highlight w:val="green"/>
              </w:rPr>
              <w:t>31.5</w:t>
            </w:r>
          </w:p>
        </w:tc>
        <w:tc>
          <w:tcPr>
            <w:tcW w:w="468" w:type="pct"/>
            <w:noWrap/>
            <w:vAlign w:val="bottom"/>
          </w:tcPr>
          <w:p>
            <w:pPr>
              <w:pStyle w:val="38"/>
              <w:rPr>
                <w:highlight w:val="green"/>
              </w:rPr>
            </w:pPr>
            <w:r>
              <w:rPr>
                <w:rFonts w:hint="eastAsia"/>
                <w:highlight w:val="green"/>
              </w:rPr>
              <w:t>27</w:t>
            </w:r>
          </w:p>
        </w:tc>
        <w:tc>
          <w:tcPr>
            <w:tcW w:w="484" w:type="pct"/>
            <w:noWrap/>
            <w:vAlign w:val="bottom"/>
          </w:tcPr>
          <w:p>
            <w:pPr>
              <w:pStyle w:val="38"/>
              <w:rPr>
                <w:highlight w:val="green"/>
              </w:rPr>
            </w:pPr>
            <w:r>
              <w:rPr>
                <w:rFonts w:hint="eastAsia"/>
                <w:highlight w:val="green"/>
              </w:rPr>
              <w:t>10.40</w:t>
            </w:r>
          </w:p>
        </w:tc>
        <w:tc>
          <w:tcPr>
            <w:tcW w:w="476" w:type="pct"/>
            <w:noWrap/>
            <w:vAlign w:val="bottom"/>
          </w:tcPr>
          <w:p>
            <w:pPr>
              <w:pStyle w:val="38"/>
              <w:rPr>
                <w:highlight w:val="green"/>
              </w:rPr>
            </w:pPr>
            <w:r>
              <w:rPr>
                <w:rFonts w:hint="eastAsia"/>
                <w:highlight w:val="green"/>
              </w:rPr>
              <w:t>4.05</w:t>
            </w:r>
          </w:p>
        </w:tc>
        <w:tc>
          <w:tcPr>
            <w:tcW w:w="508" w:type="pct"/>
            <w:noWrap/>
            <w:vAlign w:val="bottom"/>
          </w:tcPr>
          <w:p>
            <w:pPr>
              <w:pStyle w:val="38"/>
              <w:rPr>
                <w:highlight w:val="green"/>
              </w:rPr>
            </w:pPr>
            <w:r>
              <w:rPr>
                <w:rFonts w:hint="eastAsia"/>
                <w:highlight w:val="green"/>
              </w:rPr>
              <w:t>18.9</w:t>
            </w:r>
          </w:p>
        </w:tc>
        <w:tc>
          <w:tcPr>
            <w:tcW w:w="508" w:type="pct"/>
            <w:noWrap/>
            <w:vAlign w:val="bottom"/>
          </w:tcPr>
          <w:p>
            <w:pPr>
              <w:pStyle w:val="38"/>
              <w:rPr>
                <w:highlight w:val="green"/>
              </w:rPr>
            </w:pPr>
            <w:r>
              <w:rPr>
                <w:rFonts w:hint="eastAsia"/>
                <w:highlight w:val="green"/>
              </w:rPr>
              <w:t>21.6</w:t>
            </w:r>
          </w:p>
        </w:tc>
        <w:tc>
          <w:tcPr>
            <w:tcW w:w="509" w:type="pct"/>
            <w:noWrap/>
            <w:vAlign w:val="bottom"/>
          </w:tcPr>
          <w:p>
            <w:pPr>
              <w:pStyle w:val="38"/>
              <w:rPr>
                <w:highlight w:val="green"/>
              </w:rPr>
            </w:pPr>
            <w:r>
              <w:rPr>
                <w:rFonts w:hint="eastAsia"/>
                <w:highlight w:val="green"/>
              </w:rPr>
              <w:t>2.20</w:t>
            </w:r>
          </w:p>
        </w:tc>
        <w:tc>
          <w:tcPr>
            <w:tcW w:w="464" w:type="pct"/>
            <w:noWrap/>
            <w:vAlign w:val="bottom"/>
          </w:tcPr>
          <w:p>
            <w:pPr>
              <w:pStyle w:val="38"/>
              <w:rPr>
                <w:highlight w:val="green"/>
              </w:rPr>
            </w:pPr>
            <w:r>
              <w:rPr>
                <w:rFonts w:hint="eastAsia"/>
                <w:highlight w:val="gree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装修垃圾</w:t>
            </w:r>
          </w:p>
        </w:tc>
        <w:tc>
          <w:tcPr>
            <w:tcW w:w="469" w:type="pct"/>
            <w:noWrap/>
            <w:vAlign w:val="bottom"/>
          </w:tcPr>
          <w:p>
            <w:pPr>
              <w:pStyle w:val="38"/>
              <w:rPr>
                <w:highlight w:val="green"/>
              </w:rPr>
            </w:pPr>
            <w:r>
              <w:rPr>
                <w:rFonts w:hint="eastAsia"/>
                <w:highlight w:val="green"/>
              </w:rPr>
              <w:t>24.3</w:t>
            </w:r>
          </w:p>
        </w:tc>
        <w:tc>
          <w:tcPr>
            <w:tcW w:w="468" w:type="pct"/>
            <w:noWrap/>
            <w:vAlign w:val="bottom"/>
          </w:tcPr>
          <w:p>
            <w:pPr>
              <w:pStyle w:val="38"/>
              <w:rPr>
                <w:highlight w:val="green"/>
              </w:rPr>
            </w:pPr>
            <w:r>
              <w:rPr>
                <w:rFonts w:hint="eastAsia"/>
                <w:highlight w:val="green"/>
              </w:rPr>
              <w:t>25.8</w:t>
            </w:r>
          </w:p>
        </w:tc>
        <w:tc>
          <w:tcPr>
            <w:tcW w:w="484" w:type="pct"/>
            <w:noWrap/>
            <w:vAlign w:val="bottom"/>
          </w:tcPr>
          <w:p>
            <w:pPr>
              <w:pStyle w:val="38"/>
              <w:rPr>
                <w:highlight w:val="green"/>
              </w:rPr>
            </w:pPr>
            <w:r>
              <w:rPr>
                <w:rFonts w:hint="eastAsia"/>
                <w:highlight w:val="green"/>
              </w:rPr>
              <w:t>8.02</w:t>
            </w:r>
          </w:p>
        </w:tc>
        <w:tc>
          <w:tcPr>
            <w:tcW w:w="476" w:type="pct"/>
            <w:noWrap/>
            <w:vAlign w:val="bottom"/>
          </w:tcPr>
          <w:p>
            <w:pPr>
              <w:pStyle w:val="38"/>
              <w:rPr>
                <w:highlight w:val="green"/>
              </w:rPr>
            </w:pPr>
            <w:r>
              <w:rPr>
                <w:rFonts w:hint="eastAsia"/>
                <w:highlight w:val="green"/>
              </w:rPr>
              <w:t>3.87</w:t>
            </w:r>
          </w:p>
        </w:tc>
        <w:tc>
          <w:tcPr>
            <w:tcW w:w="508" w:type="pct"/>
            <w:noWrap/>
            <w:vAlign w:val="bottom"/>
          </w:tcPr>
          <w:p>
            <w:pPr>
              <w:pStyle w:val="38"/>
              <w:rPr>
                <w:highlight w:val="green"/>
              </w:rPr>
            </w:pPr>
            <w:r>
              <w:rPr>
                <w:rFonts w:hint="eastAsia"/>
                <w:highlight w:val="green"/>
              </w:rPr>
              <w:t>14.58</w:t>
            </w:r>
          </w:p>
        </w:tc>
        <w:tc>
          <w:tcPr>
            <w:tcW w:w="508" w:type="pct"/>
            <w:noWrap/>
            <w:vAlign w:val="bottom"/>
          </w:tcPr>
          <w:p>
            <w:pPr>
              <w:pStyle w:val="38"/>
              <w:rPr>
                <w:highlight w:val="green"/>
              </w:rPr>
            </w:pPr>
            <w:r>
              <w:rPr>
                <w:rFonts w:hint="eastAsia"/>
                <w:highlight w:val="green"/>
              </w:rPr>
              <w:t>20.64</w:t>
            </w:r>
          </w:p>
        </w:tc>
        <w:tc>
          <w:tcPr>
            <w:tcW w:w="509" w:type="pct"/>
            <w:noWrap/>
            <w:vAlign w:val="bottom"/>
          </w:tcPr>
          <w:p>
            <w:pPr>
              <w:pStyle w:val="38"/>
              <w:rPr>
                <w:highlight w:val="green"/>
              </w:rPr>
            </w:pPr>
            <w:r>
              <w:rPr>
                <w:rFonts w:hint="eastAsia"/>
                <w:highlight w:val="green"/>
              </w:rPr>
              <w:t>1.70</w:t>
            </w:r>
          </w:p>
        </w:tc>
        <w:tc>
          <w:tcPr>
            <w:tcW w:w="464" w:type="pct"/>
            <w:noWrap/>
            <w:vAlign w:val="bottom"/>
          </w:tcPr>
          <w:p>
            <w:pPr>
              <w:pStyle w:val="38"/>
              <w:rPr>
                <w:highlight w:val="green"/>
              </w:rPr>
            </w:pPr>
            <w:r>
              <w:rPr>
                <w:rFonts w:hint="eastAsia"/>
                <w:highlight w:val="green"/>
              </w:rPr>
              <w:t>1.29</w:t>
            </w:r>
          </w:p>
        </w:tc>
      </w:tr>
    </w:tbl>
    <w:p>
      <w:pPr>
        <w:ind w:firstLine="640"/>
      </w:pPr>
    </w:p>
    <w:p>
      <w:pPr>
        <w:pStyle w:val="2"/>
      </w:pPr>
      <w:bookmarkStart w:id="183" w:name="_Toc168062397"/>
      <w:bookmarkStart w:id="184" w:name="_Toc167461383"/>
      <w:r>
        <w:rPr>
          <w:rFonts w:hint="eastAsia"/>
        </w:rPr>
        <w:t>建筑垃圾源头减量规划</w:t>
      </w:r>
      <w:bookmarkEnd w:id="183"/>
      <w:bookmarkEnd w:id="184"/>
    </w:p>
    <w:p>
      <w:pPr>
        <w:pStyle w:val="3"/>
      </w:pPr>
      <w:bookmarkStart w:id="185" w:name="_Toc167461384"/>
      <w:bookmarkStart w:id="186" w:name="_Toc168062398"/>
      <w:r>
        <w:rPr>
          <w:rFonts w:hint="eastAsia"/>
        </w:rPr>
        <w:t>建筑垃圾源头减量目标</w:t>
      </w:r>
      <w:bookmarkEnd w:id="185"/>
      <w:bookmarkEnd w:id="186"/>
    </w:p>
    <w:p>
      <w:pPr>
        <w:ind w:firstLine="640"/>
      </w:pPr>
      <w:bookmarkStart w:id="187" w:name="_Hlk168062703"/>
      <w:r>
        <w:rPr>
          <w:rFonts w:hint="eastAsia"/>
        </w:rPr>
        <w:t>根据《建筑垃圾污染环境防治工作规划编制导则》等要求，结合临海市现状实际情况，</w:t>
      </w:r>
      <w:r>
        <w:rPr>
          <w:rFonts w:hint="eastAsia"/>
          <w:highlight w:val="green"/>
        </w:rPr>
        <w:t>近期新开工装配式建筑面积占新建建筑比例不低于55%，远期不低于60%</w:t>
      </w:r>
      <w:r>
        <w:rPr>
          <w:rFonts w:hint="eastAsia"/>
        </w:rPr>
        <w:t>；近期新建建筑施工现场建筑垃圾排放量（不包括工程渣土、工程泥浆）不高于300吨</w:t>
      </w:r>
      <w:r>
        <w:t>/</w:t>
      </w:r>
      <w:r>
        <w:rPr>
          <w:rFonts w:hint="eastAsia"/>
        </w:rPr>
        <w:t>万平方米，装配式建筑施工现场建筑垃圾排放量（不包括工程渣土、工程泥浆）不高于200吨</w:t>
      </w:r>
      <w:r>
        <w:t>/</w:t>
      </w:r>
      <w:r>
        <w:rPr>
          <w:rFonts w:hint="eastAsia"/>
        </w:rPr>
        <w:t>万平方米。</w:t>
      </w:r>
      <w:bookmarkEnd w:id="187"/>
    </w:p>
    <w:p>
      <w:pPr>
        <w:pStyle w:val="3"/>
      </w:pPr>
      <w:bookmarkStart w:id="188" w:name="_Toc168062399"/>
      <w:bookmarkStart w:id="189" w:name="_Toc167461385"/>
      <w:r>
        <w:rPr>
          <w:rFonts w:hint="eastAsia"/>
        </w:rPr>
        <w:t>建筑垃圾源头减量措施</w:t>
      </w:r>
      <w:bookmarkEnd w:id="188"/>
      <w:bookmarkEnd w:id="189"/>
    </w:p>
    <w:p>
      <w:pPr>
        <w:pStyle w:val="30"/>
      </w:pPr>
      <w:r>
        <w:rPr>
          <w:rFonts w:hint="eastAsia"/>
        </w:rPr>
        <w:t>完善建筑垃圾源头分类</w:t>
      </w:r>
    </w:p>
    <w:p>
      <w:pPr>
        <w:ind w:firstLine="640"/>
      </w:pPr>
      <w:r>
        <w:rPr>
          <w:rFonts w:hint="eastAsia"/>
        </w:rPr>
        <w:t>规划在建筑垃圾管理中，将工程垃圾、工程渣土、工程泥浆、拆除垃圾和装修垃圾分开：</w:t>
      </w:r>
    </w:p>
    <w:p>
      <w:pPr>
        <w:ind w:firstLine="640"/>
      </w:pPr>
      <w:r>
        <w:rPr>
          <w:rFonts w:hint="eastAsia"/>
        </w:rPr>
        <w:t>（1）工程垃圾、工程渣土、工程泥浆主要用于工程回填、绿化用途、低洼地改造等；</w:t>
      </w:r>
    </w:p>
    <w:p>
      <w:pPr>
        <w:ind w:firstLine="640"/>
      </w:pPr>
      <w:r>
        <w:rPr>
          <w:rFonts w:hint="eastAsia"/>
        </w:rPr>
        <w:t>（2）拆除垃圾经分拣后，部分用于资源化利用，部分用于场地平整或运至固定场地堆存；</w:t>
      </w:r>
    </w:p>
    <w:p>
      <w:pPr>
        <w:ind w:firstLine="640"/>
      </w:pPr>
      <w:r>
        <w:rPr>
          <w:rFonts w:hint="eastAsia"/>
        </w:rPr>
        <w:t>（3）装修垃圾成分复杂，进入居民装饰装修垃圾转运站经二次分类分拣后，金属、木材等可回收物进行市场化回收，轻质可燃物运往生活垃圾焚烧发电厂进行焚烧处理，混凝土、砖瓦等用于资源化利用，无法综合利用部分进行填埋消纳。</w:t>
      </w:r>
    </w:p>
    <w:p>
      <w:pPr>
        <w:pStyle w:val="36"/>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w:t>
      </w:r>
      <w:r>
        <w:fldChar w:fldCharType="end"/>
      </w:r>
      <w:r>
        <w:t xml:space="preserve"> </w:t>
      </w:r>
      <w:r>
        <w:rPr>
          <w:rFonts w:hint="eastAsia"/>
        </w:rPr>
        <w:t>建筑垃圾分类表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985"/>
        <w:gridCol w:w="5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29" w:type="dxa"/>
            <w:vAlign w:val="center"/>
          </w:tcPr>
          <w:p>
            <w:pPr>
              <w:pStyle w:val="38"/>
            </w:pPr>
            <w:r>
              <w:t>序号</w:t>
            </w:r>
          </w:p>
        </w:tc>
        <w:tc>
          <w:tcPr>
            <w:tcW w:w="1985" w:type="dxa"/>
            <w:vAlign w:val="center"/>
          </w:tcPr>
          <w:p>
            <w:pPr>
              <w:pStyle w:val="38"/>
            </w:pPr>
            <w:r>
              <w:t>垃圾类别</w:t>
            </w:r>
          </w:p>
        </w:tc>
        <w:tc>
          <w:tcPr>
            <w:tcW w:w="5946" w:type="dxa"/>
            <w:vAlign w:val="center"/>
          </w:tcPr>
          <w:p>
            <w:pPr>
              <w:pStyle w:val="38"/>
            </w:pPr>
            <w:r>
              <w:t>垃圾内容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8"/>
            </w:pPr>
            <w:r>
              <w:rPr>
                <w:rFonts w:hint="eastAsia"/>
              </w:rPr>
              <w:t>1</w:t>
            </w:r>
          </w:p>
        </w:tc>
        <w:tc>
          <w:tcPr>
            <w:tcW w:w="1985" w:type="dxa"/>
            <w:vAlign w:val="center"/>
          </w:tcPr>
          <w:p>
            <w:pPr>
              <w:pStyle w:val="38"/>
            </w:pPr>
            <w:r>
              <w:rPr>
                <w:rFonts w:hint="eastAsia"/>
              </w:rPr>
              <w:t>工程渣土</w:t>
            </w:r>
          </w:p>
        </w:tc>
        <w:tc>
          <w:tcPr>
            <w:tcW w:w="5946" w:type="dxa"/>
            <w:vAlign w:val="center"/>
          </w:tcPr>
          <w:p>
            <w:pPr>
              <w:pStyle w:val="38"/>
              <w:jc w:val="both"/>
            </w:pPr>
            <w:r>
              <w:rPr>
                <w:rFonts w:hint="eastAsia"/>
              </w:rPr>
              <w:t>各类建（构）筑物、管网、道桥等在建设过程中开挖土石方产生的弃土。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8"/>
            </w:pPr>
            <w:r>
              <w:rPr>
                <w:rFonts w:hint="eastAsia"/>
              </w:rPr>
              <w:t>2</w:t>
            </w:r>
          </w:p>
        </w:tc>
        <w:tc>
          <w:tcPr>
            <w:tcW w:w="1985" w:type="dxa"/>
            <w:vAlign w:val="center"/>
          </w:tcPr>
          <w:p>
            <w:pPr>
              <w:pStyle w:val="38"/>
            </w:pPr>
            <w:r>
              <w:rPr>
                <w:rFonts w:hint="eastAsia"/>
              </w:rPr>
              <w:t>废弃泥浆</w:t>
            </w:r>
          </w:p>
        </w:tc>
        <w:tc>
          <w:tcPr>
            <w:tcW w:w="5946" w:type="dxa"/>
            <w:vAlign w:val="center"/>
          </w:tcPr>
          <w:p>
            <w:pPr>
              <w:pStyle w:val="38"/>
              <w:jc w:val="both"/>
            </w:pPr>
            <w:r>
              <w:rPr>
                <w:rFonts w:hint="eastAsia"/>
              </w:rPr>
              <w:t>各类建（构）筑物桩基础、基坑围护结构以及泥水盾构、管网暗挖等施工产生的废置和剩余泥浆。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8"/>
            </w:pPr>
            <w:r>
              <w:rPr>
                <w:rFonts w:hint="eastAsia"/>
              </w:rPr>
              <w:t>3</w:t>
            </w:r>
          </w:p>
        </w:tc>
        <w:tc>
          <w:tcPr>
            <w:tcW w:w="1985" w:type="dxa"/>
            <w:vAlign w:val="center"/>
          </w:tcPr>
          <w:p>
            <w:pPr>
              <w:pStyle w:val="38"/>
            </w:pPr>
            <w:r>
              <w:rPr>
                <w:rFonts w:hint="eastAsia"/>
              </w:rPr>
              <w:t>工程垃圾</w:t>
            </w:r>
          </w:p>
        </w:tc>
        <w:tc>
          <w:tcPr>
            <w:tcW w:w="5946" w:type="dxa"/>
            <w:vAlign w:val="center"/>
          </w:tcPr>
          <w:p>
            <w:pPr>
              <w:pStyle w:val="38"/>
              <w:jc w:val="both"/>
            </w:pPr>
            <w:r>
              <w:rPr>
                <w:rFonts w:hint="eastAsia"/>
              </w:rPr>
              <w:t>各类建（构）筑物、管网、道桥等在新建、改（扩）建过程中产生的混凝土、沥青混合料、砂浆、模板等弃料。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8"/>
            </w:pPr>
            <w:r>
              <w:rPr>
                <w:rFonts w:hint="eastAsia"/>
              </w:rPr>
              <w:t>4</w:t>
            </w:r>
          </w:p>
        </w:tc>
        <w:tc>
          <w:tcPr>
            <w:tcW w:w="1985" w:type="dxa"/>
            <w:vAlign w:val="center"/>
          </w:tcPr>
          <w:p>
            <w:pPr>
              <w:pStyle w:val="38"/>
            </w:pPr>
            <w:r>
              <w:rPr>
                <w:rFonts w:hint="eastAsia"/>
              </w:rPr>
              <w:t>拆除垃圾</w:t>
            </w:r>
          </w:p>
        </w:tc>
        <w:tc>
          <w:tcPr>
            <w:tcW w:w="5946" w:type="dxa"/>
            <w:vAlign w:val="center"/>
          </w:tcPr>
          <w:p>
            <w:pPr>
              <w:pStyle w:val="38"/>
              <w:jc w:val="both"/>
            </w:pPr>
            <w:r>
              <w:rPr>
                <w:rFonts w:hint="eastAsia"/>
              </w:rPr>
              <w:t>各类建（构）筑物、管网、道桥等在拆除过程中产生的混凝土、砂浆、砖瓦、陶瓷、石材、金属、木材等废弃物。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8"/>
            </w:pPr>
            <w:r>
              <w:rPr>
                <w:rFonts w:hint="eastAsia"/>
              </w:rPr>
              <w:t>5</w:t>
            </w:r>
          </w:p>
        </w:tc>
        <w:tc>
          <w:tcPr>
            <w:tcW w:w="1985" w:type="dxa"/>
            <w:vAlign w:val="center"/>
          </w:tcPr>
          <w:p>
            <w:pPr>
              <w:pStyle w:val="38"/>
            </w:pPr>
            <w:r>
              <w:rPr>
                <w:rFonts w:hint="eastAsia"/>
              </w:rPr>
              <w:t>装修垃圾</w:t>
            </w:r>
          </w:p>
        </w:tc>
        <w:tc>
          <w:tcPr>
            <w:tcW w:w="5946" w:type="dxa"/>
            <w:vAlign w:val="center"/>
          </w:tcPr>
          <w:p>
            <w:pPr>
              <w:pStyle w:val="38"/>
              <w:jc w:val="both"/>
            </w:pPr>
            <w:r>
              <w:rPr>
                <w:rFonts w:hint="eastAsia"/>
              </w:rPr>
              <w:t>房屋装饰装修过程中产生的混凝土、砂浆、砖瓦、陶瓷、石材、石膏、加气混凝土砌块、金属、木材、玻璃、塑料等废弃物。</w:t>
            </w:r>
          </w:p>
        </w:tc>
      </w:tr>
    </w:tbl>
    <w:p>
      <w:pPr>
        <w:pStyle w:val="30"/>
      </w:pPr>
      <w:r>
        <w:rPr>
          <w:rFonts w:hint="eastAsia"/>
        </w:rPr>
        <w:t>减少建筑垃圾源头产量</w:t>
      </w:r>
    </w:p>
    <w:p>
      <w:pPr>
        <w:pStyle w:val="5"/>
      </w:pPr>
      <w:r>
        <w:rPr>
          <w:rFonts w:hint="eastAsia"/>
        </w:rPr>
        <w:t>设计阶段减量化排放</w:t>
      </w:r>
    </w:p>
    <w:p>
      <w:pPr>
        <w:ind w:firstLine="640"/>
      </w:pPr>
      <w:r>
        <w:rPr>
          <w:rFonts w:hint="eastAsia"/>
        </w:rPr>
        <w:t>（1）优先使用绿色建材。绿色建材也称为环保建材，是指在生产过程中使用了清洁生产技术，其主要原材料是工业和城市固体废弃物，使用的天然原材料则相对较少。规划在建筑设计时的建材选用标准当中，优先选用绿色建材，既符合对建筑垃圾源头减量化排放的要求，又是发展生态型建筑业生产的必要条件。</w:t>
      </w:r>
    </w:p>
    <w:p>
      <w:pPr>
        <w:ind w:firstLine="640"/>
      </w:pPr>
      <w:r>
        <w:rPr>
          <w:rFonts w:hint="eastAsia"/>
        </w:rPr>
        <w:t>（2）推广装配式建筑。装配式结构有利于节约建材原材料、减小建材的损耗、避免各种建材构件因尺寸不合而二次加工、切割等产生废料，减少了施工阶段的建筑垃圾量。规划推行工程总承包和全过程工程咨询模式，构建建筑垃圾减排体系，从源头上着力减少建筑垃圾的排放。</w:t>
      </w:r>
    </w:p>
    <w:p>
      <w:pPr>
        <w:ind w:firstLine="640"/>
      </w:pPr>
      <w:r>
        <w:rPr>
          <w:rFonts w:hint="eastAsia"/>
        </w:rPr>
        <w:t>（3）优化建筑设计。工程设计单位应按照相关规范，优化设计标高，推广BIM设计。在减少建筑垃圾方面，建筑设计方案中要考虑的问题有：建筑物应有较长的使用寿命；采用可以少产生建筑垃圾的结构设计；选用少产生建筑垃圾的建材和再生建材；应考虑到建筑物将来维修和改造时便于进行，且建筑垃圾较少；应考虑建筑物在将来拆除时建筑材料和构件的再生问题。</w:t>
      </w:r>
    </w:p>
    <w:p>
      <w:pPr>
        <w:pStyle w:val="5"/>
      </w:pPr>
      <w:r>
        <w:rPr>
          <w:rFonts w:hint="eastAsia"/>
        </w:rPr>
        <w:t>施工及装修阶段减量化排放</w:t>
      </w:r>
    </w:p>
    <w:p>
      <w:pPr>
        <w:ind w:firstLine="643"/>
        <w:rPr>
          <w:b/>
          <w:bCs/>
        </w:rPr>
      </w:pPr>
      <w:r>
        <w:rPr>
          <w:b/>
          <w:bCs/>
        </w:rPr>
        <w:t>1</w:t>
      </w:r>
      <w:r>
        <w:rPr>
          <w:rFonts w:hint="eastAsia"/>
          <w:b/>
          <w:bCs/>
        </w:rPr>
        <w:t>、技术管理上减少建筑垃圾</w:t>
      </w:r>
    </w:p>
    <w:p>
      <w:pPr>
        <w:ind w:firstLine="640"/>
      </w:pPr>
      <w:r>
        <w:rPr>
          <w:rFonts w:hint="eastAsia"/>
        </w:rPr>
        <w:t>在施工组织设计的编制中体现建筑垃圾减量化的思想。在施工组织设计的编制内容中，应当体现合理的施工进度安排、先进的施工方案和现场建筑垃圾处置计划及处置设备。合理的施工进度安排和科学的施工方案都能使现场的施工过程有条不紊，从而减少建筑材料的损耗，达到减少建筑垃圾的目的。施工方案和现场建筑垃圾处置计划同时编制，在施工方案中充分考虑建筑垃圾的产生情况，因地制宜，利用建筑垃圾处置计划，尽量减少建筑垃圾的外运，达到建筑垃圾在施工现场的闭路循环。</w:t>
      </w:r>
    </w:p>
    <w:p>
      <w:pPr>
        <w:ind w:firstLine="643"/>
        <w:rPr>
          <w:b/>
          <w:bCs/>
        </w:rPr>
      </w:pPr>
      <w:r>
        <w:rPr>
          <w:b/>
          <w:bCs/>
        </w:rPr>
        <w:t>2</w:t>
      </w:r>
      <w:r>
        <w:rPr>
          <w:rFonts w:hint="eastAsia"/>
          <w:b/>
          <w:bCs/>
        </w:rPr>
        <w:t>、加强图纸会审和技术交底工作</w:t>
      </w:r>
    </w:p>
    <w:p>
      <w:pPr>
        <w:ind w:firstLine="640"/>
      </w:pPr>
      <w:r>
        <w:rPr>
          <w:rFonts w:hint="eastAsia"/>
        </w:rPr>
        <w:t>在建筑生产施工活动中，经常出现设计和现场实际产生冲突的情形，从而产生了不必要的建筑垃圾。施工企业的相关技术人员应该加强对图纸的会审工作，就一些可能大量产生建筑垃圾的部位对设计单位提出意见，以此减少建筑垃圾的产量。</w:t>
      </w:r>
    </w:p>
    <w:p>
      <w:pPr>
        <w:ind w:firstLine="643"/>
        <w:rPr>
          <w:b/>
          <w:bCs/>
        </w:rPr>
      </w:pPr>
      <w:r>
        <w:rPr>
          <w:b/>
          <w:bCs/>
        </w:rPr>
        <w:t>3</w:t>
      </w:r>
      <w:r>
        <w:rPr>
          <w:rFonts w:hint="eastAsia"/>
          <w:b/>
          <w:bCs/>
        </w:rPr>
        <w:t>、改善施工工艺和提高施工水平</w:t>
      </w:r>
    </w:p>
    <w:p>
      <w:pPr>
        <w:ind w:firstLine="640"/>
      </w:pPr>
      <w:r>
        <w:rPr>
          <w:rFonts w:hint="eastAsia"/>
        </w:rPr>
        <w:t>施工水平的提高和施工工艺的改善都能促进建筑垃圾在施工装修阶段的减量化。比如用钢模代替木模，用装配式代替现场制作，用预拌砂浆代替现场搅拌等。</w:t>
      </w:r>
    </w:p>
    <w:p>
      <w:pPr>
        <w:pStyle w:val="30"/>
      </w:pPr>
      <w:r>
        <w:rPr>
          <w:rFonts w:hint="eastAsia"/>
        </w:rPr>
        <w:t>强化职能部门源头监管</w:t>
      </w:r>
    </w:p>
    <w:p>
      <w:pPr>
        <w:ind w:firstLine="640"/>
      </w:pPr>
      <w:r>
        <w:rPr>
          <w:rFonts w:hint="eastAsia"/>
        </w:rPr>
        <w:t>（1）摸清底数。市建设局、市交通运输局等部门对房屋市政、交通、水利、农村基础设施建设（以下简称各类工程）等工程进行全面摸排，做到项目数量清、项目位置清、建筑垃圾产量清、责任主体清。（责任单位：市建设局、市交通运输局、市水利局、市农业农村局、市综合执法局、市港航口岸和渔业局）</w:t>
      </w:r>
    </w:p>
    <w:p>
      <w:pPr>
        <w:ind w:firstLine="640"/>
      </w:pPr>
      <w:r>
        <w:rPr>
          <w:rFonts w:hint="eastAsia"/>
        </w:rPr>
        <w:t>（2）落实责任。市建设局、市交通运输局等部门督促本辖区本行业各类工程建设单位、设计单位、施工单位、监理单位将建筑垃圾处置纳入设计方案、施工合同、监理合同并做好全程监管，对依法需要招投标处置的建筑垃圾依法规范招投标并加强监管。（责任单位：市建设局、市交通运输局、市水利局、市农业农村局、市综合执法局）</w:t>
      </w:r>
    </w:p>
    <w:p>
      <w:pPr>
        <w:ind w:firstLine="640"/>
      </w:pPr>
      <w:r>
        <w:rPr>
          <w:rFonts w:hint="eastAsia"/>
        </w:rPr>
        <w:t>（3）强化监管。市建设局、市交通运输局等部门督促系统内各类工程施工单位依法编制建筑垃圾处理方案，并在开工前报市综合执法局备案；对需要转移出临海市处置的建筑渣土项目，按规定报市综合执法局同意，并录入省建筑垃圾综合监管服务系统。（责任单位：市建设局、市交通运输局、市水利局、市农业农村局、市综合执法局）</w:t>
      </w:r>
    </w:p>
    <w:p>
      <w:pPr>
        <w:ind w:firstLine="640"/>
      </w:pPr>
      <w:r>
        <w:rPr>
          <w:rFonts w:hint="eastAsia"/>
        </w:rPr>
        <w:t>（4）严格管理。各镇（街道）、市建设局等单位督促各类工程施工单位将建筑垃圾处理方案相关内容在施工现场进行公示，并落实施工现场建筑渣土运输车辆称重、号牌识别、出门清洗等装置和措施。加强对擅自处置建筑渣土的项目进行查处和打击。（责任单位：各镇（街道）、市建设局、市交通运输局、市水利局、市农业农村局、市综合执法局）</w:t>
      </w:r>
    </w:p>
    <w:p>
      <w:pPr>
        <w:pStyle w:val="3"/>
      </w:pPr>
      <w:bookmarkStart w:id="190" w:name="_Toc167461386"/>
      <w:bookmarkStart w:id="191" w:name="_Toc168062400"/>
      <w:r>
        <w:rPr>
          <w:rFonts w:hint="eastAsia"/>
        </w:rPr>
        <w:t>建筑垃圾源头污染防治要求</w:t>
      </w:r>
      <w:bookmarkEnd w:id="190"/>
      <w:bookmarkEnd w:id="191"/>
    </w:p>
    <w:p>
      <w:pPr>
        <w:ind w:firstLine="640"/>
      </w:pPr>
      <w:r>
        <w:rPr>
          <w:rFonts w:hint="eastAsia"/>
        </w:rPr>
        <w:t>（1）施工工地实行围挡封闭，主要路段、一般路段的施工工地围挡高度应符合相关规定，围挡内侧应设置环形贯通排水沟，确保泥浆、污水不外溢出围挡。</w:t>
      </w:r>
    </w:p>
    <w:p>
      <w:pPr>
        <w:ind w:firstLine="640"/>
      </w:pPr>
      <w:r>
        <w:rPr>
          <w:rFonts w:hint="eastAsia"/>
        </w:rPr>
        <w:t>（2）施工现场周围应当设置连续、密闭的围挡，施工现场围挡率100%。各类脚手架或外露性临边防护构架的外立面，应使用安全网封闭围护或包裹，并应严密、牢固、平整、美观，其封闭高度应符合相关规定。</w:t>
      </w:r>
    </w:p>
    <w:p>
      <w:pPr>
        <w:ind w:firstLine="640"/>
      </w:pPr>
      <w:r>
        <w:rPr>
          <w:rFonts w:hint="eastAsia"/>
        </w:rPr>
        <w:t>（3）施工工地应配备相应的洒水设备，及时洒水，应按规定及时清运建筑垃圾，减少粉尘对空气的污染。</w:t>
      </w:r>
    </w:p>
    <w:p>
      <w:pPr>
        <w:ind w:firstLine="640"/>
      </w:pPr>
      <w:r>
        <w:rPr>
          <w:rFonts w:hint="eastAsia"/>
        </w:rPr>
        <w:t>（4）四级风以上天气不得进行土方回填、转运及其他可能产生扬尘污染的施工，雷雨天气，应及时进行覆盖、做好排水措施。</w:t>
      </w:r>
    </w:p>
    <w:p>
      <w:pPr>
        <w:ind w:firstLine="640"/>
      </w:pPr>
      <w:r>
        <w:rPr>
          <w:rFonts w:hint="eastAsia"/>
        </w:rPr>
        <w:t>（5）在施工工地车辆出入口应设置车辆冲洗设施并对进出车辆进行冲洗，防止车轮等部位将泥沙带出施工工地造成扬尘污染。</w:t>
      </w:r>
    </w:p>
    <w:p>
      <w:pPr>
        <w:pStyle w:val="2"/>
      </w:pPr>
      <w:bookmarkStart w:id="192" w:name="_Toc168062401"/>
      <w:bookmarkStart w:id="193" w:name="_Toc167461387"/>
      <w:r>
        <w:rPr>
          <w:rFonts w:hint="eastAsia"/>
        </w:rPr>
        <w:t>建筑垃圾收集运输规划</w:t>
      </w:r>
      <w:bookmarkEnd w:id="192"/>
      <w:bookmarkEnd w:id="193"/>
    </w:p>
    <w:p>
      <w:pPr>
        <w:pStyle w:val="3"/>
      </w:pPr>
      <w:bookmarkStart w:id="194" w:name="_Toc168062402"/>
      <w:bookmarkStart w:id="195" w:name="_Toc167461388"/>
      <w:r>
        <w:rPr>
          <w:rFonts w:hint="eastAsia"/>
        </w:rPr>
        <w:t>建筑垃圾收运模式</w:t>
      </w:r>
      <w:bookmarkEnd w:id="194"/>
      <w:bookmarkEnd w:id="195"/>
    </w:p>
    <w:p>
      <w:pPr>
        <w:ind w:firstLine="640"/>
      </w:pPr>
      <w:r>
        <w:rPr>
          <w:rFonts w:hint="eastAsia"/>
        </w:rPr>
        <w:t>建筑垃圾的收运应由市场运输公司负责，其中市场运输公司必须经过政府部门审核，符合标准后才能核准运营。</w:t>
      </w:r>
    </w:p>
    <w:p>
      <w:pPr>
        <w:ind w:firstLine="640"/>
      </w:pPr>
      <w:r>
        <w:rPr>
          <w:rFonts w:hint="eastAsia"/>
        </w:rPr>
        <w:t>建筑垃圾收运可采用两种模式，一是直运模式，处置单位直接到建筑垃圾产生点收集，并运输到建筑垃圾消纳场所；二是转运模式，产生单位把建筑垃圾运送至指定的中转调配场或资源化利用设施，经过分拣或者资源化利用后，再将不可利用的建筑垃圾由处置单位和公司定期运输至消纳场。</w:t>
      </w:r>
    </w:p>
    <w:p>
      <w:pPr>
        <w:ind w:firstLine="640"/>
      </w:pPr>
      <w:r>
        <w:rPr>
          <w:rFonts w:hint="eastAsia"/>
        </w:rPr>
        <w:t>本规划按照“政府主导、社会参与、统一管理、规范运输”的原则，根据不同建筑垃圾产生源的分布情况，结合建筑垃圾处理和资源化利用设施服务范围，确定建筑垃圾收集模式，明确转运设施布局，提出运输车辆要求，因地制宜地推进建筑垃圾分类收集和运输。</w:t>
      </w:r>
    </w:p>
    <w:p>
      <w:pPr>
        <w:ind w:firstLine="640"/>
      </w:pPr>
      <w:bookmarkStart w:id="196" w:name="_Hlk168062805"/>
      <w:r>
        <w:rPr>
          <w:rFonts w:hint="eastAsia"/>
        </w:rPr>
        <w:t>规划临海市中心城区的建筑垃圾采用直运模式，其他乡镇的建筑垃圾采用转运模式（或自行消纳）。依托信息化管理技术与平台，建立覆盖建筑垃圾收运处置全过程的电子联单跟踪系统，实现闭环监管。</w:t>
      </w:r>
      <w:bookmarkEnd w:id="196"/>
    </w:p>
    <w:p>
      <w:pPr>
        <w:pStyle w:val="3"/>
      </w:pPr>
      <w:bookmarkStart w:id="197" w:name="_Toc168062403"/>
      <w:bookmarkStart w:id="198" w:name="_Toc167461389"/>
      <w:r>
        <w:rPr>
          <w:rFonts w:hint="eastAsia"/>
        </w:rPr>
        <w:t>建筑垃圾收运要求</w:t>
      </w:r>
      <w:bookmarkEnd w:id="197"/>
      <w:bookmarkEnd w:id="198"/>
    </w:p>
    <w:p>
      <w:pPr>
        <w:pStyle w:val="30"/>
      </w:pPr>
      <w:bookmarkStart w:id="199" w:name="_Toc167461390"/>
      <w:r>
        <w:rPr>
          <w:rFonts w:hint="eastAsia"/>
        </w:rPr>
        <w:t>完善分类收运</w:t>
      </w:r>
    </w:p>
    <w:p>
      <w:pPr>
        <w:ind w:firstLine="640"/>
      </w:pPr>
      <w:r>
        <w:rPr>
          <w:rFonts w:hint="eastAsia"/>
        </w:rPr>
        <w:t>做好建筑垃圾临时堆放点及转运调配场分类堆放及日常管理服务工作。乡镇建筑垃圾应投放至建筑垃圾临时堆放点，集中运输至建筑垃圾转运调配场；距建筑垃圾资源化利用厂较远的施工单位将产生的建筑垃圾集中运输至建筑垃圾转运调配场。装修垃圾要提前捆扎装袋方可运至建筑垃圾临时堆放点或转运调配场。</w:t>
      </w:r>
    </w:p>
    <w:p>
      <w:pPr>
        <w:pStyle w:val="30"/>
      </w:pPr>
      <w:r>
        <w:rPr>
          <w:rFonts w:hint="eastAsia"/>
        </w:rPr>
        <w:t>加强运输监管</w:t>
      </w:r>
    </w:p>
    <w:p>
      <w:pPr>
        <w:ind w:firstLine="640"/>
      </w:pPr>
      <w:r>
        <w:rPr>
          <w:rFonts w:hint="eastAsia"/>
        </w:rPr>
        <w:t>（1）加强审批监管。市公安局、市综合执法局做好建筑垃圾处置核准、建筑垃圾处理方案备案和建筑渣土运输车辆道路通行审批，并加强批后监管。各类建设工程、拆除（迁）工程、装修工程等施工单位不得将建筑垃圾交给个人或未经核准的单位运输。（责任单位：市公安局、市综合执法局）</w:t>
      </w:r>
    </w:p>
    <w:p>
      <w:pPr>
        <w:ind w:firstLine="640"/>
      </w:pPr>
      <w:r>
        <w:rPr>
          <w:rFonts w:hint="eastAsia"/>
        </w:rPr>
        <w:t>（2）规范运输中转。市交通运输局、市综合执法局等部门加强车辆运输企业管理，从事建筑垃圾运输作业的车辆，须安装并规范使用视频监控、卫星定位系统等电子装置，实现监控数据与全市域信息化监管平台实时共享，车辆监控在线率100%。（责任单位：市交通运输局、市综合执法局、市港航口岸和渔业局、台州临海海事处）</w:t>
      </w:r>
    </w:p>
    <w:p>
      <w:pPr>
        <w:ind w:firstLine="640"/>
      </w:pPr>
      <w:r>
        <w:rPr>
          <w:rFonts w:hint="eastAsia"/>
        </w:rPr>
        <w:t>（3）强化执法监管。各镇（街道）、市公安局等单位加强对建筑渣土未经核准处置、无证运输、乱倒乱堆、未按规定时间和线路运输、跨区偷倒、随意改装车辆、超载超速、“跑冒洒漏”等各类违法行为的查处力度，充分运用现代信息技术手段，加强对车辆（船舶）运输路线、核定载重、核定装卸货点等关键环节监管，对涉嫌污染环境犯罪的案件或线索，做好“行刑衔接”，及时移送、立案查处。（责任单位：各镇（街道）、市公安局、市交通运输局、市综合执法局）</w:t>
      </w:r>
    </w:p>
    <w:p>
      <w:pPr>
        <w:ind w:firstLine="640"/>
      </w:pPr>
      <w:r>
        <w:rPr>
          <w:rFonts w:hint="eastAsia"/>
        </w:rPr>
        <w:t>（4）加强安全管理。强化与公安交警、交通、综合行政执法等部门的联合执法，依法严厉查处建筑垃圾运输作业中违法违规行为。行业协会要加强对运输企业及驾驶人员安全生产教育，消除各类安全隐患。（责任单位：各镇（街道）、市交通运输局、市公安局、市综合执法局）</w:t>
      </w:r>
    </w:p>
    <w:p>
      <w:pPr>
        <w:ind w:firstLine="640"/>
      </w:pPr>
      <w:r>
        <w:rPr>
          <w:rFonts w:hint="eastAsia"/>
        </w:rPr>
        <w:t>（5）推行准入制度。规范建筑垃圾运输市场，健全建筑垃圾运输企业名录，定期向社会公布企业及合格运输车辆（船舶）信息，个人或未纳入运输企业准入名录的企业及车辆，不得在临海市从事建筑垃圾运输。（责任单位：各镇街、市交通运输局、市综合执法局）</w:t>
      </w:r>
    </w:p>
    <w:p>
      <w:pPr>
        <w:pStyle w:val="30"/>
      </w:pPr>
      <w:r>
        <w:rPr>
          <w:rFonts w:hint="eastAsia"/>
        </w:rPr>
        <w:t>规范跨区域处置</w:t>
      </w:r>
    </w:p>
    <w:p>
      <w:pPr>
        <w:ind w:firstLine="640"/>
      </w:pPr>
      <w:r>
        <w:rPr>
          <w:rFonts w:hint="eastAsia"/>
        </w:rPr>
        <w:t>对产生总量超过本辖区处置能力，确需跨区域处置的，移出地的市容环境卫生主管部门应当与接收地的市容环境卫生主管部门协商沟通同意后方可跨区域处置，明确跨区域处置建筑垃圾的种类、数量、期限、路线、产生地、消纳地、运输和处置企业等关键信息，并按规定报市综合执法局同意，并录入省建筑垃圾综合监管服务系统。未经批准，不得跨区域处置。跨区域处置应按照“谁排放谁补偿，谁处置谁受益”的原则以及市场化价格机制，建立协同处置与生态补偿机制。</w:t>
      </w:r>
    </w:p>
    <w:p>
      <w:pPr>
        <w:pStyle w:val="3"/>
      </w:pPr>
      <w:bookmarkStart w:id="200" w:name="_Toc168062404"/>
      <w:r>
        <w:rPr>
          <w:rFonts w:hint="eastAsia"/>
        </w:rPr>
        <w:t>建筑垃圾分类收运</w:t>
      </w:r>
      <w:bookmarkEnd w:id="199"/>
      <w:bookmarkEnd w:id="200"/>
    </w:p>
    <w:p>
      <w:pPr>
        <w:pStyle w:val="30"/>
      </w:pPr>
      <w:r>
        <w:rPr>
          <w:rFonts w:hint="eastAsia"/>
        </w:rPr>
        <w:t>工程渣土分类收运</w:t>
      </w:r>
    </w:p>
    <w:p>
      <w:pPr>
        <w:ind w:firstLine="640"/>
      </w:pPr>
      <w:r>
        <w:rPr>
          <w:rFonts w:hint="eastAsia"/>
        </w:rPr>
        <w:t>工程渣土必须清运至指定的消纳场或用于土方平衡调配，以及其他能够资源化利用的场所。在收集转运过程中，应做好以下工作：</w:t>
      </w:r>
    </w:p>
    <w:p>
      <w:pPr>
        <w:ind w:firstLine="640"/>
      </w:pPr>
      <w:r>
        <w:rPr>
          <w:rFonts w:hint="eastAsia"/>
        </w:rPr>
        <w:t>（1）工程渣土应当随挖随运，因特殊原因确实需要临时存放的工程渣土应在施工现场安全区域集中堆放，堆放高度不应超出围挡（墙）高度，并与围挡（墙）及基坑周边保持安全距离，与现有的建筑物或构筑物保持安全距离。</w:t>
      </w:r>
    </w:p>
    <w:p>
      <w:pPr>
        <w:ind w:firstLine="640"/>
      </w:pPr>
      <w:r>
        <w:rPr>
          <w:rFonts w:hint="eastAsia"/>
        </w:rPr>
        <w:t>（2）渣土堆放高度高出地坪不宜超过3米，当超过3米时，应进行堆体和地基稳定性验算，保证堆体和地基的稳定安全。当堆场场地附近有挖方工程时，应进行堆体和挖方边坡稳定性验算，保证挖方工程安全。</w:t>
      </w:r>
    </w:p>
    <w:p>
      <w:pPr>
        <w:pStyle w:val="30"/>
      </w:pPr>
      <w:r>
        <w:rPr>
          <w:rFonts w:hint="eastAsia"/>
        </w:rPr>
        <w:t>工程泥浆分类收运</w:t>
      </w:r>
    </w:p>
    <w:p>
      <w:pPr>
        <w:ind w:firstLine="640"/>
      </w:pPr>
      <w:r>
        <w:rPr>
          <w:rFonts w:hint="eastAsia"/>
        </w:rPr>
        <w:t>工程泥浆应在施工现场设立沉淀池，经脱水预处理后形成干泥，再按照工程渣土流程运送至渣土消纳场或填埋场。在收集转运过程中，应做好以下工作：</w:t>
      </w:r>
    </w:p>
    <w:p>
      <w:pPr>
        <w:ind w:firstLine="640"/>
      </w:pPr>
      <w:r>
        <w:rPr>
          <w:rFonts w:hint="eastAsia"/>
        </w:rPr>
        <w:t>（1）有产生工程泥浆的施工工地应设置泥浆池，工程泥浆应通过泥浆池进行收集，泥浆池应设置防护栏，并挂设“泥浆池危险请勿靠近”安全警示牌。</w:t>
      </w:r>
    </w:p>
    <w:p>
      <w:pPr>
        <w:ind w:firstLine="640"/>
      </w:pPr>
      <w:r>
        <w:rPr>
          <w:rFonts w:hint="eastAsia"/>
        </w:rPr>
        <w:t>（2）施工场地设置现场泥浆脱水处置。现场泥浆脱水处置时，宜配备收集管网、沉淀池、泥饼堆场等设施，脱水后产生的泥饼及时外运，产生的污水经处理达标后排放或回用。</w:t>
      </w:r>
    </w:p>
    <w:p>
      <w:pPr>
        <w:pStyle w:val="30"/>
      </w:pPr>
      <w:r>
        <w:rPr>
          <w:rFonts w:hint="eastAsia"/>
        </w:rPr>
        <w:t>工程垃圾分类收运</w:t>
      </w:r>
    </w:p>
    <w:p>
      <w:pPr>
        <w:ind w:firstLine="640"/>
      </w:pPr>
      <w:r>
        <w:rPr>
          <w:rFonts w:hint="eastAsia"/>
        </w:rPr>
        <w:t>工程垃圾必须清运至指定的处置场所进行资源化利用或填埋处置。在收集转运过程中，应做好以下工作：</w:t>
      </w:r>
    </w:p>
    <w:p>
      <w:pPr>
        <w:ind w:firstLine="640"/>
      </w:pPr>
      <w:r>
        <w:rPr>
          <w:rFonts w:hint="eastAsia"/>
        </w:rPr>
        <w:t>（1）柱基工程的工程桩桩头、基坑工程的临时支撑可统一收集。现场破碎、分离混凝土和钢筋时，混凝土和钢筋应分类堆放。</w:t>
      </w:r>
    </w:p>
    <w:p>
      <w:pPr>
        <w:ind w:firstLine="640"/>
      </w:pPr>
      <w:r>
        <w:rPr>
          <w:rFonts w:hint="eastAsia"/>
        </w:rPr>
        <w:t>（2）道路混凝土或沥青混合料应单独收集。</w:t>
      </w:r>
    </w:p>
    <w:p>
      <w:pPr>
        <w:ind w:firstLine="640"/>
      </w:pPr>
      <w:r>
        <w:rPr>
          <w:rFonts w:hint="eastAsia"/>
        </w:rPr>
        <w:t>（3）其他工程垃圾不应与工程桩桩头、支撑或道路混凝土、沥青混合料混杂。</w:t>
      </w:r>
    </w:p>
    <w:p>
      <w:pPr>
        <w:pStyle w:val="30"/>
      </w:pPr>
      <w:r>
        <w:rPr>
          <w:rFonts w:hint="eastAsia"/>
        </w:rPr>
        <w:t>拆除垃圾分类收运</w:t>
      </w:r>
    </w:p>
    <w:p>
      <w:pPr>
        <w:ind w:firstLine="640"/>
      </w:pPr>
      <w:r>
        <w:rPr>
          <w:rFonts w:hint="eastAsia"/>
        </w:rPr>
        <w:t>拆除垃圾必须清运至指定的处置场所进行资源化利用或填埋处置。在收集转运过程中，应做好以下工作：</w:t>
      </w:r>
    </w:p>
    <w:p>
      <w:pPr>
        <w:ind w:firstLine="640"/>
      </w:pPr>
      <w:r>
        <w:rPr>
          <w:rFonts w:hint="eastAsia"/>
        </w:rPr>
        <w:t>建（构）筑物拆除前应清除、腾空内部可移动设施、设备、家具等物品；附属构件（门、窗等）可先于主体结构拆除，再分类堆放；拆除的混凝土梁、柱、楼板构件或其他预制件可统一收集；砖瓦宜分类堆放。</w:t>
      </w:r>
    </w:p>
    <w:p>
      <w:pPr>
        <w:pStyle w:val="30"/>
      </w:pPr>
      <w:r>
        <w:rPr>
          <w:rFonts w:hint="eastAsia"/>
        </w:rPr>
        <w:t>装修垃圾分类收运</w:t>
      </w:r>
    </w:p>
    <w:p>
      <w:pPr>
        <w:ind w:firstLine="640"/>
      </w:pPr>
      <w:r>
        <w:rPr>
          <w:rFonts w:hint="eastAsia"/>
        </w:rPr>
        <w:t>装修垃圾分类清运至指定的场所进行处置，做好建筑垃圾分类堆放和日常管理服务工作；转运过程中，装修垃圾产生单位（个人）或物业公司委托有资质的运输企业从装修垃圾收集点运输至资源化利用厂。同时，应做好以下工作：</w:t>
      </w:r>
    </w:p>
    <w:p>
      <w:pPr>
        <w:ind w:firstLine="640"/>
      </w:pPr>
      <w:r>
        <w:rPr>
          <w:rFonts w:hint="eastAsia"/>
        </w:rPr>
        <w:t>（1）装修垃圾宜实行袋装化收集，装修过程中产生的木料、砂浆砖石、塑料、玻璃、金属等废料分类装袋。</w:t>
      </w:r>
    </w:p>
    <w:p>
      <w:pPr>
        <w:ind w:firstLine="640"/>
      </w:pPr>
      <w:r>
        <w:rPr>
          <w:rFonts w:hint="eastAsia"/>
        </w:rPr>
        <w:t>（2）有设置建筑垃圾分类收集点的，应符合下列要求:</w:t>
      </w:r>
    </w:p>
    <w:p>
      <w:pPr>
        <w:ind w:firstLine="640"/>
      </w:pPr>
      <w:r>
        <w:rPr>
          <w:rFonts w:hint="eastAsia"/>
        </w:rPr>
        <w:t>能存放场所范围内的装修垃圾，同时供收运车辆进出、回车；地面应硬化，宜与场地道路同高；应设置标识标牌、围挡、遮雨、消防设施，宜设置视频监控设备；与周围环境相协调。</w:t>
      </w:r>
    </w:p>
    <w:p>
      <w:pPr>
        <w:pStyle w:val="3"/>
      </w:pPr>
      <w:bookmarkStart w:id="201" w:name="_Toc167461391"/>
      <w:bookmarkStart w:id="202" w:name="_Toc168062405"/>
      <w:r>
        <w:rPr>
          <w:rFonts w:hint="eastAsia"/>
        </w:rPr>
        <w:t>建筑垃圾收运设施设备</w:t>
      </w:r>
      <w:bookmarkEnd w:id="201"/>
      <w:bookmarkEnd w:id="202"/>
    </w:p>
    <w:p>
      <w:pPr>
        <w:pStyle w:val="30"/>
      </w:pPr>
      <w:r>
        <w:rPr>
          <w:rFonts w:hint="eastAsia"/>
        </w:rPr>
        <w:t>分类收集点</w:t>
      </w:r>
    </w:p>
    <w:p>
      <w:pPr>
        <w:pStyle w:val="5"/>
      </w:pPr>
      <w:r>
        <w:rPr>
          <w:rFonts w:hint="eastAsia"/>
        </w:rPr>
        <w:t>规划布局</w:t>
      </w:r>
    </w:p>
    <w:p>
      <w:pPr>
        <w:ind w:firstLine="640"/>
      </w:pPr>
      <w:bookmarkStart w:id="203" w:name="_Hlk168063193"/>
      <w:r>
        <w:rPr>
          <w:rFonts w:hint="eastAsia"/>
        </w:rPr>
        <w:t>针对装修垃圾的收集，规划设置装修垃圾收集点。有物业管理的已建小区，可设置方便居民投放的固定或临时的收集点；对于老旧小区或无物业管理的小区，根据实际情况，可由所在社区负责选取场所，统一设置集中收集点。新增小区装修垃圾分类收集设施应同小区建设同步规划、同步建设、同步交付；有条件的小区，可引入装修垃圾“智能化箱体”，能一拖即走，做到垃圾不落地；农村地区以村为单位设立收集点，建议与生活垃圾收集点建在一起。装修垃圾收集点用地面积不宜小于80平方米，同时应做好收集点场地地面硬化，四周做好排水设施，增加上水设施，装卸垃圾时应洒水降尘</w:t>
      </w:r>
      <w:bookmarkEnd w:id="203"/>
      <w:r>
        <w:rPr>
          <w:rFonts w:hint="eastAsia"/>
        </w:rPr>
        <w:t>。</w:t>
      </w:r>
    </w:p>
    <w:p>
      <w:pPr>
        <w:pStyle w:val="5"/>
      </w:pPr>
      <w:r>
        <w:rPr>
          <w:rFonts w:hint="eastAsia"/>
        </w:rPr>
        <w:t>技术要求</w:t>
      </w:r>
    </w:p>
    <w:p>
      <w:pPr>
        <w:ind w:firstLine="640"/>
      </w:pPr>
      <w:r>
        <w:rPr>
          <w:rFonts w:hint="eastAsia"/>
        </w:rPr>
        <w:t>（1）住宅小区应至少设置1处装修垃圾投放点，投放点的设置应符合 DB33/T 2284-2020 的相关要求。</w:t>
      </w:r>
    </w:p>
    <w:p>
      <w:pPr>
        <w:ind w:firstLine="640"/>
      </w:pPr>
      <w:r>
        <w:rPr>
          <w:rFonts w:hint="eastAsia"/>
        </w:rPr>
        <w:t>（2）公共机构、企事业单位、沿街经营店铺等产生的装修垃圾宜采用预约方式收运。</w:t>
      </w:r>
    </w:p>
    <w:p>
      <w:pPr>
        <w:ind w:firstLine="640"/>
      </w:pPr>
      <w:r>
        <w:rPr>
          <w:rFonts w:hint="eastAsia"/>
        </w:rPr>
        <w:t>（3）商业综合体装修垃圾投放点应设置在单位内部合适区域。</w:t>
      </w:r>
    </w:p>
    <w:p>
      <w:pPr>
        <w:ind w:firstLine="640"/>
      </w:pPr>
      <w:r>
        <w:rPr>
          <w:rFonts w:hint="eastAsia"/>
        </w:rPr>
        <w:t>（4）投放点宜与大件垃圾、园林垃圾的投放点集中区域设置，新建住宅小区装修垃圾投放点面积应符合DB33/T 1222-2020的有关要求执行，现有住宅小区可参照DB33/T 1222-2020执行。</w:t>
      </w:r>
    </w:p>
    <w:p>
      <w:pPr>
        <w:ind w:firstLine="640"/>
      </w:pPr>
      <w:r>
        <w:rPr>
          <w:rFonts w:hint="eastAsia"/>
        </w:rPr>
        <w:t>（5）投放点作业的空间应满足收运车辆作业转弯半径要求。</w:t>
      </w:r>
    </w:p>
    <w:p>
      <w:pPr>
        <w:ind w:firstLine="640"/>
      </w:pPr>
      <w:r>
        <w:rPr>
          <w:rFonts w:hint="eastAsia"/>
        </w:rPr>
        <w:t>（6）投放点地坪应硬化，四周应设置密闭围档等硬隔离措施，围档高度不得低于2米，且不宜超过2.5米。投放点上方宜搭设迷彩棚架、植物棚架等遮盖设施。</w:t>
      </w:r>
    </w:p>
    <w:p>
      <w:pPr>
        <w:ind w:firstLine="640"/>
      </w:pPr>
      <w:r>
        <w:rPr>
          <w:rFonts w:hint="eastAsia"/>
        </w:rPr>
        <w:t>（7）投放点应公示装修垃圾投放要求，收运单位、责任人联系电话、收运频次以及监督电话、识别码等。</w:t>
      </w:r>
    </w:p>
    <w:p>
      <w:pPr>
        <w:ind w:firstLine="640"/>
      </w:pPr>
      <w:r>
        <w:rPr>
          <w:rFonts w:hint="eastAsia"/>
        </w:rPr>
        <w:t>（8）有条件的生活小区或单位应设置装修垃圾收集箱，箱体宜具有科学投放、费用结算、预警监测等智能管理功能。</w:t>
      </w:r>
    </w:p>
    <w:p>
      <w:pPr>
        <w:ind w:firstLine="640"/>
      </w:pPr>
      <w:r>
        <w:rPr>
          <w:rFonts w:hint="eastAsia"/>
        </w:rPr>
        <w:t>（9）新建生活小区宜单独设置装修垃圾收集房，并与生活垃圾收集设施统筹设置，收集房面积不宜小于80平方米，高度应满足装运要求。</w:t>
      </w:r>
    </w:p>
    <w:p>
      <w:pPr>
        <w:pStyle w:val="5"/>
      </w:pPr>
      <w:r>
        <w:rPr>
          <w:rFonts w:hint="eastAsia"/>
        </w:rPr>
        <w:t>运营与维护</w:t>
      </w:r>
    </w:p>
    <w:p>
      <w:pPr>
        <w:ind w:firstLine="640"/>
      </w:pPr>
      <w:r>
        <w:rPr>
          <w:rFonts w:hint="eastAsia"/>
        </w:rPr>
        <w:t>（1）居民将打包好的建筑垃圾自行投放至分类收集点内，保持场地整洁，无撒漏垃圾，无堆积杂物。</w:t>
      </w:r>
    </w:p>
    <w:p>
      <w:pPr>
        <w:ind w:firstLine="640"/>
      </w:pPr>
      <w:r>
        <w:rPr>
          <w:rFonts w:hint="eastAsia"/>
        </w:rPr>
        <w:t>（2）建立健全各项管理制度，设施标识标牌齐全，便于分类堆放。</w:t>
      </w:r>
    </w:p>
    <w:p>
      <w:pPr>
        <w:ind w:firstLine="640"/>
      </w:pPr>
      <w:r>
        <w:rPr>
          <w:rFonts w:hint="eastAsia"/>
        </w:rPr>
        <w:t>（3）装修垃圾堆放一定数量后，由居民或者物业公司联系收运企业将建筑垃圾清运到指定的资源化处理厂和消纳场，可根据堆积量灵活调整清运频次，保障居民有整洁卫生的环境；</w:t>
      </w:r>
    </w:p>
    <w:p>
      <w:pPr>
        <w:ind w:firstLine="640"/>
      </w:pPr>
      <w:r>
        <w:rPr>
          <w:rFonts w:hint="eastAsia"/>
        </w:rPr>
        <w:t>（4）收运车辆应根据进场证明进场，实行“一车一单”制度，分类收集点管理人员应对清运车辆进行登记、驾驶员签字确认。</w:t>
      </w:r>
    </w:p>
    <w:p>
      <w:pPr>
        <w:ind w:firstLine="640"/>
      </w:pPr>
      <w:r>
        <w:rPr>
          <w:rFonts w:hint="eastAsia"/>
        </w:rPr>
        <w:t>（5）严禁将生活垃圾、工业固废、危险废物等混入建筑垃圾，根据情节严重程度，报有关部门处理。</w:t>
      </w:r>
    </w:p>
    <w:p>
      <w:pPr>
        <w:ind w:firstLine="640"/>
      </w:pPr>
      <w:r>
        <w:rPr>
          <w:rFonts w:hint="eastAsia"/>
        </w:rPr>
        <w:t>（6）应保持场地内通道畅通、干净，规范设置交通指示标志，危险路段应设置危险标志，管理人员需及时排查和处理各种安全隐患，做到安全规范堆放建筑垃圾。</w:t>
      </w:r>
    </w:p>
    <w:p>
      <w:pPr>
        <w:pStyle w:val="30"/>
      </w:pPr>
      <w:r>
        <w:rPr>
          <w:rFonts w:hint="eastAsia"/>
        </w:rPr>
        <w:t>建筑垃圾转运站</w:t>
      </w:r>
    </w:p>
    <w:p>
      <w:pPr>
        <w:pStyle w:val="5"/>
      </w:pPr>
      <w:r>
        <w:rPr>
          <w:rFonts w:hint="eastAsia"/>
        </w:rPr>
        <w:t>规划布局</w:t>
      </w:r>
    </w:p>
    <w:p>
      <w:pPr>
        <w:ind w:firstLine="640"/>
      </w:pPr>
      <w:r>
        <w:rPr>
          <w:rFonts w:hint="eastAsia"/>
        </w:rPr>
        <w:t>针对乡镇和村庄产生的建筑垃圾，规划设置建筑垃圾转运站。建筑垃圾通过转运站转运至消纳场及资源化利用处置场进行处置。</w:t>
      </w:r>
    </w:p>
    <w:p>
      <w:pPr>
        <w:ind w:firstLine="640"/>
      </w:pPr>
      <w:r>
        <w:rPr>
          <w:rFonts w:hint="eastAsia"/>
        </w:rPr>
        <w:t>建筑垃圾转运站主要用于建筑垃圾（包括工程渣土）的集中、前端分拣，及暂时无法进行利用的建筑垃圾和运输距离远、需要中转的建筑垃圾的临时堆放。转运站内可设置分拣场地，将进场垃圾中可利用的物质分拣出来分类堆放，待分拣完成后，有价值的物质进入废品回收体系，其他可资源化利用的建筑垃圾运输至建筑垃圾资源化利用厂，装修垃圾分拣后的危险废弃物及有害垃圾进入危废处理设施。</w:t>
      </w:r>
    </w:p>
    <w:p>
      <w:pPr>
        <w:pStyle w:val="5"/>
      </w:pPr>
      <w:r>
        <w:rPr>
          <w:rFonts w:hint="eastAsia"/>
        </w:rPr>
        <w:t>技术要求</w:t>
      </w:r>
    </w:p>
    <w:p>
      <w:pPr>
        <w:ind w:firstLine="640"/>
      </w:pPr>
      <w:r>
        <w:rPr>
          <w:rFonts w:hint="eastAsia"/>
        </w:rPr>
        <w:t>（1）建筑垃圾可采取露天或室内堆放方式，露天堆放的建筑垃圾应及时覆盖。</w:t>
      </w:r>
    </w:p>
    <w:p>
      <w:pPr>
        <w:ind w:firstLine="640"/>
      </w:pPr>
      <w:r>
        <w:rPr>
          <w:rFonts w:hint="eastAsia"/>
        </w:rPr>
        <w:t>（2）建筑垃圾堆放高度高出地坪不宜超过3米，当超过3米时，应进行堆体和地基稳定性验算，保证堆体和地基的稳定安全。当堆场场地附近有挖方工程时，应进行堆体和挖方边坡稳定性验算，保证挖方工程安全。</w:t>
      </w:r>
    </w:p>
    <w:p>
      <w:pPr>
        <w:ind w:firstLine="640"/>
      </w:pPr>
      <w:r>
        <w:rPr>
          <w:rFonts w:hint="eastAsia"/>
        </w:rPr>
        <w:t>（3）转运站应采用硬化地坪，其标高应高于周围地坪标高15厘米以上，转运站四周应设置排水沟，并满足场地雨水导排要求。</w:t>
      </w:r>
    </w:p>
    <w:p>
      <w:pPr>
        <w:ind w:firstLine="640"/>
      </w:pPr>
      <w:r>
        <w:rPr>
          <w:rFonts w:hint="eastAsia"/>
        </w:rPr>
        <w:t>（4）转运站应分类设置并标记明显。</w:t>
      </w:r>
    </w:p>
    <w:p>
      <w:pPr>
        <w:ind w:firstLine="640"/>
      </w:pPr>
      <w:r>
        <w:rPr>
          <w:rFonts w:hint="eastAsia"/>
        </w:rPr>
        <w:t>（5）转运站内应设置场区道路，连接场内各堆放区与场外市政道路。</w:t>
      </w:r>
    </w:p>
    <w:p>
      <w:pPr>
        <w:ind w:firstLine="640"/>
      </w:pPr>
      <w:r>
        <w:rPr>
          <w:rFonts w:hint="eastAsia"/>
        </w:rPr>
        <w:t>（6）转运站应配备装载机、推土机等作业机械，配备机械数量应与作业需求相适应。</w:t>
      </w:r>
    </w:p>
    <w:p>
      <w:pPr>
        <w:ind w:firstLine="640"/>
      </w:pPr>
      <w:r>
        <w:rPr>
          <w:rFonts w:hint="eastAsia"/>
        </w:rPr>
        <w:t>（7）生产管理区应设置在分类堆放区的上风向，宜设置办公用房等设施。中、大型规模的中转调配场宜设置作业设备、运输车辆的维修车间等设施。</w:t>
      </w:r>
    </w:p>
    <w:p>
      <w:pPr>
        <w:pStyle w:val="5"/>
      </w:pPr>
      <w:r>
        <w:rPr>
          <w:rFonts w:hint="eastAsia"/>
        </w:rPr>
        <w:t>选址及规模</w:t>
      </w:r>
    </w:p>
    <w:p>
      <w:pPr>
        <w:ind w:firstLine="640"/>
      </w:pPr>
      <w:r>
        <w:rPr>
          <w:rFonts w:hint="eastAsia"/>
        </w:rPr>
        <w:t>（1）规划规模</w:t>
      </w:r>
    </w:p>
    <w:p>
      <w:pPr>
        <w:ind w:firstLine="640"/>
      </w:pPr>
      <w:bookmarkStart w:id="204" w:name="_Hlk168063262"/>
      <w:r>
        <w:rPr>
          <w:rFonts w:hint="eastAsia"/>
        </w:rPr>
        <w:t>强化乡镇建筑垃圾分散处置服务能力，</w:t>
      </w:r>
      <w:r>
        <w:rPr>
          <w:highlight w:val="green"/>
        </w:rPr>
        <w:t>1</w:t>
      </w:r>
      <w:r>
        <w:rPr>
          <w:rFonts w:hint="eastAsia"/>
          <w:highlight w:val="green"/>
        </w:rPr>
        <w:t>9个镇街</w:t>
      </w:r>
      <w:r>
        <w:rPr>
          <w:rFonts w:hint="eastAsia"/>
        </w:rPr>
        <w:t>及台州湾经济技术开发区结合用地开发及自身需求，建设至少一处建筑垃圾转运站，每个建筑垃圾转运站面积不小于3000平方米。</w:t>
      </w:r>
    </w:p>
    <w:p>
      <w:pPr>
        <w:ind w:firstLine="640"/>
      </w:pPr>
      <w:r>
        <w:rPr>
          <w:rFonts w:hint="eastAsia"/>
        </w:rPr>
        <w:t>鼓励建筑垃圾的本地消纳，鼓励国有资本、民营资本参与建设、经营建筑垃圾消纳场所，鼓励支持有条件的镇街结合建筑垃圾转运站建设大型建筑垃圾分拣中心。建筑垃圾消纳场所应符合住建、自规、发改、环保等相关部门的工作要求，</w:t>
      </w:r>
      <w:bookmarkEnd w:id="204"/>
      <w:r>
        <w:rPr>
          <w:rFonts w:hint="eastAsia"/>
        </w:rPr>
        <w:t>具体设施建设引导详见下表。</w:t>
      </w:r>
    </w:p>
    <w:p>
      <w:pPr>
        <w:pStyle w:val="36"/>
      </w:pPr>
      <w:r>
        <w:rPr>
          <w:rFonts w:hint="eastAsia"/>
        </w:rPr>
        <w:t>表</w:t>
      </w:r>
      <w:r>
        <w:t xml:space="preserve"> </w:t>
      </w:r>
      <w:r>
        <w:fldChar w:fldCharType="begin"/>
      </w:r>
      <w:r>
        <w:instrText xml:space="preserve"> STYLEREF 1 \s </w:instrText>
      </w:r>
      <w:r>
        <w:fldChar w:fldCharType="separate"/>
      </w:r>
      <w:r>
        <w:t>7</w:t>
      </w:r>
      <w:r>
        <w:fldChar w:fldCharType="end"/>
      </w:r>
      <w:r>
        <w:noBreakHyphen/>
      </w:r>
      <w:r>
        <w:fldChar w:fldCharType="begin"/>
      </w:r>
      <w:r>
        <w:instrText xml:space="preserve"> SEQ </w:instrText>
      </w:r>
      <w:r>
        <w:rPr>
          <w:rFonts w:hint="eastAsia"/>
        </w:rPr>
        <w:instrText xml:space="preserve">表</w:instrText>
      </w:r>
      <w:r>
        <w:instrText xml:space="preserve"> \* ARABIC \s 1 </w:instrText>
      </w:r>
      <w:r>
        <w:fldChar w:fldCharType="separate"/>
      </w:r>
      <w:r>
        <w:t>1</w:t>
      </w:r>
      <w:r>
        <w:fldChar w:fldCharType="end"/>
      </w:r>
      <w:r>
        <w:rPr>
          <w:rFonts w:hint="eastAsia"/>
        </w:rPr>
        <w:t>镇街建筑垃圾转运站规划建设引导表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559"/>
        <w:gridCol w:w="6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46" w:type="dxa"/>
            <w:vAlign w:val="center"/>
          </w:tcPr>
          <w:p>
            <w:pPr>
              <w:pStyle w:val="38"/>
            </w:pPr>
            <w:r>
              <w:rPr>
                <w:rFonts w:hint="eastAsia"/>
              </w:rPr>
              <w:t>序号</w:t>
            </w:r>
          </w:p>
        </w:tc>
        <w:tc>
          <w:tcPr>
            <w:tcW w:w="1559" w:type="dxa"/>
            <w:vAlign w:val="center"/>
          </w:tcPr>
          <w:p>
            <w:pPr>
              <w:pStyle w:val="38"/>
            </w:pPr>
            <w:r>
              <w:rPr>
                <w:rFonts w:hint="eastAsia"/>
              </w:rPr>
              <w:t>镇街</w:t>
            </w:r>
          </w:p>
        </w:tc>
        <w:tc>
          <w:tcPr>
            <w:tcW w:w="6655" w:type="dxa"/>
            <w:vAlign w:val="center"/>
          </w:tcPr>
          <w:p>
            <w:pPr>
              <w:pStyle w:val="38"/>
            </w:pPr>
            <w:r>
              <w:rPr>
                <w:rFonts w:hint="eastAsia"/>
              </w:rPr>
              <w:t>规划引导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t>1</w:t>
            </w:r>
          </w:p>
        </w:tc>
        <w:tc>
          <w:tcPr>
            <w:tcW w:w="1559" w:type="dxa"/>
            <w:vAlign w:val="center"/>
          </w:tcPr>
          <w:p>
            <w:pPr>
              <w:pStyle w:val="38"/>
            </w:pPr>
            <w:r>
              <w:rPr>
                <w:rFonts w:hint="eastAsia"/>
              </w:rPr>
              <w:t>大洋街道</w:t>
            </w:r>
          </w:p>
        </w:tc>
        <w:tc>
          <w:tcPr>
            <w:tcW w:w="6655" w:type="dxa"/>
            <w:vAlign w:val="center"/>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t>2</w:t>
            </w:r>
          </w:p>
        </w:tc>
        <w:tc>
          <w:tcPr>
            <w:tcW w:w="1559" w:type="dxa"/>
            <w:vAlign w:val="center"/>
          </w:tcPr>
          <w:p>
            <w:pPr>
              <w:pStyle w:val="38"/>
            </w:pPr>
            <w:r>
              <w:rPr>
                <w:rFonts w:hint="eastAsia"/>
              </w:rPr>
              <w:t>古城街道</w:t>
            </w:r>
          </w:p>
        </w:tc>
        <w:tc>
          <w:tcPr>
            <w:tcW w:w="6655" w:type="dxa"/>
            <w:vAlign w:val="center"/>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3</w:t>
            </w:r>
          </w:p>
        </w:tc>
        <w:tc>
          <w:tcPr>
            <w:tcW w:w="1559" w:type="dxa"/>
            <w:vAlign w:val="center"/>
          </w:tcPr>
          <w:p>
            <w:pPr>
              <w:pStyle w:val="38"/>
            </w:pPr>
            <w:r>
              <w:rPr>
                <w:rFonts w:hint="eastAsia"/>
              </w:rPr>
              <w:t>大田街道</w:t>
            </w:r>
          </w:p>
        </w:tc>
        <w:tc>
          <w:tcPr>
            <w:tcW w:w="6655" w:type="dxa"/>
            <w:vAlign w:val="center"/>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4</w:t>
            </w:r>
          </w:p>
        </w:tc>
        <w:tc>
          <w:tcPr>
            <w:tcW w:w="1559" w:type="dxa"/>
            <w:vAlign w:val="center"/>
          </w:tcPr>
          <w:p>
            <w:pPr>
              <w:pStyle w:val="38"/>
            </w:pPr>
            <w:r>
              <w:rPr>
                <w:rFonts w:hint="eastAsia"/>
              </w:rPr>
              <w:t>邵家渡街道</w:t>
            </w:r>
          </w:p>
        </w:tc>
        <w:tc>
          <w:tcPr>
            <w:tcW w:w="6655" w:type="dxa"/>
            <w:vAlign w:val="center"/>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5</w:t>
            </w:r>
          </w:p>
        </w:tc>
        <w:tc>
          <w:tcPr>
            <w:tcW w:w="1559" w:type="dxa"/>
            <w:vAlign w:val="center"/>
          </w:tcPr>
          <w:p>
            <w:pPr>
              <w:pStyle w:val="38"/>
            </w:pPr>
            <w:r>
              <w:rPr>
                <w:rFonts w:hint="eastAsia"/>
              </w:rPr>
              <w:t>江南街道</w:t>
            </w:r>
          </w:p>
        </w:tc>
        <w:tc>
          <w:tcPr>
            <w:tcW w:w="6655" w:type="dxa"/>
            <w:vAlign w:val="center"/>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6</w:t>
            </w:r>
          </w:p>
        </w:tc>
        <w:tc>
          <w:tcPr>
            <w:tcW w:w="1559" w:type="dxa"/>
            <w:vAlign w:val="center"/>
          </w:tcPr>
          <w:p>
            <w:pPr>
              <w:pStyle w:val="38"/>
            </w:pPr>
            <w:r>
              <w:rPr>
                <w:rFonts w:hint="eastAsia"/>
              </w:rPr>
              <w:t>白水洋镇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7</w:t>
            </w:r>
          </w:p>
        </w:tc>
        <w:tc>
          <w:tcPr>
            <w:tcW w:w="1559" w:type="dxa"/>
            <w:vAlign w:val="center"/>
          </w:tcPr>
          <w:p>
            <w:pPr>
              <w:pStyle w:val="38"/>
            </w:pPr>
            <w:r>
              <w:rPr>
                <w:rFonts w:hint="eastAsia"/>
              </w:rPr>
              <w:t>括苍镇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8</w:t>
            </w:r>
          </w:p>
        </w:tc>
        <w:tc>
          <w:tcPr>
            <w:tcW w:w="1559" w:type="dxa"/>
            <w:vAlign w:val="center"/>
          </w:tcPr>
          <w:p>
            <w:pPr>
              <w:pStyle w:val="38"/>
            </w:pPr>
            <w:r>
              <w:rPr>
                <w:rFonts w:hint="eastAsia"/>
              </w:rPr>
              <w:t>河头镇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9</w:t>
            </w:r>
          </w:p>
        </w:tc>
        <w:tc>
          <w:tcPr>
            <w:tcW w:w="1559" w:type="dxa"/>
            <w:vAlign w:val="center"/>
          </w:tcPr>
          <w:p>
            <w:pPr>
              <w:pStyle w:val="38"/>
            </w:pPr>
            <w:r>
              <w:rPr>
                <w:rFonts w:hint="eastAsia"/>
              </w:rPr>
              <w:t>永丰镇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0</w:t>
            </w:r>
          </w:p>
        </w:tc>
        <w:tc>
          <w:tcPr>
            <w:tcW w:w="1559" w:type="dxa"/>
            <w:vAlign w:val="center"/>
          </w:tcPr>
          <w:p>
            <w:pPr>
              <w:pStyle w:val="38"/>
            </w:pPr>
            <w:r>
              <w:rPr>
                <w:rFonts w:hint="eastAsia"/>
              </w:rPr>
              <w:t>尤溪镇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1</w:t>
            </w:r>
          </w:p>
        </w:tc>
        <w:tc>
          <w:tcPr>
            <w:tcW w:w="1559" w:type="dxa"/>
            <w:vAlign w:val="center"/>
          </w:tcPr>
          <w:p>
            <w:pPr>
              <w:pStyle w:val="38"/>
            </w:pPr>
            <w:r>
              <w:rPr>
                <w:rFonts w:hint="eastAsia"/>
              </w:rPr>
              <w:t>汇溪镇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2</w:t>
            </w:r>
          </w:p>
        </w:tc>
        <w:tc>
          <w:tcPr>
            <w:tcW w:w="1559" w:type="dxa"/>
            <w:vAlign w:val="center"/>
          </w:tcPr>
          <w:p>
            <w:pPr>
              <w:pStyle w:val="38"/>
            </w:pPr>
            <w:r>
              <w:rPr>
                <w:rFonts w:hint="eastAsia"/>
              </w:rPr>
              <w:t>汛桥镇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3</w:t>
            </w:r>
          </w:p>
        </w:tc>
        <w:tc>
          <w:tcPr>
            <w:tcW w:w="1559" w:type="dxa"/>
            <w:vAlign w:val="center"/>
          </w:tcPr>
          <w:p>
            <w:pPr>
              <w:pStyle w:val="38"/>
            </w:pPr>
            <w:r>
              <w:rPr>
                <w:rFonts w:hint="eastAsia"/>
              </w:rPr>
              <w:t>沿江镇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4</w:t>
            </w:r>
          </w:p>
        </w:tc>
        <w:tc>
          <w:tcPr>
            <w:tcW w:w="1559" w:type="dxa"/>
            <w:vAlign w:val="center"/>
          </w:tcPr>
          <w:p>
            <w:pPr>
              <w:pStyle w:val="38"/>
            </w:pPr>
            <w:r>
              <w:rPr>
                <w:rFonts w:hint="eastAsia"/>
              </w:rPr>
              <w:t>东塍镇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5</w:t>
            </w:r>
          </w:p>
        </w:tc>
        <w:tc>
          <w:tcPr>
            <w:tcW w:w="1559" w:type="dxa"/>
            <w:vAlign w:val="center"/>
          </w:tcPr>
          <w:p>
            <w:pPr>
              <w:pStyle w:val="38"/>
            </w:pPr>
            <w:r>
              <w:rPr>
                <w:rFonts w:hint="eastAsia"/>
              </w:rPr>
              <w:t>小芝镇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6</w:t>
            </w:r>
          </w:p>
        </w:tc>
        <w:tc>
          <w:tcPr>
            <w:tcW w:w="1559" w:type="dxa"/>
            <w:vAlign w:val="center"/>
          </w:tcPr>
          <w:p>
            <w:pPr>
              <w:pStyle w:val="38"/>
            </w:pPr>
            <w:r>
              <w:rPr>
                <w:rFonts w:hint="eastAsia"/>
              </w:rPr>
              <w:t>杜桥镇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7</w:t>
            </w:r>
          </w:p>
        </w:tc>
        <w:tc>
          <w:tcPr>
            <w:tcW w:w="1559" w:type="dxa"/>
            <w:vAlign w:val="center"/>
          </w:tcPr>
          <w:p>
            <w:pPr>
              <w:pStyle w:val="38"/>
            </w:pPr>
            <w:r>
              <w:rPr>
                <w:rFonts w:hint="eastAsia"/>
              </w:rPr>
              <w:t>桃渚镇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8</w:t>
            </w:r>
          </w:p>
        </w:tc>
        <w:tc>
          <w:tcPr>
            <w:tcW w:w="1559" w:type="dxa"/>
            <w:vAlign w:val="center"/>
          </w:tcPr>
          <w:p>
            <w:pPr>
              <w:pStyle w:val="38"/>
            </w:pPr>
            <w:r>
              <w:rPr>
                <w:rFonts w:hint="eastAsia"/>
              </w:rPr>
              <w:t>上盘镇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1</w:t>
            </w:r>
            <w:r>
              <w:t>9</w:t>
            </w:r>
          </w:p>
        </w:tc>
        <w:tc>
          <w:tcPr>
            <w:tcW w:w="1559" w:type="dxa"/>
            <w:vAlign w:val="center"/>
          </w:tcPr>
          <w:p>
            <w:pPr>
              <w:pStyle w:val="38"/>
            </w:pPr>
            <w:r>
              <w:rPr>
                <w:rFonts w:hint="eastAsia"/>
              </w:rPr>
              <w:t>涌泉镇</w:t>
            </w:r>
          </w:p>
        </w:tc>
        <w:tc>
          <w:tcPr>
            <w:tcW w:w="6655" w:type="dxa"/>
          </w:tcPr>
          <w:p>
            <w:pPr>
              <w:pStyle w:val="38"/>
              <w:jc w:val="both"/>
            </w:pPr>
            <w:r>
              <w:rPr>
                <w:rFonts w:hint="eastAsia"/>
              </w:rPr>
              <w:t>建设至少1处建筑垃圾转运站，有条件的可建设大型建筑垃圾分拣中心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8"/>
            </w:pPr>
            <w:r>
              <w:rPr>
                <w:rFonts w:hint="eastAsia"/>
              </w:rPr>
              <w:t>2</w:t>
            </w:r>
            <w:r>
              <w:t>0</w:t>
            </w:r>
          </w:p>
        </w:tc>
        <w:tc>
          <w:tcPr>
            <w:tcW w:w="1559" w:type="dxa"/>
            <w:vAlign w:val="center"/>
          </w:tcPr>
          <w:p>
            <w:pPr>
              <w:pStyle w:val="38"/>
            </w:pPr>
            <w:r>
              <w:rPr>
                <w:rFonts w:hint="eastAsia"/>
              </w:rPr>
              <w:t>台州湾经济技术开发区</w:t>
            </w:r>
          </w:p>
        </w:tc>
        <w:tc>
          <w:tcPr>
            <w:tcW w:w="6655" w:type="dxa"/>
          </w:tcPr>
          <w:p>
            <w:pPr>
              <w:pStyle w:val="38"/>
              <w:jc w:val="both"/>
            </w:pPr>
            <w:r>
              <w:rPr>
                <w:rFonts w:hint="eastAsia"/>
              </w:rPr>
              <w:t>建设至少1处建筑垃圾转运站，有条件的可建设大型建筑垃圾分拣中心</w:t>
            </w:r>
          </w:p>
        </w:tc>
      </w:tr>
    </w:tbl>
    <w:p>
      <w:pPr>
        <w:ind w:firstLine="640"/>
      </w:pPr>
    </w:p>
    <w:p>
      <w:pPr>
        <w:ind w:firstLine="640"/>
      </w:pPr>
      <w:r>
        <w:rPr>
          <w:rFonts w:hint="eastAsia"/>
        </w:rPr>
        <w:t>（2）选址要求</w:t>
      </w:r>
    </w:p>
    <w:p>
      <w:pPr>
        <w:ind w:firstLine="640"/>
      </w:pPr>
      <w:r>
        <w:rPr>
          <w:rFonts w:hint="eastAsia"/>
        </w:rPr>
        <w:t>结合《临海市国土空间总体规划（2021-2035年）》中的“三区三线”，用地选址避免占用永久基本农田和生态红线等，建筑垃圾转运站的用地性质可以为临时性用地。市自然资源规划局及街道乡镇应当会同市建设局、市综合执法局、台州市生态环境局临海分局等相关部门商定转运站的选址。</w:t>
      </w:r>
    </w:p>
    <w:p>
      <w:pPr>
        <w:pStyle w:val="5"/>
      </w:pPr>
      <w:r>
        <w:rPr>
          <w:rFonts w:hint="eastAsia"/>
        </w:rPr>
        <w:t>运营与维护</w:t>
      </w:r>
    </w:p>
    <w:p>
      <w:pPr>
        <w:ind w:firstLine="640"/>
      </w:pPr>
      <w:r>
        <w:rPr>
          <w:rFonts w:hint="eastAsia"/>
        </w:rPr>
        <w:t>（1）应建立健全各项管理制度，设立专职管理人员，负责日常监管，督促生产运营管理。</w:t>
      </w:r>
    </w:p>
    <w:p>
      <w:pPr>
        <w:ind w:firstLine="640"/>
      </w:pPr>
      <w:r>
        <w:rPr>
          <w:rFonts w:hint="eastAsia"/>
        </w:rPr>
        <w:t>（2）转运车辆进出应执行“一车一单”的制度，经核准证件后，才可放行。</w:t>
      </w:r>
    </w:p>
    <w:p>
      <w:pPr>
        <w:ind w:firstLine="640"/>
      </w:pPr>
      <w:r>
        <w:rPr>
          <w:rFonts w:hint="eastAsia"/>
        </w:rPr>
        <w:t>（3）无关人员不得进入场内进行捡拾废品等活动。</w:t>
      </w:r>
    </w:p>
    <w:p>
      <w:pPr>
        <w:ind w:firstLine="640"/>
      </w:pPr>
      <w:r>
        <w:rPr>
          <w:rFonts w:hint="eastAsia"/>
        </w:rPr>
        <w:t>（4）应配备与规模相适应的分类堆放区、分拣区、作业场地和作业人员。</w:t>
      </w:r>
    </w:p>
    <w:p>
      <w:pPr>
        <w:ind w:firstLine="640"/>
      </w:pPr>
      <w:r>
        <w:rPr>
          <w:rFonts w:hint="eastAsia"/>
        </w:rPr>
        <w:t>（5）应配备相应的作业机械、照明、消防、降尘、降噪、排水等设施设备。</w:t>
      </w:r>
    </w:p>
    <w:p>
      <w:pPr>
        <w:ind w:firstLine="640"/>
      </w:pPr>
      <w:r>
        <w:rPr>
          <w:rFonts w:hint="eastAsia"/>
        </w:rPr>
        <w:t>（6）应定期保养和及时维修站内设备设施。</w:t>
      </w:r>
    </w:p>
    <w:p>
      <w:pPr>
        <w:ind w:firstLine="640"/>
      </w:pPr>
      <w:r>
        <w:rPr>
          <w:rFonts w:hint="eastAsia"/>
        </w:rPr>
        <w:t>（7）进场的建筑垃圾应根据工程渣土、工程泥浆、工程垃圾、拆除垃圾和装饰装修垃圾分类堆放，并设置明显的分类堆放标志。</w:t>
      </w:r>
    </w:p>
    <w:p>
      <w:pPr>
        <w:ind w:firstLine="640"/>
      </w:pPr>
      <w:r>
        <w:rPr>
          <w:rFonts w:hint="eastAsia"/>
        </w:rPr>
        <w:t>（8）堆放区可采取室内或露天方式，露天堆放的建筑垃圾应及时遮盖。</w:t>
      </w:r>
    </w:p>
    <w:p>
      <w:pPr>
        <w:pStyle w:val="2"/>
      </w:pPr>
      <w:bookmarkStart w:id="205" w:name="_Toc167461392"/>
      <w:bookmarkStart w:id="206" w:name="_Toc168062406"/>
      <w:r>
        <w:rPr>
          <w:rFonts w:hint="eastAsia"/>
        </w:rPr>
        <w:t>建筑垃圾利用及处置规划</w:t>
      </w:r>
      <w:bookmarkEnd w:id="205"/>
      <w:bookmarkEnd w:id="206"/>
    </w:p>
    <w:p>
      <w:pPr>
        <w:pStyle w:val="3"/>
      </w:pPr>
      <w:bookmarkStart w:id="207" w:name="_Toc167461393"/>
      <w:bookmarkStart w:id="208" w:name="_Toc168062407"/>
      <w:r>
        <w:rPr>
          <w:rFonts w:hint="eastAsia"/>
        </w:rPr>
        <w:t>建筑垃圾直接利用</w:t>
      </w:r>
      <w:bookmarkEnd w:id="207"/>
      <w:bookmarkEnd w:id="208"/>
    </w:p>
    <w:p>
      <w:pPr>
        <w:ind w:firstLine="640"/>
      </w:pPr>
      <w:bookmarkStart w:id="209" w:name="_Hlk168063314"/>
      <w:r>
        <w:rPr>
          <w:rFonts w:hint="eastAsia"/>
        </w:rPr>
        <w:t>直接利用是指将建筑垃圾直接用于土方平衡、林业用土、环境治理、路基填垫、山体修复、堆坡造景、绿地覆土等的利用方式。结合临海市实际情况，规划直接利用方式主要采用施工场地回填、绿地覆土等</w:t>
      </w:r>
      <w:bookmarkEnd w:id="209"/>
      <w:r>
        <w:rPr>
          <w:rFonts w:hint="eastAsia"/>
        </w:rPr>
        <w:t>。</w:t>
      </w:r>
    </w:p>
    <w:p>
      <w:pPr>
        <w:pStyle w:val="3"/>
      </w:pPr>
      <w:bookmarkStart w:id="210" w:name="_Toc167461394"/>
      <w:bookmarkStart w:id="211" w:name="_Toc168062408"/>
      <w:r>
        <w:rPr>
          <w:rFonts w:hint="eastAsia"/>
        </w:rPr>
        <w:t>建筑垃圾资源化利用</w:t>
      </w:r>
      <w:bookmarkEnd w:id="210"/>
      <w:bookmarkEnd w:id="211"/>
    </w:p>
    <w:p>
      <w:pPr>
        <w:pStyle w:val="30"/>
      </w:pPr>
      <w:r>
        <w:rPr>
          <w:rFonts w:hint="eastAsia"/>
        </w:rPr>
        <w:t>制造再生骨料</w:t>
      </w:r>
    </w:p>
    <w:p>
      <w:pPr>
        <w:ind w:firstLine="640"/>
      </w:pPr>
      <w:r>
        <w:rPr>
          <w:rFonts w:hint="eastAsia"/>
        </w:rPr>
        <w:t>通过对建筑垃圾科学的分类、分拣、破碎及筛分，分选出砂粒（含泥一般需小于3%），用作建筑用砂（其应符合国家标准《建设用砂》（GB/T14684-2022）等相关标准要求）、细骨料、粗骨料。此外，市场还存在有将分离出的黏土与园林垃圾腐殖质土混合制备园林种植土的资源化利用方式。</w:t>
      </w:r>
    </w:p>
    <w:p>
      <w:pPr>
        <w:pStyle w:val="30"/>
      </w:pPr>
      <w:r>
        <w:rPr>
          <w:rFonts w:hint="eastAsia"/>
        </w:rPr>
        <w:t>制造再生建材</w:t>
      </w:r>
    </w:p>
    <w:p>
      <w:pPr>
        <w:ind w:firstLine="640"/>
      </w:pPr>
      <w:r>
        <w:rPr>
          <w:rFonts w:hint="eastAsia"/>
        </w:rPr>
        <w:t>利用建筑垃圾制造再生建材是贯彻资源化和综合化利用原则的重要手段，让建筑垃圾变身“城市矿山”。通过对建筑垃圾的分类、分拣、破碎及筛分后，结合各种产品质量要求，加入适量的水泥和添加剂，生产出各种新型环保建材。利用建筑垃圾制造建材，既能消纳建筑垃圾，又能为社会创造效益，变废为宝，是循环经济的重要体现，适合大力推广应用。</w:t>
      </w:r>
    </w:p>
    <w:p>
      <w:pPr>
        <w:pStyle w:val="30"/>
      </w:pPr>
      <w:r>
        <w:rPr>
          <w:rFonts w:hint="eastAsia"/>
        </w:rPr>
        <w:t>环保烧结</w:t>
      </w:r>
    </w:p>
    <w:p>
      <w:pPr>
        <w:ind w:firstLine="640"/>
      </w:pPr>
      <w:r>
        <w:rPr>
          <w:rFonts w:hint="eastAsia"/>
        </w:rPr>
        <w:t>工程渣土的主要组成成分以黏土、粉质黏土或页岩为主，而这些成分是生产环保再生砖的主要原料，经过合理的环保烧结工艺设计可生产形成各种性能优异的新型环保建材。工艺流程主要包括原材料制备、坯体成型、湿坯干燥和成品坯烧四个主要环节，其生产的产品需符合《环保烧结普通砖》（GB/T5101-2017）、《环保烧结空心砖和空心砌块》（GB/T13545-2014）等烧结制品相关标准要求。</w:t>
      </w:r>
    </w:p>
    <w:p>
      <w:pPr>
        <w:pStyle w:val="3"/>
      </w:pPr>
      <w:bookmarkStart w:id="212" w:name="_Toc167461395"/>
      <w:bookmarkStart w:id="213" w:name="_Toc168062409"/>
      <w:r>
        <w:rPr>
          <w:rFonts w:hint="eastAsia"/>
        </w:rPr>
        <w:t>建筑垃圾处置</w:t>
      </w:r>
      <w:bookmarkEnd w:id="212"/>
      <w:bookmarkEnd w:id="213"/>
    </w:p>
    <w:p>
      <w:pPr>
        <w:pStyle w:val="30"/>
      </w:pPr>
      <w:r>
        <w:rPr>
          <w:rFonts w:hint="eastAsia"/>
        </w:rPr>
        <w:t>总体处置方式</w:t>
      </w:r>
    </w:p>
    <w:p>
      <w:pPr>
        <w:ind w:firstLine="640"/>
      </w:pPr>
      <w:r>
        <w:rPr>
          <w:rFonts w:hint="eastAsia"/>
        </w:rPr>
        <w:t>本次规划综合考虑临海市城市发展速度与建筑垃圾集中处理设施的供地能力，处理方式规划的总体路线是资源化利用与综合利用（堆填、小区绿化、造田造地等）相结合。</w:t>
      </w:r>
    </w:p>
    <w:p>
      <w:pPr>
        <w:ind w:firstLine="640"/>
      </w:pPr>
      <w:r>
        <w:rPr>
          <w:rFonts w:hint="eastAsia"/>
        </w:rPr>
        <w:t>结合目前临海市建筑垃圾产生及排放现状，提出各类建筑垃圾处置方式如下所示：</w:t>
      </w:r>
    </w:p>
    <w:p>
      <w:pPr>
        <w:pStyle w:val="36"/>
      </w:pPr>
      <w:r>
        <w:rPr>
          <w:rFonts w:hint="eastAsia"/>
        </w:rPr>
        <w:t>表</w:t>
      </w:r>
      <w:r>
        <w:t xml:space="preserve"> </w:t>
      </w:r>
      <w:r>
        <w:fldChar w:fldCharType="begin"/>
      </w:r>
      <w:r>
        <w:instrText xml:space="preserve"> STYLEREF 2 \s </w:instrText>
      </w:r>
      <w:r>
        <w:fldChar w:fldCharType="separate"/>
      </w:r>
      <w:r>
        <w:t>8.3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1</w:t>
      </w:r>
      <w:r>
        <w:fldChar w:fldCharType="end"/>
      </w:r>
      <w:r>
        <w:rPr>
          <w:rFonts w:hint="eastAsia"/>
        </w:rPr>
        <w:t>建筑垃圾处置方式规划</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864"/>
        <w:gridCol w:w="5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638" w:type="pct"/>
            <w:vAlign w:val="center"/>
          </w:tcPr>
          <w:p>
            <w:pPr>
              <w:pStyle w:val="38"/>
            </w:pPr>
            <w:r>
              <w:rPr>
                <w:rFonts w:hint="eastAsia"/>
              </w:rPr>
              <w:t>序号</w:t>
            </w:r>
          </w:p>
        </w:tc>
        <w:tc>
          <w:tcPr>
            <w:tcW w:w="1542" w:type="pct"/>
            <w:vAlign w:val="center"/>
          </w:tcPr>
          <w:p>
            <w:pPr>
              <w:pStyle w:val="38"/>
            </w:pPr>
            <w:r>
              <w:rPr>
                <w:rFonts w:hint="eastAsia"/>
              </w:rPr>
              <w:t>建筑垃圾类别</w:t>
            </w:r>
          </w:p>
        </w:tc>
        <w:tc>
          <w:tcPr>
            <w:tcW w:w="2820" w:type="pct"/>
            <w:vAlign w:val="center"/>
          </w:tcPr>
          <w:p>
            <w:pPr>
              <w:pStyle w:val="38"/>
            </w:pPr>
            <w:r>
              <w:rPr>
                <w:rFonts w:hint="eastAsia"/>
              </w:rPr>
              <w:t>主要处理方式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pPr>
              <w:pStyle w:val="38"/>
            </w:pPr>
            <w:r>
              <w:t>1</w:t>
            </w:r>
          </w:p>
        </w:tc>
        <w:tc>
          <w:tcPr>
            <w:tcW w:w="1542" w:type="pct"/>
            <w:vAlign w:val="center"/>
          </w:tcPr>
          <w:p>
            <w:pPr>
              <w:pStyle w:val="38"/>
            </w:pPr>
            <w:bookmarkStart w:id="214" w:name="_Hlk168063422"/>
            <w:r>
              <w:rPr>
                <w:rFonts w:hint="eastAsia"/>
              </w:rPr>
              <w:t>工程垃圾</w:t>
            </w:r>
            <w:bookmarkEnd w:id="214"/>
          </w:p>
        </w:tc>
        <w:tc>
          <w:tcPr>
            <w:tcW w:w="2820" w:type="pct"/>
            <w:vAlign w:val="center"/>
          </w:tcPr>
          <w:p>
            <w:pPr>
              <w:pStyle w:val="38"/>
            </w:pPr>
            <w:bookmarkStart w:id="215" w:name="_Hlk168063429"/>
            <w:r>
              <w:rPr>
                <w:rFonts w:hint="eastAsia"/>
              </w:rPr>
              <w:t>资源化利用、综合利用</w:t>
            </w:r>
            <w:bookmarkEnd w:id="2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pPr>
              <w:pStyle w:val="38"/>
            </w:pPr>
            <w:r>
              <w:t>2</w:t>
            </w:r>
          </w:p>
        </w:tc>
        <w:tc>
          <w:tcPr>
            <w:tcW w:w="1542" w:type="pct"/>
            <w:vAlign w:val="center"/>
          </w:tcPr>
          <w:p>
            <w:pPr>
              <w:pStyle w:val="38"/>
            </w:pPr>
            <w:bookmarkStart w:id="216" w:name="_Hlk168063445"/>
            <w:r>
              <w:rPr>
                <w:rFonts w:hint="eastAsia"/>
              </w:rPr>
              <w:t>拆除垃圾</w:t>
            </w:r>
            <w:bookmarkEnd w:id="216"/>
          </w:p>
        </w:tc>
        <w:tc>
          <w:tcPr>
            <w:tcW w:w="2820" w:type="pct"/>
            <w:vAlign w:val="center"/>
          </w:tcPr>
          <w:p>
            <w:pPr>
              <w:pStyle w:val="38"/>
            </w:pPr>
            <w:bookmarkStart w:id="217" w:name="_Hlk168063456"/>
            <w:r>
              <w:rPr>
                <w:rFonts w:hint="eastAsia"/>
              </w:rPr>
              <w:t>资源化利用、综合利用</w:t>
            </w:r>
            <w:bookmarkEnd w:id="2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pPr>
              <w:pStyle w:val="38"/>
            </w:pPr>
            <w:r>
              <w:t>3</w:t>
            </w:r>
          </w:p>
        </w:tc>
        <w:tc>
          <w:tcPr>
            <w:tcW w:w="1542" w:type="pct"/>
            <w:vAlign w:val="center"/>
          </w:tcPr>
          <w:p>
            <w:pPr>
              <w:pStyle w:val="38"/>
            </w:pPr>
            <w:bookmarkStart w:id="218" w:name="_Hlk168063465"/>
            <w:r>
              <w:rPr>
                <w:rFonts w:hint="eastAsia"/>
              </w:rPr>
              <w:t>装修垃圾</w:t>
            </w:r>
            <w:bookmarkEnd w:id="218"/>
          </w:p>
        </w:tc>
        <w:tc>
          <w:tcPr>
            <w:tcW w:w="2820" w:type="pct"/>
            <w:vAlign w:val="center"/>
          </w:tcPr>
          <w:p>
            <w:pPr>
              <w:pStyle w:val="38"/>
            </w:pPr>
            <w:bookmarkStart w:id="219" w:name="_Hlk168063475"/>
            <w:r>
              <w:rPr>
                <w:rFonts w:hint="eastAsia"/>
              </w:rPr>
              <w:t>分类处理、资源化利用</w:t>
            </w:r>
            <w:bookmarkEnd w:id="2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pPr>
              <w:pStyle w:val="38"/>
            </w:pPr>
            <w:r>
              <w:t>4</w:t>
            </w:r>
          </w:p>
        </w:tc>
        <w:tc>
          <w:tcPr>
            <w:tcW w:w="1542" w:type="pct"/>
            <w:vAlign w:val="center"/>
          </w:tcPr>
          <w:p>
            <w:pPr>
              <w:pStyle w:val="38"/>
            </w:pPr>
            <w:bookmarkStart w:id="220" w:name="_Hlk168063485"/>
            <w:r>
              <w:rPr>
                <w:rFonts w:hint="eastAsia"/>
              </w:rPr>
              <w:t>工程渣土</w:t>
            </w:r>
            <w:bookmarkEnd w:id="220"/>
          </w:p>
        </w:tc>
        <w:tc>
          <w:tcPr>
            <w:tcW w:w="2820" w:type="pct"/>
            <w:vAlign w:val="center"/>
          </w:tcPr>
          <w:p>
            <w:pPr>
              <w:pStyle w:val="38"/>
            </w:pPr>
            <w:bookmarkStart w:id="221" w:name="_Hlk168063491"/>
            <w:r>
              <w:rPr>
                <w:rFonts w:hint="eastAsia"/>
              </w:rPr>
              <w:t>资源化利用、综合利用</w:t>
            </w:r>
            <w:bookmarkEnd w:id="2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pPr>
              <w:pStyle w:val="38"/>
            </w:pPr>
            <w:r>
              <w:t>5</w:t>
            </w:r>
          </w:p>
        </w:tc>
        <w:tc>
          <w:tcPr>
            <w:tcW w:w="1542" w:type="pct"/>
            <w:vAlign w:val="center"/>
          </w:tcPr>
          <w:p>
            <w:pPr>
              <w:pStyle w:val="38"/>
            </w:pPr>
            <w:bookmarkStart w:id="222" w:name="_Hlk168063499"/>
            <w:r>
              <w:rPr>
                <w:rFonts w:hint="eastAsia"/>
              </w:rPr>
              <w:t>工程泥浆</w:t>
            </w:r>
            <w:bookmarkEnd w:id="222"/>
          </w:p>
        </w:tc>
        <w:tc>
          <w:tcPr>
            <w:tcW w:w="2820" w:type="pct"/>
            <w:vAlign w:val="center"/>
          </w:tcPr>
          <w:p>
            <w:pPr>
              <w:pStyle w:val="38"/>
            </w:pPr>
            <w:bookmarkStart w:id="223" w:name="_Hlk168063504"/>
            <w:r>
              <w:rPr>
                <w:rFonts w:hint="eastAsia"/>
              </w:rPr>
              <w:t>泥浆固化企业进行综合利用</w:t>
            </w:r>
            <w:bookmarkEnd w:id="223"/>
          </w:p>
        </w:tc>
      </w:tr>
    </w:tbl>
    <w:p>
      <w:pPr>
        <w:pStyle w:val="30"/>
      </w:pPr>
      <w:r>
        <w:rPr>
          <w:rFonts w:hint="eastAsia"/>
        </w:rPr>
        <w:t>工程渣土处置规划</w:t>
      </w:r>
    </w:p>
    <w:p>
      <w:pPr>
        <w:ind w:firstLine="643"/>
        <w:rPr>
          <w:b/>
          <w:bCs/>
        </w:rPr>
      </w:pPr>
      <w:r>
        <w:rPr>
          <w:b/>
          <w:bCs/>
        </w:rPr>
        <w:t>1</w:t>
      </w:r>
      <w:r>
        <w:rPr>
          <w:rFonts w:hint="eastAsia"/>
          <w:b/>
          <w:bCs/>
        </w:rPr>
        <w:t>、消纳策略</w:t>
      </w:r>
    </w:p>
    <w:p>
      <w:pPr>
        <w:ind w:firstLine="643"/>
        <w:rPr>
          <w:b/>
          <w:bCs/>
        </w:rPr>
      </w:pPr>
      <w:r>
        <w:rPr>
          <w:rFonts w:hint="eastAsia"/>
          <w:b/>
          <w:bCs/>
        </w:rPr>
        <w:t>（</w:t>
      </w:r>
      <w:r>
        <w:rPr>
          <w:b/>
          <w:bCs/>
        </w:rPr>
        <w:t>1</w:t>
      </w:r>
      <w:r>
        <w:rPr>
          <w:rFonts w:hint="eastAsia"/>
          <w:b/>
          <w:bCs/>
        </w:rPr>
        <w:t>）先用后弃（埋）</w:t>
      </w:r>
    </w:p>
    <w:p>
      <w:pPr>
        <w:ind w:firstLine="640"/>
      </w:pPr>
      <w:r>
        <w:rPr>
          <w:rFonts w:hint="eastAsia"/>
        </w:rPr>
        <w:t>先用后弃（埋）指将渣土作为“资源”看待，优先考虑产生渣土的资源化利用，接着再考虑填埋或其他处理处置方式。将可资源化利用的工程渣土运送至建筑垃圾资源化厂内进行资源化处理。现有建筑垃圾资源化处理方式有：①生产陶粒砖。砖头、瓦砾、灰渣、混凝土块等建筑垃圾经粉碎混合压模后，成型成砖；②生产黏土砖。将优质黏土集中堆放，在堆放地建设黏土制砖厂，研发直接利用工程渣土制砖技术；③生产再生骨料。优质的粉砂、砂土，经筛选、水选工艺除垢后，其性能满足现行国家标准《混凝土和砂浆用再生细骨料》</w:t>
      </w:r>
      <w:r>
        <w:t xml:space="preserve">GB/T25176 </w:t>
      </w:r>
      <w:r>
        <w:rPr>
          <w:rFonts w:hint="eastAsia"/>
        </w:rPr>
        <w:t>的规定时，可用作制备混凝土、砂浆的细骨料；④道路建设。利用工程渣土的再生利用技术，将工程渣土用于道路建设等。目前，我国在工程渣土再生利用的过程中，主要是将其应用到道路路基施工工程中，用工程渣土来代替道路路基施工工程中的一些施工材料，从而降低道路路基施工成本，减少工程渣土对城市各个方面的污染，美化城市，改善城市生态环境，提高建筑垃圾再利用的经济效益与社会效益。工程渣土通过简单技术处理后，强度变高、稳定性变好，是性能优良的道路路基填料。采用水泥改性、水泥粉煤灰或石灰粉煤灰综合改性后的工程渣土，能改变土的性质，随着石灰掺加量的增多，工程渣土细料也会得到增大，密度则减小，而含水量增加，是性能优良的道路路基填料。</w:t>
      </w:r>
    </w:p>
    <w:p>
      <w:pPr>
        <w:ind w:firstLine="640"/>
      </w:pPr>
      <w:r>
        <w:rPr>
          <w:rFonts w:hint="eastAsia"/>
        </w:rPr>
        <w:t>临海市现有工程渣土资源化利用企业</w:t>
      </w:r>
      <w:r>
        <w:rPr>
          <w:rFonts w:hint="eastAsia"/>
          <w:highlight w:val="yellow"/>
        </w:rPr>
        <w:t>7家</w:t>
      </w:r>
      <w:r>
        <w:rPr>
          <w:rFonts w:hint="eastAsia"/>
        </w:rPr>
        <w:t>，主要产品为页岩砖，年处置能力约</w:t>
      </w:r>
      <w:r>
        <w:rPr>
          <w:rFonts w:hint="eastAsia"/>
          <w:highlight w:val="yellow"/>
        </w:rPr>
        <w:t>104万吨</w:t>
      </w:r>
      <w:r>
        <w:rPr>
          <w:rFonts w:hint="eastAsia"/>
        </w:rPr>
        <w:t>。基本满足临海市近期渣土年利用量要求。</w:t>
      </w:r>
    </w:p>
    <w:p>
      <w:pPr>
        <w:pStyle w:val="36"/>
      </w:pPr>
      <w:r>
        <w:t xml:space="preserve">表 </w:t>
      </w:r>
      <w:r>
        <w:fldChar w:fldCharType="begin"/>
      </w:r>
      <w:r>
        <w:instrText xml:space="preserve"> STYLEREF 1 \s </w:instrText>
      </w:r>
      <w:r>
        <w:fldChar w:fldCharType="separate"/>
      </w:r>
      <w:r>
        <w:t>8</w:t>
      </w:r>
      <w:r>
        <w:fldChar w:fldCharType="end"/>
      </w:r>
      <w:r>
        <w:noBreakHyphen/>
      </w:r>
      <w:r>
        <w:fldChar w:fldCharType="begin"/>
      </w:r>
      <w:r>
        <w:instrText xml:space="preserve"> SEQ 表 \* ARABIC \s 1 </w:instrText>
      </w:r>
      <w:r>
        <w:fldChar w:fldCharType="separate"/>
      </w:r>
      <w:r>
        <w:t>2</w:t>
      </w:r>
      <w:r>
        <w:fldChar w:fldCharType="end"/>
      </w:r>
      <w:r>
        <w:t xml:space="preserve"> </w:t>
      </w:r>
      <w:r>
        <w:rPr>
          <w:rFonts w:hint="eastAsia"/>
        </w:rPr>
        <w:t>临海市工程渣土资源化利用企业一览表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3116"/>
        <w:gridCol w:w="1842"/>
        <w:gridCol w:w="1599"/>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00" w:type="pct"/>
            <w:vAlign w:val="center"/>
          </w:tcPr>
          <w:p>
            <w:pPr>
              <w:pStyle w:val="38"/>
            </w:pPr>
            <w:r>
              <w:rPr>
                <w:rFonts w:hint="eastAsia"/>
              </w:rPr>
              <w:t>序号</w:t>
            </w:r>
          </w:p>
        </w:tc>
        <w:tc>
          <w:tcPr>
            <w:tcW w:w="1678" w:type="pct"/>
            <w:vAlign w:val="center"/>
          </w:tcPr>
          <w:p>
            <w:pPr>
              <w:pStyle w:val="38"/>
            </w:pPr>
            <w:r>
              <w:rPr>
                <w:rFonts w:hint="eastAsia"/>
              </w:rPr>
              <w:t>企业名称</w:t>
            </w:r>
          </w:p>
        </w:tc>
        <w:tc>
          <w:tcPr>
            <w:tcW w:w="992" w:type="pct"/>
            <w:vAlign w:val="center"/>
          </w:tcPr>
          <w:p>
            <w:pPr>
              <w:pStyle w:val="38"/>
            </w:pPr>
            <w:r>
              <w:rPr>
                <w:rFonts w:hint="eastAsia"/>
              </w:rPr>
              <w:t>处理方式</w:t>
            </w:r>
          </w:p>
        </w:tc>
        <w:tc>
          <w:tcPr>
            <w:tcW w:w="861" w:type="pct"/>
            <w:vAlign w:val="center"/>
          </w:tcPr>
          <w:p>
            <w:pPr>
              <w:pStyle w:val="38"/>
            </w:pPr>
            <w:r>
              <w:rPr>
                <w:rFonts w:hint="eastAsia"/>
              </w:rPr>
              <w:t>占地面积</w:t>
            </w:r>
          </w:p>
          <w:p>
            <w:pPr>
              <w:pStyle w:val="38"/>
            </w:pPr>
            <w:r>
              <w:rPr>
                <w:rFonts w:hint="eastAsia"/>
              </w:rPr>
              <w:t>（平方米）</w:t>
            </w:r>
          </w:p>
        </w:tc>
        <w:tc>
          <w:tcPr>
            <w:tcW w:w="1169" w:type="pct"/>
            <w:vAlign w:val="center"/>
          </w:tcPr>
          <w:p>
            <w:pPr>
              <w:pStyle w:val="38"/>
            </w:pPr>
            <w:r>
              <w:rPr>
                <w:rFonts w:hint="eastAsia"/>
              </w:rPr>
              <w:t>年设计处理能力（吨）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1</w:t>
            </w:r>
          </w:p>
        </w:tc>
        <w:tc>
          <w:tcPr>
            <w:tcW w:w="1678" w:type="pct"/>
            <w:vAlign w:val="center"/>
          </w:tcPr>
          <w:p>
            <w:pPr>
              <w:pStyle w:val="38"/>
            </w:pPr>
            <w:r>
              <w:rPr>
                <w:rFonts w:hint="eastAsia"/>
              </w:rPr>
              <w:t>临海市恒泰新型墙体材料有限公司</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30000</w:t>
            </w:r>
          </w:p>
        </w:tc>
        <w:tc>
          <w:tcPr>
            <w:tcW w:w="1169" w:type="pct"/>
            <w:vAlign w:val="center"/>
          </w:tcPr>
          <w:p>
            <w:pPr>
              <w:pStyle w:val="38"/>
            </w:pPr>
            <w:r>
              <w:rPr>
                <w:rFonts w:hint="eastAsia"/>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2</w:t>
            </w:r>
          </w:p>
        </w:tc>
        <w:tc>
          <w:tcPr>
            <w:tcW w:w="1678" w:type="pct"/>
            <w:vAlign w:val="center"/>
          </w:tcPr>
          <w:p>
            <w:pPr>
              <w:pStyle w:val="38"/>
            </w:pPr>
            <w:r>
              <w:rPr>
                <w:rFonts w:hint="eastAsia"/>
              </w:rPr>
              <w:t>临海市里洋建材厂</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26666</w:t>
            </w:r>
          </w:p>
        </w:tc>
        <w:tc>
          <w:tcPr>
            <w:tcW w:w="1169" w:type="pct"/>
            <w:vAlign w:val="center"/>
          </w:tcPr>
          <w:p>
            <w:pPr>
              <w:pStyle w:val="38"/>
            </w:pPr>
            <w:r>
              <w:rPr>
                <w:rFonts w:hint="eastAsia"/>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3</w:t>
            </w:r>
          </w:p>
        </w:tc>
        <w:tc>
          <w:tcPr>
            <w:tcW w:w="1678" w:type="pct"/>
            <w:vAlign w:val="center"/>
          </w:tcPr>
          <w:p>
            <w:pPr>
              <w:pStyle w:val="38"/>
            </w:pPr>
            <w:r>
              <w:rPr>
                <w:rFonts w:hint="eastAsia"/>
              </w:rPr>
              <w:t>临海市岙坑建材厂</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33333</w:t>
            </w:r>
          </w:p>
        </w:tc>
        <w:tc>
          <w:tcPr>
            <w:tcW w:w="1169" w:type="pct"/>
            <w:vAlign w:val="center"/>
          </w:tcPr>
          <w:p>
            <w:pPr>
              <w:pStyle w:val="38"/>
            </w:pPr>
            <w:r>
              <w:rPr>
                <w:rFonts w:hint="eastAsia"/>
              </w:rPr>
              <w:t>192000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4</w:t>
            </w:r>
          </w:p>
        </w:tc>
        <w:tc>
          <w:tcPr>
            <w:tcW w:w="1678" w:type="pct"/>
            <w:vAlign w:val="center"/>
          </w:tcPr>
          <w:p>
            <w:pPr>
              <w:pStyle w:val="38"/>
            </w:pPr>
            <w:r>
              <w:rPr>
                <w:rFonts w:hint="eastAsia"/>
              </w:rPr>
              <w:t>临海市邵家渡前湾轮窑厂</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33333</w:t>
            </w:r>
          </w:p>
        </w:tc>
        <w:tc>
          <w:tcPr>
            <w:tcW w:w="1169" w:type="pct"/>
            <w:vAlign w:val="center"/>
          </w:tcPr>
          <w:p>
            <w:pPr>
              <w:pStyle w:val="38"/>
            </w:pPr>
            <w:r>
              <w:rPr>
                <w:rFonts w:hint="eastAsia"/>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5</w:t>
            </w:r>
          </w:p>
        </w:tc>
        <w:tc>
          <w:tcPr>
            <w:tcW w:w="1678" w:type="pct"/>
            <w:vAlign w:val="center"/>
          </w:tcPr>
          <w:p>
            <w:pPr>
              <w:pStyle w:val="38"/>
            </w:pPr>
            <w:r>
              <w:rPr>
                <w:rFonts w:hint="eastAsia"/>
              </w:rPr>
              <w:t>临海市冠福建材有限公司</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36666</w:t>
            </w:r>
          </w:p>
        </w:tc>
        <w:tc>
          <w:tcPr>
            <w:tcW w:w="1169" w:type="pct"/>
            <w:vAlign w:val="center"/>
          </w:tcPr>
          <w:p>
            <w:pPr>
              <w:pStyle w:val="38"/>
            </w:pPr>
            <w:r>
              <w:rPr>
                <w:rFonts w:hint="eastAsia"/>
              </w:rPr>
              <w:t>176000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pPr>
            <w:r>
              <w:rPr>
                <w:rFonts w:hint="eastAsia"/>
              </w:rPr>
              <w:t>6</w:t>
            </w:r>
          </w:p>
        </w:tc>
        <w:tc>
          <w:tcPr>
            <w:tcW w:w="1678" w:type="pct"/>
            <w:vAlign w:val="center"/>
          </w:tcPr>
          <w:p>
            <w:pPr>
              <w:pStyle w:val="38"/>
            </w:pPr>
            <w:r>
              <w:rPr>
                <w:rFonts w:hint="eastAsia"/>
              </w:rPr>
              <w:t>临海市宇源页岩建材厂</w:t>
            </w:r>
          </w:p>
        </w:tc>
        <w:tc>
          <w:tcPr>
            <w:tcW w:w="992" w:type="pct"/>
            <w:vAlign w:val="center"/>
          </w:tcPr>
          <w:p>
            <w:pPr>
              <w:pStyle w:val="38"/>
            </w:pPr>
            <w:r>
              <w:rPr>
                <w:rFonts w:hint="eastAsia"/>
              </w:rPr>
              <w:t>生产成品砖</w:t>
            </w:r>
          </w:p>
        </w:tc>
        <w:tc>
          <w:tcPr>
            <w:tcW w:w="861" w:type="pct"/>
            <w:vAlign w:val="center"/>
          </w:tcPr>
          <w:p>
            <w:pPr>
              <w:pStyle w:val="38"/>
            </w:pPr>
            <w:r>
              <w:rPr>
                <w:rFonts w:hint="eastAsia"/>
              </w:rPr>
              <w:t>40000</w:t>
            </w:r>
          </w:p>
        </w:tc>
        <w:tc>
          <w:tcPr>
            <w:tcW w:w="1169" w:type="pct"/>
            <w:vAlign w:val="center"/>
          </w:tcPr>
          <w:p>
            <w:pPr>
              <w:pStyle w:val="38"/>
            </w:pPr>
            <w:r>
              <w:rPr>
                <w:rFonts w:hint="eastAsia"/>
              </w:rPr>
              <w:t>192000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pct"/>
            <w:vAlign w:val="center"/>
          </w:tcPr>
          <w:p>
            <w:pPr>
              <w:pStyle w:val="38"/>
              <w:rPr>
                <w:rFonts w:hint="eastAsia"/>
                <w:highlight w:val="yellow"/>
              </w:rPr>
            </w:pPr>
            <w:r>
              <w:rPr>
                <w:rFonts w:hint="eastAsia"/>
                <w:highlight w:val="yellow"/>
              </w:rPr>
              <w:t>7</w:t>
            </w:r>
          </w:p>
        </w:tc>
        <w:tc>
          <w:tcPr>
            <w:tcW w:w="1678" w:type="pct"/>
            <w:vAlign w:val="center"/>
          </w:tcPr>
          <w:p>
            <w:pPr>
              <w:pStyle w:val="38"/>
              <w:rPr>
                <w:rFonts w:hint="eastAsia"/>
                <w:highlight w:val="yellow"/>
              </w:rPr>
            </w:pPr>
            <w:r>
              <w:rPr>
                <w:rFonts w:hint="eastAsia"/>
                <w:highlight w:val="yellow"/>
              </w:rPr>
              <w:t>临海市红发建筑材料/</w:t>
            </w:r>
          </w:p>
        </w:tc>
        <w:tc>
          <w:tcPr>
            <w:tcW w:w="992" w:type="pct"/>
            <w:vAlign w:val="center"/>
          </w:tcPr>
          <w:p>
            <w:pPr>
              <w:pStyle w:val="38"/>
              <w:rPr>
                <w:rFonts w:hint="eastAsia"/>
                <w:highlight w:val="yellow"/>
              </w:rPr>
            </w:pPr>
            <w:r>
              <w:rPr>
                <w:rFonts w:hint="eastAsia"/>
                <w:highlight w:val="yellow"/>
              </w:rPr>
              <w:t>生产成品砖</w:t>
            </w:r>
          </w:p>
        </w:tc>
        <w:tc>
          <w:tcPr>
            <w:tcW w:w="861" w:type="pct"/>
            <w:vAlign w:val="center"/>
          </w:tcPr>
          <w:p>
            <w:pPr>
              <w:pStyle w:val="38"/>
              <w:rPr>
                <w:rFonts w:hint="eastAsia"/>
                <w:highlight w:val="yellow"/>
              </w:rPr>
            </w:pPr>
            <w:r>
              <w:rPr>
                <w:rFonts w:hint="eastAsia"/>
                <w:highlight w:val="yellow"/>
              </w:rPr>
              <w:t>33333</w:t>
            </w:r>
          </w:p>
        </w:tc>
        <w:tc>
          <w:tcPr>
            <w:tcW w:w="1169" w:type="pct"/>
            <w:vAlign w:val="center"/>
          </w:tcPr>
          <w:p>
            <w:pPr>
              <w:pStyle w:val="38"/>
              <w:rPr>
                <w:rFonts w:hint="eastAsia"/>
                <w:highlight w:val="yellow"/>
              </w:rPr>
            </w:pPr>
            <w:r>
              <w:rPr>
                <w:rFonts w:hint="eastAsia"/>
                <w:highlight w:val="yellow"/>
              </w:rPr>
              <w:t>60000</w:t>
            </w:r>
          </w:p>
        </w:tc>
      </w:tr>
    </w:tbl>
    <w:p>
      <w:pPr>
        <w:ind w:firstLine="643"/>
        <w:rPr>
          <w:b/>
          <w:bCs/>
        </w:rPr>
      </w:pPr>
      <w:r>
        <w:rPr>
          <w:rFonts w:hint="eastAsia"/>
          <w:b/>
          <w:bCs/>
        </w:rPr>
        <w:t>（</w:t>
      </w:r>
      <w:r>
        <w:rPr>
          <w:b/>
          <w:bCs/>
        </w:rPr>
        <w:t>2</w:t>
      </w:r>
      <w:r>
        <w:rPr>
          <w:rFonts w:hint="eastAsia"/>
          <w:b/>
          <w:bCs/>
        </w:rPr>
        <w:t>）动态平衡</w:t>
      </w:r>
    </w:p>
    <w:p>
      <w:pPr>
        <w:ind w:firstLine="640"/>
      </w:pPr>
      <w:r>
        <w:rPr>
          <w:rFonts w:hint="eastAsia"/>
        </w:rPr>
        <w:t>动态平衡指结合渣土的出土和土方的需求的时序，进行渣土的综合再利用。</w:t>
      </w:r>
    </w:p>
    <w:p>
      <w:pPr>
        <w:ind w:firstLine="640"/>
      </w:pPr>
      <w:r>
        <w:rPr>
          <w:rFonts w:hint="eastAsia"/>
        </w:rPr>
        <w:t>工程渣土采用回填的方法，以市场动态平衡为主。回填的区域，一是需要渣土的施工工地或单位，例如：河堤，湖堤土石坝的内测闭气土可采用渗透性低的淤泥、黏土；生活垃圾填埋场的封场用土，根据封场土层构造选择相应类别；大型填方工程可选用有利于保持填方边坡稳定的粉砂土、卵砾石等渣土等等；二是在公园、街头绿地等堆山造景，形成一定高度的假山，建设公园、街头绿地新的观景制高点，营造公园、绿地高低起伏、曲径通幽的格局气势，打造都市“搂绿天际线”；三是根据防洪规划、竖向规划，对需要提高标高的区域进行整体平填；四是造田造地区域，通过渣土回填，将未利用或利用不充分的土地上改造成为能充分合理利用的土地，提高土地的利用率。回填的利用方式，最关键的是供需信息的共享，需要建设、规划与自然资源、国土资源、城市管理等管理部门相互协调，使得工程渣土有适宜的使用渠道，节约大量土地。</w:t>
      </w:r>
    </w:p>
    <w:p>
      <w:pPr>
        <w:pStyle w:val="30"/>
      </w:pPr>
      <w:r>
        <w:rPr>
          <w:rFonts w:hint="eastAsia"/>
        </w:rPr>
        <w:t>工程垃圾和装修垃圾处置规划</w:t>
      </w:r>
    </w:p>
    <w:p>
      <w:pPr>
        <w:ind w:firstLine="640"/>
        <w:rPr>
          <w:rFonts w:ascii="仿宋_GB2312" w:hAnsi="仿宋_GB2312" w:cs="仿宋_GB2312"/>
        </w:rPr>
      </w:pPr>
      <w:r>
        <w:rPr>
          <w:rFonts w:hint="eastAsia" w:ascii="仿宋_GB2312" w:hAnsi="仿宋_GB2312" w:cs="仿宋_GB2312"/>
        </w:rPr>
        <w:t>工程垃圾和装修垃圾的组分不稳定且相对复杂，部分含有一定量的有毒有害成分，尤其装修垃圾的资源化利用具有明显公益性，因此需政府给予一定的政策支持，如在资源化利用设施建设用地上给予划拨，将装修垃圾、工程垃圾和拆除垃圾的处置打包进行特许经营，或是将装修垃圾的处置与大件垃圾处置、再生资源的回收等收益高的内容统筹考虑。</w:t>
      </w:r>
    </w:p>
    <w:p>
      <w:pPr>
        <w:ind w:firstLine="640"/>
        <w:rPr>
          <w:rFonts w:ascii="仿宋_GB2312" w:hAnsi="仿宋_GB2312" w:cs="仿宋_GB2312"/>
        </w:rPr>
      </w:pPr>
      <w:r>
        <w:rPr>
          <w:rFonts w:hint="eastAsia" w:ascii="仿宋_GB2312" w:hAnsi="仿宋_GB2312" w:cs="仿宋_GB2312"/>
        </w:rPr>
        <w:t>规划在资源化利用设施内进行分类分选后，工程垃圾和装修垃圾中的金属、木材、塑料、纸等可进行回收利用的组分进入再生资源回收渠道；混凝土、沥青、砖瓦、陶瓷等可资源化利用的惰性组分按照拆除垃圾的资源化利用方式进行利用；矿物油、废日光灯管、废油漆渣、废有机溶剂等危险废物进入危废处置渠道；纸片、布料、木屑等可燃轻物质进入生活垃圾处置渠道。</w:t>
      </w:r>
    </w:p>
    <w:p>
      <w:pPr>
        <w:ind w:firstLine="640"/>
        <w:rPr>
          <w:rFonts w:hint="eastAsia" w:ascii="仿宋_GB2312" w:hAnsi="仿宋_GB2312" w:cs="仿宋_GB2312"/>
        </w:rPr>
      </w:pPr>
    </w:p>
    <w:p>
      <w:pPr>
        <w:pStyle w:val="30"/>
      </w:pPr>
      <w:r>
        <w:rPr>
          <w:rFonts w:hint="eastAsia"/>
        </w:rPr>
        <w:t>工程泥浆处置规划</w:t>
      </w:r>
    </w:p>
    <w:p>
      <w:pPr>
        <w:ind w:firstLine="640"/>
      </w:pPr>
      <w:r>
        <w:rPr>
          <w:rFonts w:hint="eastAsia"/>
        </w:rPr>
        <w:t>规划提高工程泥浆的综合利用率。优先将工程泥浆转化为固化土，后续通过对固化土的综合利用，减少废弃物填埋量。</w:t>
      </w:r>
    </w:p>
    <w:p>
      <w:pPr>
        <w:ind w:firstLine="640"/>
      </w:pPr>
      <w:r>
        <w:rPr>
          <w:rFonts w:hint="eastAsia"/>
        </w:rPr>
        <w:t>目前临海市工程泥浆由工程泥浆固化企业进行综合利用。规划在符合发改等相关部门的工作要求下，鼓励国有资本、民营资本参与建设、经营建筑垃圾消纳场所，鼓励有条件的施工工地将泥浆固化设备运至施工工地现场固化，提高工程泥浆处置的资源化利用水平，确保工程泥浆得到安全处置。</w:t>
      </w:r>
    </w:p>
    <w:p>
      <w:pPr>
        <w:pStyle w:val="36"/>
      </w:pPr>
      <w:r>
        <w:rPr>
          <w:rFonts w:hint="eastAsia"/>
        </w:rPr>
        <w:t>表</w:t>
      </w:r>
      <w:r>
        <w:t xml:space="preserve"> </w:t>
      </w:r>
      <w:r>
        <w:fldChar w:fldCharType="begin"/>
      </w:r>
      <w:r>
        <w:instrText xml:space="preserve"> STYLEREF 1 \s </w:instrText>
      </w:r>
      <w:r>
        <w:fldChar w:fldCharType="separate"/>
      </w:r>
      <w:r>
        <w:t>8</w:t>
      </w:r>
      <w:r>
        <w:fldChar w:fldCharType="end"/>
      </w:r>
      <w:r>
        <w:noBreakHyphen/>
      </w:r>
      <w:r>
        <w:fldChar w:fldCharType="begin"/>
      </w:r>
      <w:r>
        <w:instrText xml:space="preserve"> SEQ </w:instrText>
      </w:r>
      <w:r>
        <w:rPr>
          <w:rFonts w:hint="eastAsia"/>
        </w:rPr>
        <w:instrText xml:space="preserve">表</w:instrText>
      </w:r>
      <w:r>
        <w:instrText xml:space="preserve"> \* ARABIC \s 1 </w:instrText>
      </w:r>
      <w:r>
        <w:fldChar w:fldCharType="separate"/>
      </w:r>
      <w:r>
        <w:t>3</w:t>
      </w:r>
      <w:r>
        <w:fldChar w:fldCharType="end"/>
      </w:r>
      <w:r>
        <w:rPr>
          <w:rFonts w:hint="eastAsia"/>
        </w:rPr>
        <w:t>现状泥浆固化企业一览表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202"/>
        <w:gridCol w:w="2903"/>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63" w:type="dxa"/>
            <w:vAlign w:val="center"/>
          </w:tcPr>
          <w:p>
            <w:pPr>
              <w:pStyle w:val="38"/>
            </w:pPr>
            <w:r>
              <w:rPr>
                <w:rFonts w:hint="eastAsia"/>
              </w:rPr>
              <w:t>序号</w:t>
            </w:r>
          </w:p>
        </w:tc>
        <w:tc>
          <w:tcPr>
            <w:tcW w:w="2202" w:type="dxa"/>
            <w:vAlign w:val="center"/>
          </w:tcPr>
          <w:p>
            <w:pPr>
              <w:pStyle w:val="38"/>
            </w:pPr>
            <w:r>
              <w:rPr>
                <w:rFonts w:hint="eastAsia"/>
              </w:rPr>
              <w:t>企业名称</w:t>
            </w:r>
          </w:p>
        </w:tc>
        <w:tc>
          <w:tcPr>
            <w:tcW w:w="2903" w:type="dxa"/>
            <w:vAlign w:val="center"/>
          </w:tcPr>
          <w:p>
            <w:pPr>
              <w:pStyle w:val="38"/>
            </w:pPr>
            <w:r>
              <w:rPr>
                <w:rFonts w:hint="eastAsia"/>
              </w:rPr>
              <w:t>地址</w:t>
            </w:r>
          </w:p>
        </w:tc>
        <w:tc>
          <w:tcPr>
            <w:tcW w:w="2992" w:type="dxa"/>
            <w:vAlign w:val="center"/>
          </w:tcPr>
          <w:p>
            <w:pPr>
              <w:pStyle w:val="38"/>
            </w:pPr>
            <w:r>
              <w:rPr>
                <w:rFonts w:hint="eastAsia"/>
              </w:rPr>
              <w:t>日处理规模（立方米）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vAlign w:val="center"/>
          </w:tcPr>
          <w:p>
            <w:pPr>
              <w:pStyle w:val="38"/>
            </w:pPr>
            <w:r>
              <w:rPr>
                <w:rFonts w:hint="eastAsia"/>
              </w:rPr>
              <w:t>1</w:t>
            </w:r>
          </w:p>
        </w:tc>
        <w:tc>
          <w:tcPr>
            <w:tcW w:w="2202" w:type="dxa"/>
            <w:vAlign w:val="center"/>
          </w:tcPr>
          <w:p>
            <w:pPr>
              <w:pStyle w:val="38"/>
            </w:pPr>
            <w:r>
              <w:rPr>
                <w:rFonts w:hint="eastAsia"/>
              </w:rPr>
              <w:t>浙江远新环保科技有限公司</w:t>
            </w:r>
          </w:p>
        </w:tc>
        <w:tc>
          <w:tcPr>
            <w:tcW w:w="2903" w:type="dxa"/>
            <w:vAlign w:val="center"/>
          </w:tcPr>
          <w:p>
            <w:pPr>
              <w:pStyle w:val="38"/>
            </w:pPr>
            <w:r>
              <w:rPr>
                <w:rFonts w:hint="eastAsia"/>
              </w:rPr>
              <w:t>台州市经济开发区体育场路2003号</w:t>
            </w:r>
          </w:p>
        </w:tc>
        <w:tc>
          <w:tcPr>
            <w:tcW w:w="2992" w:type="dxa"/>
            <w:vAlign w:val="center"/>
          </w:tcPr>
          <w:p>
            <w:pPr>
              <w:pStyle w:val="38"/>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vAlign w:val="center"/>
          </w:tcPr>
          <w:p>
            <w:pPr>
              <w:pStyle w:val="38"/>
            </w:pPr>
            <w:r>
              <w:rPr>
                <w:rFonts w:hint="eastAsia"/>
              </w:rPr>
              <w:t>2</w:t>
            </w:r>
          </w:p>
        </w:tc>
        <w:tc>
          <w:tcPr>
            <w:tcW w:w="2202" w:type="dxa"/>
            <w:vAlign w:val="center"/>
          </w:tcPr>
          <w:p>
            <w:pPr>
              <w:pStyle w:val="38"/>
            </w:pPr>
            <w:r>
              <w:rPr>
                <w:rFonts w:hint="eastAsia"/>
              </w:rPr>
              <w:t>台州市启程建筑工程有限公司</w:t>
            </w:r>
          </w:p>
        </w:tc>
        <w:tc>
          <w:tcPr>
            <w:tcW w:w="2903" w:type="dxa"/>
            <w:vAlign w:val="center"/>
          </w:tcPr>
          <w:p>
            <w:pPr>
              <w:pStyle w:val="38"/>
            </w:pPr>
            <w:r>
              <w:rPr>
                <w:rFonts w:hint="eastAsia"/>
              </w:rPr>
              <w:t>上盘镇永庆路31号</w:t>
            </w:r>
          </w:p>
        </w:tc>
        <w:tc>
          <w:tcPr>
            <w:tcW w:w="2992" w:type="dxa"/>
            <w:vAlign w:val="center"/>
          </w:tcPr>
          <w:p>
            <w:pPr>
              <w:pStyle w:val="38"/>
            </w:pPr>
            <w:r>
              <w:t>1000</w:t>
            </w:r>
          </w:p>
        </w:tc>
      </w:tr>
    </w:tbl>
    <w:p>
      <w:pPr>
        <w:pStyle w:val="30"/>
      </w:pPr>
      <w:r>
        <w:rPr>
          <w:rFonts w:hint="eastAsia"/>
        </w:rPr>
        <w:t>拆除垃圾处置规划</w:t>
      </w:r>
    </w:p>
    <w:p>
      <w:pPr>
        <w:ind w:firstLine="640"/>
      </w:pPr>
      <w:r>
        <w:rPr>
          <w:rFonts w:hint="eastAsia"/>
        </w:rPr>
        <w:t>由于拆除垃圾资源化利用市场化程度较高，社会资本有着强烈的意愿参与，因此其处置遵循“能用尽用、特许经营、监督规范、市场运营”的原则解决。为引导市场良性竞争和确保拆除垃圾得到有效的无害化、资源化利用和减量化处理，政府可通过采取政策和制度的设计，统筹优化资源化利用设施布局，引导规范资源化利用设施的运营，扶持建筑垃圾资源化利用行业健康发展。</w:t>
      </w:r>
    </w:p>
    <w:p>
      <w:pPr>
        <w:ind w:firstLine="640"/>
      </w:pPr>
      <w:r>
        <w:rPr>
          <w:rFonts w:hint="eastAsia"/>
        </w:rPr>
        <w:t>拆除垃圾中的混凝土、砖瓦等经破碎加工后可作为生产再生建材的原材料，是一类具有很大资源化利用空间的建筑垃圾，拆除垃圾品质越高意味着市场价值越高。因此，拆除垃圾规划应优先选择资源化利用。</w:t>
      </w:r>
    </w:p>
    <w:p>
      <w:pPr>
        <w:pStyle w:val="3"/>
      </w:pPr>
      <w:bookmarkStart w:id="224" w:name="_Toc168062410"/>
      <w:bookmarkStart w:id="225" w:name="_Toc167461396"/>
      <w:r>
        <w:rPr>
          <w:rFonts w:hint="eastAsia"/>
        </w:rPr>
        <w:t>建筑垃圾利用及处置设施</w:t>
      </w:r>
      <w:bookmarkEnd w:id="224"/>
      <w:bookmarkEnd w:id="225"/>
    </w:p>
    <w:p>
      <w:pPr>
        <w:pStyle w:val="30"/>
      </w:pPr>
      <w:r>
        <w:rPr>
          <w:rFonts w:hint="eastAsia"/>
        </w:rPr>
        <w:t>选址要求</w:t>
      </w:r>
    </w:p>
    <w:p>
      <w:pPr>
        <w:ind w:firstLine="643"/>
        <w:rPr>
          <w:b/>
          <w:bCs/>
        </w:rPr>
      </w:pPr>
      <w:r>
        <w:rPr>
          <w:rFonts w:hint="eastAsia"/>
          <w:b/>
          <w:bCs/>
        </w:rPr>
        <w:t>1、建筑垃圾消纳及资源化利用处置场选址原则</w:t>
      </w:r>
    </w:p>
    <w:p>
      <w:pPr>
        <w:ind w:firstLine="640"/>
      </w:pPr>
      <w:r>
        <w:rPr>
          <w:rFonts w:hint="eastAsia"/>
        </w:rPr>
        <w:t>（1）选址需与《临海市国土空间总体规划（2021-2035）》用地衔接，用地选址须符合“三区三线”的管控要求。</w:t>
      </w:r>
    </w:p>
    <w:p>
      <w:pPr>
        <w:ind w:firstLine="640"/>
      </w:pPr>
      <w:r>
        <w:rPr>
          <w:rFonts w:hint="eastAsia"/>
        </w:rPr>
        <w:t>（2）从防止污染角度考虑的安全原则：安全原则是建筑垃圾消纳设施选址的基本原则。建筑垃圾消纳设施建设中和使用后应保证对整个外部环境的影响最小，不使场地周围的水、大气、土壤环境发生恶化。</w:t>
      </w:r>
    </w:p>
    <w:p>
      <w:pPr>
        <w:ind w:firstLine="640"/>
      </w:pPr>
      <w:r>
        <w:rPr>
          <w:rFonts w:hint="eastAsia"/>
        </w:rPr>
        <w:t>（3）从经济角度考虑的经济合理原则：经济原则是指建筑垃圾处置及消纳设施从建设到使用过程中，单位垃圾的处理费用最低，建筑垃圾消纳设施使用后资源化价值最高。即要求以合理的技术经济方案，以较少的投资达到最理想经济效果，实现环保的目的。</w:t>
      </w:r>
    </w:p>
    <w:p>
      <w:pPr>
        <w:ind w:firstLine="640"/>
      </w:pPr>
      <w:r>
        <w:rPr>
          <w:rFonts w:hint="eastAsia"/>
        </w:rPr>
        <w:t>（4）从建设角度考虑的可实施性原则：可实施性原则是指不占用耕地，土地性质符合选址要求的非耕地、非建设用地的施工处理要求不高的其它用地。</w:t>
      </w:r>
    </w:p>
    <w:p>
      <w:pPr>
        <w:ind w:firstLine="643"/>
        <w:rPr>
          <w:b/>
          <w:bCs/>
        </w:rPr>
      </w:pPr>
      <w:r>
        <w:rPr>
          <w:rFonts w:hint="eastAsia"/>
          <w:b/>
          <w:bCs/>
        </w:rPr>
        <w:t>2、建筑垃圾消纳及资源化利用处置场选址要求</w:t>
      </w:r>
    </w:p>
    <w:p>
      <w:pPr>
        <w:ind w:firstLine="640"/>
      </w:pPr>
      <w:r>
        <w:rPr>
          <w:rFonts w:hint="eastAsia"/>
        </w:rPr>
        <w:t>（1）建筑垃圾消纳及资源化利用处置场宜包含资源化利用和消纳两个功能。</w:t>
      </w:r>
    </w:p>
    <w:p>
      <w:pPr>
        <w:ind w:firstLine="640"/>
      </w:pPr>
      <w:r>
        <w:rPr>
          <w:rFonts w:hint="eastAsia"/>
        </w:rPr>
        <w:t>（2）应符合当地</w:t>
      </w:r>
      <w:bookmarkStart w:id="226" w:name="_Hlk167824061"/>
      <w:r>
        <w:rPr>
          <w:rFonts w:hint="eastAsia"/>
        </w:rPr>
        <w:t>国土空间规划</w:t>
      </w:r>
      <w:bookmarkEnd w:id="226"/>
      <w:r>
        <w:rPr>
          <w:rFonts w:hint="eastAsia"/>
        </w:rPr>
        <w:t>、环境卫生设施专项规划以及国家现行有关标准的规定。</w:t>
      </w:r>
    </w:p>
    <w:p>
      <w:pPr>
        <w:ind w:firstLine="640"/>
      </w:pPr>
      <w:r>
        <w:rPr>
          <w:rFonts w:hint="eastAsia"/>
        </w:rPr>
        <w:t>（3）应与当地的大气防护、水土资源保护、自然保护及生态平衡要求相一致。</w:t>
      </w:r>
    </w:p>
    <w:p>
      <w:pPr>
        <w:ind w:firstLine="640"/>
      </w:pPr>
      <w:r>
        <w:rPr>
          <w:rFonts w:hint="eastAsia"/>
        </w:rPr>
        <w:t>（4）工程地质与水文地质条件应满足设施建设和运行的要求，不应选在发震断层、滑坡、泥石流、沼泽、流沙及采矿陷落区等地区。</w:t>
      </w:r>
    </w:p>
    <w:p>
      <w:pPr>
        <w:ind w:firstLine="640"/>
      </w:pPr>
      <w:r>
        <w:rPr>
          <w:rFonts w:hint="eastAsia"/>
        </w:rPr>
        <w:t>（5）应交通方便，运距合理，并应综合考虑服务区域内建筑垃圾存量及增量估算情况、建筑垃圾收集运输能力，资源化利用厂还应考虑产品出路、预留发展等因素。</w:t>
      </w:r>
    </w:p>
    <w:p>
      <w:pPr>
        <w:ind w:firstLine="640"/>
      </w:pPr>
      <w:r>
        <w:rPr>
          <w:rFonts w:hint="eastAsia"/>
        </w:rPr>
        <w:t>（6）应有良好的电力、给水和排水条件。</w:t>
      </w:r>
    </w:p>
    <w:p>
      <w:pPr>
        <w:ind w:firstLine="640"/>
      </w:pPr>
      <w:r>
        <w:rPr>
          <w:rFonts w:hint="eastAsia"/>
        </w:rPr>
        <w:t>（7）应位于地下水贫乏地区、环境保护目标区域的地下水流向下游地区及夏季主导风向下风向。</w:t>
      </w:r>
    </w:p>
    <w:p>
      <w:pPr>
        <w:ind w:firstLine="640"/>
      </w:pPr>
      <w:r>
        <w:rPr>
          <w:rFonts w:hint="eastAsia"/>
        </w:rPr>
        <w:t>（8）厂址不应受洪水、潮水或内涝的威胁。当必须建在该类地区时，应有可靠的防洪、排涝措施，其防洪标准应符合现行国家标准《防洪标准》（GB50201-2014）的有关规定。</w:t>
      </w:r>
    </w:p>
    <w:p>
      <w:pPr>
        <w:ind w:firstLine="640"/>
      </w:pPr>
      <w:r>
        <w:rPr>
          <w:rFonts w:hint="eastAsia"/>
        </w:rPr>
        <w:t>（9）宜在城市规划建成区外设置，应选具有自然低洼地势的山坳、采石场废坑、符合防洪要求、具备运输条件、土地及地下水利用价值低的地区，并不得设置在水源保护区、地下蕴矿区及影响城市安全的区域内，距居民居住区及人畜供水点不应小于500米。</w:t>
      </w:r>
    </w:p>
    <w:p>
      <w:pPr>
        <w:pStyle w:val="30"/>
      </w:pPr>
      <w:r>
        <w:rPr>
          <w:rFonts w:hint="eastAsia"/>
        </w:rPr>
        <w:t>规划格局</w:t>
      </w:r>
    </w:p>
    <w:p>
      <w:pPr>
        <w:ind w:firstLine="640"/>
      </w:pPr>
      <w:bookmarkStart w:id="227" w:name="_Hlk168063647"/>
      <w:r>
        <w:rPr>
          <w:rFonts w:hint="eastAsia"/>
        </w:rPr>
        <w:t>规划形成“一主一副多点”的建筑垃圾处置总体格局。其中：</w:t>
      </w:r>
    </w:p>
    <w:p>
      <w:pPr>
        <w:ind w:firstLine="640"/>
      </w:pPr>
      <w:r>
        <w:rPr>
          <w:rFonts w:hint="eastAsia"/>
        </w:rPr>
        <w:t>“一主”是指主城区（大洋街道、古城街道、大田街道、邵家渡街道、江南街道）建筑垃圾处置中心，通过设立建筑垃圾综合分拣处置中心等，统筹全市装修垃圾等资源化利用处置；</w:t>
      </w:r>
    </w:p>
    <w:p>
      <w:pPr>
        <w:ind w:firstLine="640"/>
      </w:pPr>
      <w:r>
        <w:rPr>
          <w:rFonts w:hint="eastAsia"/>
        </w:rPr>
        <w:t>“一副”是指东部（头门港、上盘镇、杜桥镇、桃渚镇）建筑垃圾处置副中心，通过设立头门港渣土消纳场等设施，统筹全市工程渣土资源化利用及消纳处置；</w:t>
      </w:r>
    </w:p>
    <w:p>
      <w:pPr>
        <w:ind w:firstLine="640"/>
      </w:pPr>
      <w:r>
        <w:rPr>
          <w:rFonts w:hint="eastAsia"/>
        </w:rPr>
        <w:t>“多点”是指其余镇（街道）建立临时消纳点，作为全市建筑垃圾消纳处置的补充。</w:t>
      </w:r>
    </w:p>
    <w:bookmarkEnd w:id="227"/>
    <w:p>
      <w:pPr>
        <w:ind w:firstLine="0" w:firstLineChars="0"/>
      </w:pPr>
      <w:r>
        <w:drawing>
          <wp:inline distT="0" distB="0" distL="0" distR="0">
            <wp:extent cx="5759450" cy="2825750"/>
            <wp:effectExtent l="0" t="0" r="0" b="0"/>
            <wp:docPr id="136067207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72077" name="图片 1" descr="地图&#10;&#10;描述已自动生成"/>
                    <pic:cNvPicPr>
                      <a:picLocks noChangeAspect="1"/>
                    </pic:cNvPicPr>
                  </pic:nvPicPr>
                  <pic:blipFill>
                    <a:blip r:embed="rId58"/>
                    <a:stretch>
                      <a:fillRect/>
                    </a:stretch>
                  </pic:blipFill>
                  <pic:spPr>
                    <a:xfrm>
                      <a:off x="0" y="0"/>
                      <a:ext cx="5759450" cy="2825750"/>
                    </a:xfrm>
                    <a:prstGeom prst="rect">
                      <a:avLst/>
                    </a:prstGeom>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建筑垃圾规划格局图</w:t>
      </w:r>
    </w:p>
    <w:p>
      <w:pPr>
        <w:pStyle w:val="30"/>
      </w:pPr>
      <w:r>
        <w:rPr>
          <w:rFonts w:hint="eastAsia"/>
        </w:rPr>
        <w:t>设施布局</w:t>
      </w:r>
    </w:p>
    <w:p>
      <w:pPr>
        <w:ind w:firstLine="640"/>
      </w:pPr>
      <w:bookmarkStart w:id="228" w:name="_Hlk169277591"/>
      <w:bookmarkStart w:id="229" w:name="_Hlk168063703"/>
      <w:r>
        <w:rPr>
          <w:rFonts w:hint="eastAsia"/>
        </w:rPr>
        <w:t>结合建筑垃圾产量预测，规划保留梅岙建筑垃圾分拣中心，保留古楼装修大件垃圾分拣中心，保留现状头门港城投渣土消纳场。</w:t>
      </w:r>
    </w:p>
    <w:p>
      <w:pPr>
        <w:ind w:firstLine="640"/>
      </w:pPr>
      <w:r>
        <w:rPr>
          <w:rFonts w:hint="eastAsia"/>
        </w:rPr>
        <w:t>规划新建邵家渡建筑渣土资源化利用项目、</w:t>
      </w:r>
      <w:r>
        <w:rPr>
          <w:rFonts w:hint="eastAsia"/>
          <w:highlight w:val="cyan"/>
        </w:rPr>
        <w:t>白水洋镇大件垃圾及建筑垃圾处理中心、头门港建筑垃圾资源化利用项目、</w:t>
      </w:r>
      <w:r>
        <w:rPr>
          <w:rFonts w:hint="eastAsia"/>
        </w:rPr>
        <w:t>临海市工程渣土消纳场；规划期内规划台州湾新材料产业园场坪工程（一期）作为渣土综合调运场地，拓宽渣土消纳渠道；预留杜桥工程渣土消纳场、白水洋工程渣土消纳场，作为远期工程渣土消纳场选址</w:t>
      </w:r>
      <w:bookmarkEnd w:id="228"/>
      <w:r>
        <w:rPr>
          <w:rFonts w:hint="eastAsia"/>
        </w:rPr>
        <w:t>。</w:t>
      </w:r>
    </w:p>
    <w:p>
      <w:pPr>
        <w:ind w:firstLine="640"/>
      </w:pPr>
      <w:r>
        <w:rPr>
          <w:rFonts w:hint="eastAsia"/>
        </w:rPr>
        <w:t>规划期内，其余镇（街道）建立临时消纳点，鼓励国有资本、民营资本参与建设、经营建筑垃圾消纳场所，鼓励支持有条件的镇街结合建筑垃圾转运站或临时消纳点建设大型建筑垃圾分拣中心，作为建筑垃圾资源化处置的补充。</w:t>
      </w:r>
    </w:p>
    <w:bookmarkEnd w:id="229"/>
    <w:p>
      <w:pPr>
        <w:ind w:firstLine="640"/>
      </w:pPr>
      <w:r>
        <w:rPr>
          <w:rFonts w:hint="eastAsia"/>
        </w:rPr>
        <w:t>以上设施基本满足全市近远期建筑垃圾处置需求，部分项目选址已纳入国土空间规划项目清单，具体如下。</w:t>
      </w:r>
    </w:p>
    <w:p>
      <w:pPr>
        <w:pStyle w:val="47"/>
        <w:spacing w:before="62" w:after="93"/>
      </w:pPr>
      <w:r>
        <w:rPr>
          <w:rFonts w:hint="eastAsia"/>
        </w:rPr>
        <w:t>表</w:t>
      </w:r>
      <w:r>
        <w:t xml:space="preserve"> </w:t>
      </w:r>
      <w:r>
        <w:fldChar w:fldCharType="begin"/>
      </w:r>
      <w:r>
        <w:instrText xml:space="preserve"> STYLEREF 1 \s </w:instrText>
      </w:r>
      <w:r>
        <w:fldChar w:fldCharType="separate"/>
      </w:r>
      <w:r>
        <w:t>8</w:t>
      </w:r>
      <w:r>
        <w:fldChar w:fldCharType="end"/>
      </w:r>
      <w:r>
        <w:noBreakHyphen/>
      </w:r>
      <w:r>
        <w:fldChar w:fldCharType="begin"/>
      </w:r>
      <w:r>
        <w:instrText xml:space="preserve"> SEQ </w:instrText>
      </w:r>
      <w:r>
        <w:rPr>
          <w:rFonts w:hint="eastAsia"/>
        </w:rPr>
        <w:instrText xml:space="preserve">表</w:instrText>
      </w:r>
      <w:r>
        <w:instrText xml:space="preserve"> \* ARABIC \s 1 </w:instrText>
      </w:r>
      <w:r>
        <w:fldChar w:fldCharType="separate"/>
      </w:r>
      <w:r>
        <w:t>4</w:t>
      </w:r>
      <w:r>
        <w:fldChar w:fldCharType="end"/>
      </w:r>
      <w:r>
        <w:rPr>
          <w:rFonts w:hint="eastAsia"/>
        </w:rPr>
        <w:t>规划建筑垃圾处置设施一览表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402"/>
        <w:gridCol w:w="1418"/>
        <w:gridCol w:w="1276"/>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noWrap/>
            <w:vAlign w:val="center"/>
          </w:tcPr>
          <w:p>
            <w:pPr>
              <w:pStyle w:val="38"/>
              <w:widowControl w:val="0"/>
              <w:rPr>
                <w:rFonts w:cs="Times New Roman"/>
                <w:kern w:val="0"/>
                <w:szCs w:val="20"/>
              </w:rPr>
            </w:pPr>
            <w:r>
              <w:rPr>
                <w:rFonts w:hint="eastAsia" w:cs="Times New Roman"/>
                <w:kern w:val="0"/>
                <w:szCs w:val="20"/>
              </w:rPr>
              <w:t>序号</w:t>
            </w:r>
          </w:p>
        </w:tc>
        <w:tc>
          <w:tcPr>
            <w:tcW w:w="4402" w:type="dxa"/>
            <w:noWrap/>
            <w:vAlign w:val="center"/>
          </w:tcPr>
          <w:p>
            <w:pPr>
              <w:pStyle w:val="38"/>
              <w:widowControl w:val="0"/>
              <w:rPr>
                <w:rFonts w:cs="Times New Roman"/>
                <w:kern w:val="0"/>
                <w:szCs w:val="20"/>
              </w:rPr>
            </w:pPr>
            <w:r>
              <w:rPr>
                <w:rFonts w:hint="eastAsia" w:cs="Times New Roman"/>
                <w:kern w:val="0"/>
                <w:szCs w:val="20"/>
              </w:rPr>
              <w:t>处理场名称</w:t>
            </w:r>
          </w:p>
        </w:tc>
        <w:tc>
          <w:tcPr>
            <w:tcW w:w="1418" w:type="dxa"/>
            <w:noWrap/>
            <w:vAlign w:val="center"/>
          </w:tcPr>
          <w:p>
            <w:pPr>
              <w:pStyle w:val="38"/>
              <w:widowControl w:val="0"/>
              <w:rPr>
                <w:rFonts w:cs="Times New Roman"/>
                <w:kern w:val="0"/>
                <w:szCs w:val="20"/>
              </w:rPr>
            </w:pPr>
            <w:r>
              <w:rPr>
                <w:rFonts w:hint="eastAsia" w:cs="Times New Roman"/>
                <w:kern w:val="0"/>
                <w:szCs w:val="20"/>
              </w:rPr>
              <w:t>容量/规模</w:t>
            </w:r>
          </w:p>
        </w:tc>
        <w:tc>
          <w:tcPr>
            <w:tcW w:w="1276" w:type="dxa"/>
            <w:vAlign w:val="center"/>
          </w:tcPr>
          <w:p>
            <w:pPr>
              <w:pStyle w:val="38"/>
              <w:widowControl w:val="0"/>
              <w:rPr>
                <w:rFonts w:cs="Times New Roman"/>
                <w:kern w:val="0"/>
                <w:szCs w:val="20"/>
              </w:rPr>
            </w:pPr>
            <w:r>
              <w:rPr>
                <w:rFonts w:hint="eastAsia" w:cs="Times New Roman"/>
                <w:kern w:val="0"/>
                <w:szCs w:val="20"/>
              </w:rPr>
              <w:t>规划状态</w:t>
            </w:r>
          </w:p>
        </w:tc>
        <w:tc>
          <w:tcPr>
            <w:tcW w:w="1268" w:type="dxa"/>
            <w:vAlign w:val="center"/>
          </w:tcPr>
          <w:p>
            <w:pPr>
              <w:pStyle w:val="38"/>
              <w:widowControl w:val="0"/>
              <w:rPr>
                <w:rFonts w:cs="Times New Roman"/>
                <w:kern w:val="0"/>
                <w:szCs w:val="20"/>
              </w:rPr>
            </w:pPr>
            <w:r>
              <w:rPr>
                <w:rFonts w:hint="eastAsia" w:cs="Times New Roman"/>
                <w:kern w:val="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rPr>
            </w:pPr>
            <w:r>
              <w:rPr>
                <w:rFonts w:hint="eastAsia" w:cs="Times New Roman"/>
                <w:kern w:val="0"/>
                <w:szCs w:val="20"/>
              </w:rPr>
              <w:t>1</w:t>
            </w:r>
          </w:p>
        </w:tc>
        <w:tc>
          <w:tcPr>
            <w:tcW w:w="4402" w:type="dxa"/>
            <w:noWrap/>
            <w:vAlign w:val="center"/>
          </w:tcPr>
          <w:p>
            <w:pPr>
              <w:pStyle w:val="38"/>
              <w:widowControl w:val="0"/>
              <w:rPr>
                <w:rFonts w:cs="Times New Roman"/>
                <w:kern w:val="0"/>
                <w:szCs w:val="20"/>
              </w:rPr>
            </w:pPr>
            <w:r>
              <w:rPr>
                <w:rFonts w:hint="eastAsia" w:cs="Times New Roman"/>
                <w:kern w:val="0"/>
                <w:szCs w:val="20"/>
              </w:rPr>
              <w:t>梅岙建筑垃圾分拣中心</w:t>
            </w:r>
          </w:p>
        </w:tc>
        <w:tc>
          <w:tcPr>
            <w:tcW w:w="1418" w:type="dxa"/>
            <w:noWrap/>
            <w:vAlign w:val="center"/>
          </w:tcPr>
          <w:p>
            <w:pPr>
              <w:pStyle w:val="38"/>
              <w:widowControl w:val="0"/>
              <w:rPr>
                <w:rFonts w:cs="Times New Roman"/>
                <w:kern w:val="0"/>
                <w:szCs w:val="20"/>
              </w:rPr>
            </w:pPr>
            <w:r>
              <w:rPr>
                <w:rFonts w:hint="eastAsia" w:cs="Times New Roman"/>
                <w:kern w:val="0"/>
                <w:szCs w:val="20"/>
              </w:rPr>
              <w:t>10万吨/年</w:t>
            </w:r>
          </w:p>
        </w:tc>
        <w:tc>
          <w:tcPr>
            <w:tcW w:w="1276" w:type="dxa"/>
            <w:vAlign w:val="center"/>
          </w:tcPr>
          <w:p>
            <w:pPr>
              <w:pStyle w:val="38"/>
              <w:widowControl w:val="0"/>
              <w:rPr>
                <w:rFonts w:cs="Times New Roman"/>
                <w:kern w:val="0"/>
                <w:szCs w:val="20"/>
              </w:rPr>
            </w:pPr>
            <w:r>
              <w:rPr>
                <w:rFonts w:hint="eastAsia" w:cs="Times New Roman"/>
                <w:kern w:val="0"/>
                <w:szCs w:val="20"/>
              </w:rPr>
              <w:t>保留</w:t>
            </w:r>
          </w:p>
        </w:tc>
        <w:tc>
          <w:tcPr>
            <w:tcW w:w="1268" w:type="dxa"/>
            <w:vAlign w:val="center"/>
          </w:tcPr>
          <w:p>
            <w:pPr>
              <w:pStyle w:val="38"/>
              <w:widowControl w:val="0"/>
              <w:rPr>
                <w:rFonts w:cs="Times New Roman"/>
                <w:kern w:val="0"/>
                <w:szCs w:val="20"/>
              </w:rPr>
            </w:pPr>
            <w:r>
              <w:rPr>
                <w:rFonts w:hint="eastAsia" w:cs="Times New Roman"/>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rPr>
            </w:pPr>
            <w:r>
              <w:rPr>
                <w:rFonts w:hint="eastAsia" w:cs="Times New Roman"/>
                <w:kern w:val="0"/>
                <w:szCs w:val="20"/>
              </w:rPr>
              <w:t>2</w:t>
            </w:r>
          </w:p>
        </w:tc>
        <w:tc>
          <w:tcPr>
            <w:tcW w:w="4402" w:type="dxa"/>
            <w:noWrap/>
            <w:vAlign w:val="center"/>
          </w:tcPr>
          <w:p>
            <w:pPr>
              <w:pStyle w:val="38"/>
              <w:widowControl w:val="0"/>
              <w:rPr>
                <w:rFonts w:cs="Times New Roman"/>
                <w:kern w:val="0"/>
                <w:szCs w:val="20"/>
              </w:rPr>
            </w:pPr>
            <w:r>
              <w:rPr>
                <w:rFonts w:hint="eastAsia" w:cs="Times New Roman"/>
                <w:kern w:val="0"/>
                <w:szCs w:val="20"/>
              </w:rPr>
              <w:t>头门港城投渣土消纳场</w:t>
            </w:r>
          </w:p>
        </w:tc>
        <w:tc>
          <w:tcPr>
            <w:tcW w:w="1418" w:type="dxa"/>
            <w:noWrap/>
            <w:vAlign w:val="center"/>
          </w:tcPr>
          <w:p>
            <w:pPr>
              <w:pStyle w:val="38"/>
              <w:widowControl w:val="0"/>
              <w:rPr>
                <w:rFonts w:cs="Times New Roman"/>
                <w:kern w:val="0"/>
                <w:szCs w:val="20"/>
              </w:rPr>
            </w:pPr>
            <w:r>
              <w:rPr>
                <w:rFonts w:hint="eastAsia" w:cs="Times New Roman"/>
                <w:kern w:val="0"/>
                <w:szCs w:val="20"/>
              </w:rPr>
              <w:t>150万吨</w:t>
            </w:r>
          </w:p>
        </w:tc>
        <w:tc>
          <w:tcPr>
            <w:tcW w:w="1276" w:type="dxa"/>
            <w:vAlign w:val="center"/>
          </w:tcPr>
          <w:p>
            <w:pPr>
              <w:pStyle w:val="38"/>
              <w:widowControl w:val="0"/>
              <w:rPr>
                <w:rFonts w:cs="Times New Roman"/>
                <w:kern w:val="0"/>
                <w:szCs w:val="20"/>
              </w:rPr>
            </w:pPr>
            <w:r>
              <w:rPr>
                <w:rFonts w:hint="eastAsia" w:cs="Times New Roman"/>
                <w:kern w:val="0"/>
                <w:szCs w:val="20"/>
              </w:rPr>
              <w:t>保留</w:t>
            </w:r>
          </w:p>
        </w:tc>
        <w:tc>
          <w:tcPr>
            <w:tcW w:w="1268" w:type="dxa"/>
            <w:vAlign w:val="center"/>
          </w:tcPr>
          <w:p>
            <w:pPr>
              <w:pStyle w:val="38"/>
              <w:widowControl w:val="0"/>
              <w:rPr>
                <w:rFonts w:cs="Times New Roman"/>
                <w:kern w:val="0"/>
                <w:szCs w:val="20"/>
              </w:rPr>
            </w:pPr>
            <w:r>
              <w:rPr>
                <w:rFonts w:hint="eastAsia" w:cs="Times New Roman"/>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rPr>
            </w:pPr>
            <w:r>
              <w:rPr>
                <w:rFonts w:hint="eastAsia" w:cs="Times New Roman"/>
                <w:kern w:val="0"/>
                <w:szCs w:val="20"/>
              </w:rPr>
              <w:t>3</w:t>
            </w:r>
          </w:p>
        </w:tc>
        <w:tc>
          <w:tcPr>
            <w:tcW w:w="4402" w:type="dxa"/>
            <w:noWrap/>
            <w:vAlign w:val="center"/>
          </w:tcPr>
          <w:p>
            <w:pPr>
              <w:pStyle w:val="38"/>
              <w:widowControl w:val="0"/>
              <w:rPr>
                <w:rFonts w:cs="Times New Roman"/>
                <w:kern w:val="0"/>
                <w:szCs w:val="20"/>
              </w:rPr>
            </w:pPr>
            <w:r>
              <w:rPr>
                <w:rFonts w:hint="eastAsia" w:cs="Times New Roman"/>
                <w:kern w:val="0"/>
                <w:szCs w:val="20"/>
              </w:rPr>
              <w:t>古楼装修大件垃圾分拣中心</w:t>
            </w:r>
          </w:p>
        </w:tc>
        <w:tc>
          <w:tcPr>
            <w:tcW w:w="1418" w:type="dxa"/>
            <w:noWrap/>
            <w:vAlign w:val="center"/>
          </w:tcPr>
          <w:p>
            <w:pPr>
              <w:pStyle w:val="38"/>
              <w:widowControl w:val="0"/>
              <w:rPr>
                <w:rFonts w:cs="Times New Roman"/>
                <w:kern w:val="0"/>
                <w:szCs w:val="20"/>
              </w:rPr>
            </w:pPr>
            <w:r>
              <w:rPr>
                <w:rFonts w:hint="eastAsia" w:cs="Times New Roman"/>
                <w:kern w:val="0"/>
                <w:szCs w:val="20"/>
              </w:rPr>
              <w:t>20万吨/年</w:t>
            </w:r>
          </w:p>
        </w:tc>
        <w:tc>
          <w:tcPr>
            <w:tcW w:w="1276" w:type="dxa"/>
            <w:vAlign w:val="center"/>
          </w:tcPr>
          <w:p>
            <w:pPr>
              <w:pStyle w:val="38"/>
              <w:widowControl w:val="0"/>
              <w:rPr>
                <w:rFonts w:cs="Times New Roman"/>
                <w:kern w:val="0"/>
                <w:szCs w:val="20"/>
              </w:rPr>
            </w:pPr>
            <w:r>
              <w:rPr>
                <w:rFonts w:hint="eastAsia" w:cs="Times New Roman"/>
                <w:kern w:val="0"/>
                <w:szCs w:val="20"/>
              </w:rPr>
              <w:t>保留</w:t>
            </w:r>
          </w:p>
        </w:tc>
        <w:tc>
          <w:tcPr>
            <w:tcW w:w="1268" w:type="dxa"/>
            <w:vAlign w:val="center"/>
          </w:tcPr>
          <w:p>
            <w:pPr>
              <w:pStyle w:val="38"/>
              <w:widowControl w:val="0"/>
              <w:rPr>
                <w:rFonts w:cs="Times New Roman"/>
                <w:kern w:val="0"/>
                <w:szCs w:val="20"/>
              </w:rPr>
            </w:pPr>
            <w:r>
              <w:rPr>
                <w:rFonts w:hint="eastAsia" w:cs="Times New Roman"/>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highlight w:val="cyan"/>
              </w:rPr>
            </w:pPr>
            <w:r>
              <w:rPr>
                <w:rFonts w:hint="eastAsia" w:cs="Times New Roman"/>
                <w:kern w:val="0"/>
                <w:szCs w:val="20"/>
                <w:highlight w:val="cyan"/>
              </w:rPr>
              <w:t>4</w:t>
            </w:r>
          </w:p>
        </w:tc>
        <w:tc>
          <w:tcPr>
            <w:tcW w:w="4402" w:type="dxa"/>
            <w:noWrap/>
            <w:vAlign w:val="center"/>
          </w:tcPr>
          <w:p>
            <w:pPr>
              <w:pStyle w:val="38"/>
              <w:widowControl w:val="0"/>
              <w:rPr>
                <w:rFonts w:cs="Times New Roman"/>
                <w:kern w:val="0"/>
                <w:szCs w:val="20"/>
                <w:highlight w:val="cyan"/>
              </w:rPr>
            </w:pPr>
            <w:r>
              <w:rPr>
                <w:rFonts w:hint="eastAsia" w:cs="Times New Roman"/>
                <w:kern w:val="0"/>
                <w:szCs w:val="20"/>
                <w:highlight w:val="cyan"/>
              </w:rPr>
              <w:t>白水洋镇大件垃圾及建筑垃圾处理中心</w:t>
            </w:r>
          </w:p>
        </w:tc>
        <w:tc>
          <w:tcPr>
            <w:tcW w:w="1418" w:type="dxa"/>
            <w:noWrap/>
            <w:vAlign w:val="center"/>
          </w:tcPr>
          <w:p>
            <w:pPr>
              <w:pStyle w:val="38"/>
              <w:widowControl w:val="0"/>
              <w:rPr>
                <w:rFonts w:cs="Times New Roman"/>
                <w:kern w:val="0"/>
                <w:szCs w:val="20"/>
                <w:highlight w:val="cyan"/>
              </w:rPr>
            </w:pPr>
            <w:r>
              <w:rPr>
                <w:rFonts w:hint="eastAsia" w:cs="Times New Roman"/>
                <w:kern w:val="0"/>
                <w:szCs w:val="20"/>
                <w:highlight w:val="cyan"/>
              </w:rPr>
              <w:t>10万吨/年</w:t>
            </w:r>
          </w:p>
        </w:tc>
        <w:tc>
          <w:tcPr>
            <w:tcW w:w="1276" w:type="dxa"/>
            <w:vAlign w:val="center"/>
          </w:tcPr>
          <w:p>
            <w:pPr>
              <w:pStyle w:val="38"/>
              <w:widowControl w:val="0"/>
              <w:rPr>
                <w:rFonts w:cs="Times New Roman"/>
                <w:kern w:val="0"/>
                <w:szCs w:val="20"/>
                <w:highlight w:val="cyan"/>
              </w:rPr>
            </w:pPr>
            <w:r>
              <w:rPr>
                <w:rFonts w:hint="eastAsia" w:cs="Times New Roman"/>
                <w:kern w:val="0"/>
                <w:szCs w:val="20"/>
                <w:highlight w:val="cyan"/>
              </w:rPr>
              <w:t>规划</w:t>
            </w:r>
          </w:p>
        </w:tc>
        <w:tc>
          <w:tcPr>
            <w:tcW w:w="1268" w:type="dxa"/>
          </w:tcPr>
          <w:p>
            <w:pPr>
              <w:pStyle w:val="38"/>
              <w:widowControl w:val="0"/>
              <w:rPr>
                <w:rFonts w:cs="Times New Roman"/>
                <w:kern w:val="0"/>
                <w:szCs w:val="20"/>
                <w:highlight w:val="cyan"/>
              </w:rPr>
            </w:pPr>
            <w:r>
              <w:rPr>
                <w:rFonts w:hint="eastAsia" w:cs="Times New Roman"/>
                <w:kern w:val="0"/>
                <w:szCs w:val="20"/>
                <w:highlight w:val="cyan"/>
              </w:rPr>
              <w:t>初步选址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highlight w:val="cyan"/>
              </w:rPr>
            </w:pPr>
            <w:r>
              <w:rPr>
                <w:rFonts w:hint="eastAsia" w:cs="Times New Roman"/>
                <w:kern w:val="0"/>
                <w:szCs w:val="20"/>
                <w:highlight w:val="cyan"/>
              </w:rPr>
              <w:t>5</w:t>
            </w:r>
          </w:p>
        </w:tc>
        <w:tc>
          <w:tcPr>
            <w:tcW w:w="4402" w:type="dxa"/>
            <w:noWrap/>
            <w:vAlign w:val="center"/>
          </w:tcPr>
          <w:p>
            <w:pPr>
              <w:pStyle w:val="38"/>
              <w:widowControl w:val="0"/>
              <w:rPr>
                <w:rFonts w:cs="Times New Roman"/>
                <w:kern w:val="0"/>
                <w:szCs w:val="20"/>
                <w:highlight w:val="cyan"/>
              </w:rPr>
            </w:pPr>
            <w:r>
              <w:rPr>
                <w:rFonts w:hint="eastAsia" w:cs="Times New Roman"/>
                <w:kern w:val="0"/>
                <w:szCs w:val="20"/>
                <w:highlight w:val="cyan"/>
              </w:rPr>
              <w:t>头门港建筑垃圾资源化利用项目</w:t>
            </w:r>
          </w:p>
        </w:tc>
        <w:tc>
          <w:tcPr>
            <w:tcW w:w="1418" w:type="dxa"/>
            <w:noWrap/>
            <w:vAlign w:val="center"/>
          </w:tcPr>
          <w:p>
            <w:pPr>
              <w:pStyle w:val="38"/>
              <w:widowControl w:val="0"/>
              <w:rPr>
                <w:rFonts w:cs="Times New Roman"/>
                <w:kern w:val="0"/>
                <w:szCs w:val="20"/>
                <w:highlight w:val="cyan"/>
              </w:rPr>
            </w:pPr>
            <w:r>
              <w:rPr>
                <w:rFonts w:hint="eastAsia" w:cs="Times New Roman"/>
                <w:kern w:val="0"/>
                <w:szCs w:val="20"/>
                <w:highlight w:val="cyan"/>
              </w:rPr>
              <w:t>10万吨/年</w:t>
            </w:r>
          </w:p>
        </w:tc>
        <w:tc>
          <w:tcPr>
            <w:tcW w:w="1276" w:type="dxa"/>
            <w:vAlign w:val="center"/>
          </w:tcPr>
          <w:p>
            <w:pPr>
              <w:pStyle w:val="38"/>
              <w:widowControl w:val="0"/>
              <w:rPr>
                <w:rFonts w:cs="Times New Roman"/>
                <w:kern w:val="0"/>
                <w:szCs w:val="20"/>
                <w:highlight w:val="cyan"/>
              </w:rPr>
            </w:pPr>
            <w:r>
              <w:rPr>
                <w:rFonts w:hint="eastAsia" w:cs="Times New Roman"/>
                <w:kern w:val="0"/>
                <w:szCs w:val="20"/>
                <w:highlight w:val="cyan"/>
              </w:rPr>
              <w:t>规划</w:t>
            </w:r>
          </w:p>
        </w:tc>
        <w:tc>
          <w:tcPr>
            <w:tcW w:w="1268" w:type="dxa"/>
          </w:tcPr>
          <w:p>
            <w:pPr>
              <w:pStyle w:val="38"/>
              <w:widowControl w:val="0"/>
              <w:rPr>
                <w:rFonts w:cs="Times New Roman"/>
                <w:kern w:val="0"/>
                <w:szCs w:val="20"/>
                <w:highlight w:val="cyan"/>
              </w:rPr>
            </w:pPr>
            <w:r>
              <w:rPr>
                <w:rFonts w:hint="eastAsia" w:cs="Times New Roman"/>
                <w:kern w:val="0"/>
                <w:szCs w:val="20"/>
                <w:highlight w:val="cyan"/>
              </w:rPr>
              <w:t>初步选址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rPr>
            </w:pPr>
            <w:r>
              <w:rPr>
                <w:rFonts w:hint="eastAsia" w:cs="Times New Roman"/>
                <w:kern w:val="0"/>
                <w:szCs w:val="20"/>
              </w:rPr>
              <w:t>6</w:t>
            </w:r>
          </w:p>
        </w:tc>
        <w:tc>
          <w:tcPr>
            <w:tcW w:w="4402" w:type="dxa"/>
            <w:noWrap/>
            <w:vAlign w:val="center"/>
          </w:tcPr>
          <w:p>
            <w:pPr>
              <w:pStyle w:val="38"/>
              <w:widowControl w:val="0"/>
              <w:rPr>
                <w:rFonts w:cs="Times New Roman"/>
                <w:kern w:val="0"/>
                <w:szCs w:val="20"/>
              </w:rPr>
            </w:pPr>
            <w:r>
              <w:rPr>
                <w:rFonts w:hint="eastAsia" w:cs="Times New Roman"/>
                <w:kern w:val="0"/>
                <w:szCs w:val="20"/>
              </w:rPr>
              <w:t>临海市工程渣土消纳场</w:t>
            </w:r>
          </w:p>
        </w:tc>
        <w:tc>
          <w:tcPr>
            <w:tcW w:w="1418" w:type="dxa"/>
            <w:noWrap/>
            <w:vAlign w:val="center"/>
          </w:tcPr>
          <w:p>
            <w:pPr>
              <w:pStyle w:val="38"/>
              <w:widowControl w:val="0"/>
              <w:rPr>
                <w:rFonts w:cs="Times New Roman"/>
                <w:kern w:val="0"/>
                <w:szCs w:val="20"/>
              </w:rPr>
            </w:pPr>
            <w:r>
              <w:rPr>
                <w:rFonts w:hint="eastAsia" w:cs="Times New Roman"/>
                <w:kern w:val="0"/>
                <w:szCs w:val="20"/>
              </w:rPr>
              <w:t>250万吨</w:t>
            </w:r>
          </w:p>
        </w:tc>
        <w:tc>
          <w:tcPr>
            <w:tcW w:w="1276" w:type="dxa"/>
            <w:vAlign w:val="center"/>
          </w:tcPr>
          <w:p>
            <w:pPr>
              <w:pStyle w:val="38"/>
              <w:widowControl w:val="0"/>
              <w:rPr>
                <w:rFonts w:cs="Times New Roman"/>
                <w:kern w:val="0"/>
                <w:szCs w:val="20"/>
              </w:rPr>
            </w:pPr>
            <w:r>
              <w:rPr>
                <w:rFonts w:hint="eastAsia" w:cs="Times New Roman"/>
                <w:kern w:val="0"/>
                <w:szCs w:val="20"/>
              </w:rPr>
              <w:t>规划</w:t>
            </w:r>
          </w:p>
        </w:tc>
        <w:tc>
          <w:tcPr>
            <w:tcW w:w="1268" w:type="dxa"/>
            <w:vAlign w:val="center"/>
          </w:tcPr>
          <w:p>
            <w:pPr>
              <w:pStyle w:val="38"/>
              <w:widowControl w:val="0"/>
              <w:rPr>
                <w:rFonts w:cs="Times New Roman"/>
                <w:kern w:val="0"/>
                <w:szCs w:val="20"/>
              </w:rPr>
            </w:pPr>
            <w:r>
              <w:rPr>
                <w:rFonts w:hint="eastAsia" w:cs="Times New Roman"/>
                <w:kern w:val="0"/>
                <w:szCs w:val="20"/>
              </w:rPr>
              <w:t>初步选址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rPr>
            </w:pPr>
            <w:r>
              <w:rPr>
                <w:rFonts w:hint="eastAsia" w:cs="Times New Roman"/>
                <w:kern w:val="0"/>
                <w:szCs w:val="20"/>
              </w:rPr>
              <w:t>7</w:t>
            </w:r>
          </w:p>
        </w:tc>
        <w:tc>
          <w:tcPr>
            <w:tcW w:w="4402" w:type="dxa"/>
            <w:noWrap/>
            <w:vAlign w:val="center"/>
          </w:tcPr>
          <w:p>
            <w:pPr>
              <w:pStyle w:val="38"/>
              <w:widowControl w:val="0"/>
              <w:rPr>
                <w:rFonts w:cs="Times New Roman"/>
                <w:kern w:val="0"/>
                <w:szCs w:val="20"/>
              </w:rPr>
            </w:pPr>
            <w:r>
              <w:rPr>
                <w:rFonts w:hint="eastAsia" w:cs="Times New Roman"/>
                <w:kern w:val="0"/>
                <w:szCs w:val="20"/>
              </w:rPr>
              <w:t>邵家渡建筑渣土资源化利用项目</w:t>
            </w:r>
          </w:p>
        </w:tc>
        <w:tc>
          <w:tcPr>
            <w:tcW w:w="1418" w:type="dxa"/>
            <w:noWrap/>
            <w:vAlign w:val="center"/>
          </w:tcPr>
          <w:p>
            <w:pPr>
              <w:pStyle w:val="38"/>
              <w:widowControl w:val="0"/>
              <w:rPr>
                <w:rFonts w:cs="Times New Roman"/>
                <w:kern w:val="0"/>
                <w:szCs w:val="20"/>
              </w:rPr>
            </w:pPr>
            <w:r>
              <w:rPr>
                <w:rFonts w:hint="eastAsia" w:cs="Times New Roman"/>
                <w:kern w:val="0"/>
                <w:szCs w:val="20"/>
              </w:rPr>
              <w:t>25万吨/年</w:t>
            </w:r>
          </w:p>
        </w:tc>
        <w:tc>
          <w:tcPr>
            <w:tcW w:w="1276" w:type="dxa"/>
            <w:vAlign w:val="center"/>
          </w:tcPr>
          <w:p>
            <w:pPr>
              <w:pStyle w:val="38"/>
              <w:widowControl w:val="0"/>
              <w:rPr>
                <w:rFonts w:cs="Times New Roman"/>
                <w:kern w:val="0"/>
                <w:szCs w:val="20"/>
              </w:rPr>
            </w:pPr>
            <w:r>
              <w:rPr>
                <w:rFonts w:hint="eastAsia" w:cs="Times New Roman"/>
                <w:kern w:val="0"/>
                <w:szCs w:val="20"/>
              </w:rPr>
              <w:t>规划</w:t>
            </w:r>
          </w:p>
        </w:tc>
        <w:tc>
          <w:tcPr>
            <w:tcW w:w="1268" w:type="dxa"/>
            <w:vAlign w:val="center"/>
          </w:tcPr>
          <w:p>
            <w:pPr>
              <w:pStyle w:val="38"/>
              <w:widowControl w:val="0"/>
              <w:rPr>
                <w:rFonts w:cs="Times New Roman"/>
                <w:kern w:val="0"/>
                <w:szCs w:val="20"/>
              </w:rPr>
            </w:pPr>
            <w:r>
              <w:rPr>
                <w:rFonts w:hint="eastAsia" w:cs="Times New Roman"/>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rPr>
            </w:pPr>
            <w:r>
              <w:rPr>
                <w:rFonts w:hint="eastAsia" w:cs="Times New Roman"/>
                <w:kern w:val="0"/>
                <w:szCs w:val="20"/>
              </w:rPr>
              <w:t>8</w:t>
            </w:r>
          </w:p>
        </w:tc>
        <w:tc>
          <w:tcPr>
            <w:tcW w:w="4402" w:type="dxa"/>
            <w:noWrap/>
            <w:vAlign w:val="center"/>
          </w:tcPr>
          <w:p>
            <w:pPr>
              <w:pStyle w:val="38"/>
              <w:widowControl w:val="0"/>
              <w:rPr>
                <w:rFonts w:cs="Times New Roman"/>
                <w:kern w:val="0"/>
                <w:szCs w:val="20"/>
              </w:rPr>
            </w:pPr>
            <w:r>
              <w:rPr>
                <w:rFonts w:hint="eastAsia" w:cs="Times New Roman"/>
                <w:kern w:val="0"/>
                <w:szCs w:val="20"/>
              </w:rPr>
              <w:t>杜桥工程渣土消纳场</w:t>
            </w:r>
          </w:p>
        </w:tc>
        <w:tc>
          <w:tcPr>
            <w:tcW w:w="1418" w:type="dxa"/>
            <w:noWrap/>
            <w:vAlign w:val="center"/>
          </w:tcPr>
          <w:p>
            <w:pPr>
              <w:pStyle w:val="38"/>
              <w:widowControl w:val="0"/>
              <w:rPr>
                <w:rFonts w:cs="Times New Roman"/>
                <w:kern w:val="0"/>
                <w:szCs w:val="20"/>
              </w:rPr>
            </w:pPr>
            <w:r>
              <w:rPr>
                <w:rFonts w:hint="eastAsia" w:cs="Times New Roman"/>
                <w:kern w:val="0"/>
                <w:szCs w:val="20"/>
              </w:rPr>
              <w:t>1</w:t>
            </w:r>
            <w:r>
              <w:rPr>
                <w:rFonts w:hint="eastAsia" w:cs="Times New Roman"/>
                <w:kern w:val="0"/>
                <w:szCs w:val="20"/>
                <w:lang w:val="en-US" w:eastAsia="zh-CN"/>
              </w:rPr>
              <w:t>5</w:t>
            </w:r>
            <w:r>
              <w:rPr>
                <w:rFonts w:hint="eastAsia" w:cs="Times New Roman"/>
                <w:kern w:val="0"/>
                <w:szCs w:val="20"/>
              </w:rPr>
              <w:t>0万吨</w:t>
            </w:r>
          </w:p>
        </w:tc>
        <w:tc>
          <w:tcPr>
            <w:tcW w:w="1276" w:type="dxa"/>
            <w:vAlign w:val="center"/>
          </w:tcPr>
          <w:p>
            <w:pPr>
              <w:pStyle w:val="38"/>
              <w:widowControl w:val="0"/>
              <w:rPr>
                <w:rFonts w:cs="Times New Roman"/>
                <w:kern w:val="0"/>
                <w:szCs w:val="20"/>
              </w:rPr>
            </w:pPr>
            <w:r>
              <w:rPr>
                <w:rFonts w:hint="eastAsia" w:cs="Times New Roman"/>
                <w:kern w:val="0"/>
                <w:szCs w:val="20"/>
              </w:rPr>
              <w:t>规划</w:t>
            </w:r>
          </w:p>
        </w:tc>
        <w:tc>
          <w:tcPr>
            <w:tcW w:w="1268" w:type="dxa"/>
            <w:vAlign w:val="center"/>
          </w:tcPr>
          <w:p>
            <w:pPr>
              <w:pStyle w:val="38"/>
              <w:widowControl w:val="0"/>
              <w:rPr>
                <w:rFonts w:cs="Times New Roman"/>
                <w:kern w:val="0"/>
                <w:szCs w:val="20"/>
              </w:rPr>
            </w:pPr>
            <w:r>
              <w:rPr>
                <w:rFonts w:hint="eastAsia" w:cs="Times New Roman"/>
                <w:kern w:val="0"/>
                <w:szCs w:val="20"/>
              </w:rPr>
              <w:t>远期预留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rPr>
            </w:pPr>
            <w:r>
              <w:rPr>
                <w:rFonts w:hint="eastAsia" w:cs="Times New Roman"/>
                <w:kern w:val="0"/>
                <w:szCs w:val="20"/>
              </w:rPr>
              <w:t>9</w:t>
            </w:r>
          </w:p>
        </w:tc>
        <w:tc>
          <w:tcPr>
            <w:tcW w:w="4402" w:type="dxa"/>
            <w:noWrap/>
            <w:vAlign w:val="center"/>
          </w:tcPr>
          <w:p>
            <w:pPr>
              <w:pStyle w:val="38"/>
              <w:widowControl w:val="0"/>
              <w:rPr>
                <w:rFonts w:cs="Times New Roman"/>
                <w:kern w:val="0"/>
                <w:szCs w:val="20"/>
              </w:rPr>
            </w:pPr>
            <w:r>
              <w:rPr>
                <w:rFonts w:hint="eastAsia" w:cs="Times New Roman"/>
                <w:kern w:val="0"/>
                <w:szCs w:val="20"/>
              </w:rPr>
              <w:t>白水洋工程渣土消纳场</w:t>
            </w:r>
          </w:p>
        </w:tc>
        <w:tc>
          <w:tcPr>
            <w:tcW w:w="1418" w:type="dxa"/>
            <w:noWrap/>
            <w:vAlign w:val="center"/>
          </w:tcPr>
          <w:p>
            <w:pPr>
              <w:pStyle w:val="38"/>
              <w:widowControl w:val="0"/>
              <w:rPr>
                <w:rFonts w:cs="Times New Roman"/>
                <w:kern w:val="0"/>
                <w:szCs w:val="20"/>
              </w:rPr>
            </w:pPr>
            <w:r>
              <w:rPr>
                <w:rFonts w:hint="eastAsia" w:cs="Times New Roman"/>
                <w:kern w:val="0"/>
                <w:szCs w:val="20"/>
              </w:rPr>
              <w:t>100万吨</w:t>
            </w:r>
          </w:p>
        </w:tc>
        <w:tc>
          <w:tcPr>
            <w:tcW w:w="1276" w:type="dxa"/>
            <w:vAlign w:val="center"/>
          </w:tcPr>
          <w:p>
            <w:pPr>
              <w:pStyle w:val="38"/>
              <w:widowControl w:val="0"/>
              <w:rPr>
                <w:rFonts w:cs="Times New Roman"/>
                <w:kern w:val="0"/>
                <w:szCs w:val="20"/>
              </w:rPr>
            </w:pPr>
            <w:r>
              <w:rPr>
                <w:rFonts w:hint="eastAsia" w:cs="Times New Roman"/>
                <w:kern w:val="0"/>
                <w:szCs w:val="20"/>
              </w:rPr>
              <w:t>规划</w:t>
            </w:r>
          </w:p>
        </w:tc>
        <w:tc>
          <w:tcPr>
            <w:tcW w:w="1268" w:type="dxa"/>
            <w:vAlign w:val="center"/>
          </w:tcPr>
          <w:p>
            <w:pPr>
              <w:pStyle w:val="38"/>
              <w:widowControl w:val="0"/>
              <w:rPr>
                <w:rFonts w:cs="Times New Roman"/>
                <w:kern w:val="0"/>
                <w:szCs w:val="20"/>
              </w:rPr>
            </w:pPr>
            <w:r>
              <w:rPr>
                <w:rFonts w:hint="eastAsia" w:cs="Times New Roman"/>
                <w:kern w:val="0"/>
                <w:szCs w:val="20"/>
              </w:rPr>
              <w:t>远期预留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noWrap/>
            <w:vAlign w:val="center"/>
          </w:tcPr>
          <w:p>
            <w:pPr>
              <w:pStyle w:val="38"/>
              <w:widowControl w:val="0"/>
              <w:rPr>
                <w:rFonts w:cs="Times New Roman"/>
                <w:kern w:val="0"/>
                <w:szCs w:val="20"/>
              </w:rPr>
            </w:pPr>
            <w:r>
              <w:rPr>
                <w:rFonts w:hint="eastAsia" w:cs="Times New Roman"/>
                <w:kern w:val="0"/>
                <w:szCs w:val="20"/>
              </w:rPr>
              <w:t>10</w:t>
            </w:r>
          </w:p>
        </w:tc>
        <w:tc>
          <w:tcPr>
            <w:tcW w:w="4402" w:type="dxa"/>
            <w:noWrap/>
            <w:vAlign w:val="center"/>
          </w:tcPr>
          <w:p>
            <w:pPr>
              <w:pStyle w:val="38"/>
              <w:widowControl w:val="0"/>
              <w:rPr>
                <w:rFonts w:cs="Times New Roman"/>
                <w:kern w:val="0"/>
                <w:szCs w:val="20"/>
              </w:rPr>
            </w:pPr>
            <w:r>
              <w:rPr>
                <w:rFonts w:hint="eastAsia" w:cs="Times New Roman"/>
                <w:kern w:val="0"/>
                <w:szCs w:val="20"/>
              </w:rPr>
              <w:t>台州湾新材料产业园场坪工程（一期）</w:t>
            </w:r>
          </w:p>
        </w:tc>
        <w:tc>
          <w:tcPr>
            <w:tcW w:w="1418" w:type="dxa"/>
            <w:noWrap/>
            <w:vAlign w:val="center"/>
          </w:tcPr>
          <w:p>
            <w:pPr>
              <w:pStyle w:val="38"/>
              <w:widowControl w:val="0"/>
              <w:rPr>
                <w:rFonts w:cs="Times New Roman"/>
                <w:kern w:val="0"/>
                <w:szCs w:val="20"/>
              </w:rPr>
            </w:pPr>
            <w:r>
              <w:rPr>
                <w:rFonts w:hint="eastAsia" w:cs="Times New Roman"/>
                <w:kern w:val="0"/>
                <w:szCs w:val="20"/>
              </w:rPr>
              <w:t>900万吨</w:t>
            </w:r>
          </w:p>
        </w:tc>
        <w:tc>
          <w:tcPr>
            <w:tcW w:w="1276" w:type="dxa"/>
            <w:vAlign w:val="center"/>
          </w:tcPr>
          <w:p>
            <w:pPr>
              <w:pStyle w:val="38"/>
              <w:widowControl w:val="0"/>
              <w:rPr>
                <w:rFonts w:cs="Times New Roman"/>
                <w:kern w:val="0"/>
                <w:szCs w:val="20"/>
              </w:rPr>
            </w:pPr>
            <w:r>
              <w:rPr>
                <w:rFonts w:hint="eastAsia" w:cs="Times New Roman"/>
                <w:kern w:val="0"/>
                <w:szCs w:val="20"/>
              </w:rPr>
              <w:t>保留</w:t>
            </w:r>
          </w:p>
        </w:tc>
        <w:tc>
          <w:tcPr>
            <w:tcW w:w="1268" w:type="dxa"/>
            <w:vAlign w:val="center"/>
          </w:tcPr>
          <w:p>
            <w:pPr>
              <w:pStyle w:val="38"/>
              <w:widowControl w:val="0"/>
              <w:rPr>
                <w:rFonts w:cs="Times New Roman"/>
                <w:kern w:val="0"/>
                <w:szCs w:val="20"/>
              </w:rPr>
            </w:pPr>
            <w:r>
              <w:rPr>
                <w:rFonts w:hint="eastAsia" w:cs="Times New Roman"/>
                <w:kern w:val="0"/>
                <w:szCs w:val="20"/>
              </w:rPr>
              <w:t>临时</w:t>
            </w:r>
          </w:p>
        </w:tc>
      </w:tr>
    </w:tbl>
    <w:p>
      <w:pPr>
        <w:ind w:firstLine="640"/>
      </w:pPr>
    </w:p>
    <w:p>
      <w:pPr>
        <w:pStyle w:val="2"/>
      </w:pPr>
      <w:bookmarkStart w:id="230" w:name="_Toc167461402"/>
      <w:bookmarkStart w:id="231" w:name="_Toc168062411"/>
      <w:bookmarkStart w:id="232" w:name="_Hlk167459481"/>
      <w:r>
        <w:rPr>
          <w:rFonts w:hint="eastAsia"/>
        </w:rPr>
        <w:t>建筑垃圾监督管理规划</w:t>
      </w:r>
      <w:bookmarkEnd w:id="230"/>
      <w:bookmarkEnd w:id="231"/>
    </w:p>
    <w:bookmarkEnd w:id="232"/>
    <w:p>
      <w:pPr>
        <w:pStyle w:val="3"/>
      </w:pPr>
      <w:bookmarkStart w:id="233" w:name="_Toc167461403"/>
      <w:bookmarkStart w:id="234" w:name="_Toc168062412"/>
      <w:r>
        <w:rPr>
          <w:rFonts w:hint="eastAsia"/>
        </w:rPr>
        <w:t>管理制度机制建设</w:t>
      </w:r>
      <w:bookmarkEnd w:id="233"/>
      <w:bookmarkEnd w:id="234"/>
    </w:p>
    <w:p>
      <w:pPr>
        <w:ind w:firstLine="640"/>
      </w:pPr>
      <w:bookmarkStart w:id="235" w:name="_Hlk168063721"/>
      <w:r>
        <w:rPr>
          <w:rFonts w:hint="eastAsia"/>
        </w:rPr>
        <w:t>加强组织领导。将临海市工程渣土处置领域专项治理工作专班调整为市工程渣土常态化治理工作专班，专班办公室设在市综合行政执法局，实现实体化、常态化运转。</w:t>
      </w:r>
    </w:p>
    <w:p>
      <w:pPr>
        <w:ind w:firstLine="640"/>
      </w:pPr>
      <w:r>
        <w:rPr>
          <w:rFonts w:hint="eastAsia"/>
        </w:rPr>
        <w:t>加强督查考核。工作专班要加大督查检查力度，对工程渣土常态化监管工作进展情况、工作成效以及相关职能部门履职尽责情况进行动态督导，建立完善长效管理机制，切实巩固专项治理成果。</w:t>
      </w:r>
    </w:p>
    <w:p>
      <w:pPr>
        <w:ind w:firstLine="640"/>
      </w:pPr>
      <w:r>
        <w:rPr>
          <w:rFonts w:hint="eastAsia"/>
        </w:rPr>
        <w:t>强化执纪问责。市纪委市监委要紧盯工程渣土处置领域廉政风险点、工作难点、问题堵点，强化检查监督力度，全力推动工程渣土常态化监管工作推向深入。对发现在工程渣土常态化监管工作中推诿敷衍、工作落实不到位、弄虚作假、瞒报虚报等问题，一经查实依法依规追究相关人员责任；对存在违纪违法行为或者为黑恶势力充当“保护伞”、通风报信以及隐瞒欺瞒黑恶问题线索等行为的，移送有关机关依法予以查处</w:t>
      </w:r>
      <w:bookmarkEnd w:id="235"/>
      <w:r>
        <w:rPr>
          <w:rFonts w:hint="eastAsia"/>
        </w:rPr>
        <w:t>。</w:t>
      </w:r>
    </w:p>
    <w:p>
      <w:pPr>
        <w:pStyle w:val="3"/>
      </w:pPr>
      <w:bookmarkStart w:id="236" w:name="_Toc168062413"/>
      <w:bookmarkStart w:id="237" w:name="_Toc167461404"/>
      <w:r>
        <w:rPr>
          <w:rFonts w:hint="eastAsia"/>
        </w:rPr>
        <w:t>部门职责分工</w:t>
      </w:r>
      <w:bookmarkEnd w:id="236"/>
      <w:bookmarkEnd w:id="237"/>
    </w:p>
    <w:p>
      <w:pPr>
        <w:ind w:firstLine="640"/>
      </w:pPr>
      <w:bookmarkStart w:id="238" w:name="_Hlk168063741"/>
      <w:r>
        <w:rPr>
          <w:rFonts w:hint="eastAsia"/>
        </w:rPr>
        <w:t>进一步全面厘清部门职责，细化落实责任分工，聚焦源头产生、中间运输、末端处置关键环节，全面督促落实施工现场文明施工、建筑垃圾处置核准许可、建筑垃圾处理方案备案等制度，及时发现违法违规行为，强化问题整改落实，落实管理和执法责任，形成工作合力，实现权责统一，坚决防止出现推诿扯皮、监管真空的现象</w:t>
      </w:r>
      <w:bookmarkEnd w:id="238"/>
      <w:r>
        <w:rPr>
          <w:rFonts w:hint="eastAsia"/>
        </w:rPr>
        <w:t>。具体部门职责分工如下表。</w:t>
      </w:r>
    </w:p>
    <w:p>
      <w:pPr>
        <w:pStyle w:val="36"/>
      </w:pPr>
      <w:r>
        <w:rPr>
          <w:rFonts w:hint="eastAsia"/>
        </w:rPr>
        <w:t>表</w:t>
      </w:r>
      <w:r>
        <w:t xml:space="preserve"> </w:t>
      </w:r>
      <w:r>
        <w:fldChar w:fldCharType="begin"/>
      </w:r>
      <w:r>
        <w:instrText xml:space="preserve"> STYLEREF 1 \s </w:instrText>
      </w:r>
      <w:r>
        <w:fldChar w:fldCharType="separate"/>
      </w:r>
      <w:r>
        <w:t>9</w:t>
      </w:r>
      <w:r>
        <w:fldChar w:fldCharType="end"/>
      </w:r>
      <w:r>
        <w:noBreakHyphen/>
      </w:r>
      <w:r>
        <w:fldChar w:fldCharType="begin"/>
      </w:r>
      <w:r>
        <w:instrText xml:space="preserve"> SEQ </w:instrText>
      </w:r>
      <w:r>
        <w:rPr>
          <w:rFonts w:hint="eastAsia"/>
        </w:rPr>
        <w:instrText xml:space="preserve">表</w:instrText>
      </w:r>
      <w:r>
        <w:instrText xml:space="preserve"> \* ARABIC \s 1 </w:instrText>
      </w:r>
      <w:r>
        <w:fldChar w:fldCharType="separate"/>
      </w:r>
      <w:r>
        <w:t>1</w:t>
      </w:r>
      <w:r>
        <w:fldChar w:fldCharType="end"/>
      </w:r>
      <w:r>
        <w:rPr>
          <w:rFonts w:hint="eastAsia"/>
        </w:rPr>
        <w:t>部门职责分工一览表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50"/>
        <w:gridCol w:w="4395"/>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46" w:type="dxa"/>
            <w:vAlign w:val="center"/>
          </w:tcPr>
          <w:p>
            <w:pPr>
              <w:pStyle w:val="38"/>
            </w:pPr>
            <w:r>
              <w:rPr>
                <w:rFonts w:hint="eastAsia"/>
              </w:rPr>
              <w:t>类别</w:t>
            </w:r>
          </w:p>
        </w:tc>
        <w:tc>
          <w:tcPr>
            <w:tcW w:w="850" w:type="dxa"/>
            <w:vAlign w:val="center"/>
          </w:tcPr>
          <w:p>
            <w:pPr>
              <w:pStyle w:val="38"/>
            </w:pPr>
            <w:r>
              <w:rPr>
                <w:rFonts w:hint="eastAsia"/>
              </w:rPr>
              <w:t>治理重点</w:t>
            </w:r>
          </w:p>
        </w:tc>
        <w:tc>
          <w:tcPr>
            <w:tcW w:w="4395" w:type="dxa"/>
            <w:vAlign w:val="center"/>
          </w:tcPr>
          <w:p>
            <w:pPr>
              <w:pStyle w:val="38"/>
            </w:pPr>
            <w:r>
              <w:rPr>
                <w:rFonts w:hint="eastAsia"/>
              </w:rPr>
              <w:t>主要工作内容</w:t>
            </w:r>
          </w:p>
        </w:tc>
        <w:tc>
          <w:tcPr>
            <w:tcW w:w="2969" w:type="dxa"/>
            <w:vAlign w:val="center"/>
          </w:tcPr>
          <w:p>
            <w:pPr>
              <w:pStyle w:val="38"/>
            </w:pPr>
            <w:r>
              <w:rPr>
                <w:rFonts w:hint="eastAsia"/>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8"/>
            </w:pPr>
            <w:r>
              <w:rPr>
                <w:rFonts w:hint="eastAsia"/>
              </w:rPr>
              <w:t>源头管理</w:t>
            </w:r>
          </w:p>
        </w:tc>
        <w:tc>
          <w:tcPr>
            <w:tcW w:w="850" w:type="dxa"/>
            <w:vAlign w:val="center"/>
          </w:tcPr>
          <w:p>
            <w:pPr>
              <w:pStyle w:val="38"/>
            </w:pPr>
            <w:r>
              <w:rPr>
                <w:rFonts w:hint="eastAsia"/>
              </w:rPr>
              <w:t>摸清底数</w:t>
            </w:r>
          </w:p>
        </w:tc>
        <w:tc>
          <w:tcPr>
            <w:tcW w:w="4395" w:type="dxa"/>
            <w:vAlign w:val="center"/>
          </w:tcPr>
          <w:p>
            <w:pPr>
              <w:pStyle w:val="38"/>
            </w:pPr>
            <w:r>
              <w:rPr>
                <w:rFonts w:hint="eastAsia"/>
              </w:rPr>
              <w:t>对房屋市政、交通、水利、农村基础设施建设（以下简称各类工程）等工程进行全面摸排，做到项目数量清、项目位置清、渣土产生量清、责任主体清。</w:t>
            </w:r>
          </w:p>
        </w:tc>
        <w:tc>
          <w:tcPr>
            <w:tcW w:w="2969" w:type="dxa"/>
            <w:vAlign w:val="center"/>
          </w:tcPr>
          <w:p>
            <w:pPr>
              <w:pStyle w:val="38"/>
            </w:pPr>
            <w:r>
              <w:rPr>
                <w:rFonts w:hint="eastAsia"/>
              </w:rPr>
              <w:t>市建设局、市交通运输局、市水利局、市农业农村局、市综合执法局、市港航口岸和渔业局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8"/>
            </w:pPr>
          </w:p>
        </w:tc>
        <w:tc>
          <w:tcPr>
            <w:tcW w:w="850" w:type="dxa"/>
            <w:vAlign w:val="center"/>
          </w:tcPr>
          <w:p>
            <w:pPr>
              <w:pStyle w:val="38"/>
            </w:pPr>
            <w:r>
              <w:rPr>
                <w:rFonts w:hint="eastAsia"/>
              </w:rPr>
              <w:t>落实责任</w:t>
            </w:r>
          </w:p>
        </w:tc>
        <w:tc>
          <w:tcPr>
            <w:tcW w:w="4395" w:type="dxa"/>
            <w:vAlign w:val="center"/>
          </w:tcPr>
          <w:p>
            <w:pPr>
              <w:pStyle w:val="38"/>
            </w:pPr>
            <w:r>
              <w:rPr>
                <w:rFonts w:hint="eastAsia"/>
              </w:rPr>
              <w:t>督促本辖区各类工程建设单位、设计单位、施工单位、监理单位将建筑渣土处置纳入设计方案、施工合同、监理合同并做好全程监管，对依法需要招投标处置的建筑渣土依法规范招投标并加强后续监管。</w:t>
            </w:r>
          </w:p>
        </w:tc>
        <w:tc>
          <w:tcPr>
            <w:tcW w:w="2969" w:type="dxa"/>
            <w:vAlign w:val="center"/>
          </w:tcPr>
          <w:p>
            <w:pPr>
              <w:pStyle w:val="38"/>
            </w:pPr>
            <w:r>
              <w:rPr>
                <w:rFonts w:hint="eastAsia"/>
              </w:rPr>
              <w:t>市建设局、市交通运输局、市水利局、市农业农村局、市综合执法局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8"/>
            </w:pPr>
          </w:p>
        </w:tc>
        <w:tc>
          <w:tcPr>
            <w:tcW w:w="850" w:type="dxa"/>
            <w:vAlign w:val="center"/>
          </w:tcPr>
          <w:p>
            <w:pPr>
              <w:pStyle w:val="38"/>
            </w:pPr>
            <w:r>
              <w:rPr>
                <w:rFonts w:hint="eastAsia"/>
              </w:rPr>
              <w:t>强化监管</w:t>
            </w:r>
          </w:p>
        </w:tc>
        <w:tc>
          <w:tcPr>
            <w:tcW w:w="4395" w:type="dxa"/>
            <w:vAlign w:val="center"/>
          </w:tcPr>
          <w:p>
            <w:pPr>
              <w:pStyle w:val="38"/>
            </w:pPr>
            <w:r>
              <w:rPr>
                <w:rFonts w:hint="eastAsia"/>
              </w:rPr>
              <w:t>督促辖区内各类工程施工单位依法编制建筑垃圾处理方案，并在开工前报当地综合执法局备案；对需要转移出临海市处置建筑渣土的项目，按规定报市综合执法局同意，并录入省建筑垃圾综合监管服务系统。</w:t>
            </w:r>
          </w:p>
        </w:tc>
        <w:tc>
          <w:tcPr>
            <w:tcW w:w="2969" w:type="dxa"/>
            <w:vAlign w:val="center"/>
          </w:tcPr>
          <w:p>
            <w:pPr>
              <w:pStyle w:val="38"/>
            </w:pPr>
            <w:r>
              <w:rPr>
                <w:rFonts w:hint="eastAsia"/>
              </w:rPr>
              <w:t>市建设局、市交通运输局、市水利局、市农业农村局、市综合执法局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8"/>
            </w:pPr>
          </w:p>
        </w:tc>
        <w:tc>
          <w:tcPr>
            <w:tcW w:w="850" w:type="dxa"/>
            <w:vAlign w:val="center"/>
          </w:tcPr>
          <w:p>
            <w:pPr>
              <w:pStyle w:val="38"/>
            </w:pPr>
            <w:r>
              <w:rPr>
                <w:rFonts w:hint="eastAsia"/>
              </w:rPr>
              <w:t>严格管理</w:t>
            </w:r>
          </w:p>
        </w:tc>
        <w:tc>
          <w:tcPr>
            <w:tcW w:w="4395" w:type="dxa"/>
            <w:vAlign w:val="center"/>
          </w:tcPr>
          <w:p>
            <w:pPr>
              <w:pStyle w:val="38"/>
            </w:pPr>
            <w:r>
              <w:rPr>
                <w:rFonts w:hint="eastAsia"/>
              </w:rPr>
              <w:t>督促各类工程施工单位将建筑垃圾处理方案相关内容在施工现场进行公示，并落实施工现场建筑渣土运输车辆称重、号牌识别、出门清洗等装置和措施。加强对擅自处置建筑渣土的项目进行查处和打击。</w:t>
            </w:r>
          </w:p>
        </w:tc>
        <w:tc>
          <w:tcPr>
            <w:tcW w:w="2969" w:type="dxa"/>
            <w:vAlign w:val="center"/>
          </w:tcPr>
          <w:p>
            <w:pPr>
              <w:pStyle w:val="38"/>
            </w:pPr>
            <w:r>
              <w:rPr>
                <w:rFonts w:hint="eastAsia"/>
              </w:rPr>
              <w:t>各镇（街道）、市建设局、市交通运输局、市水利局、市农业农村局、市综合执法局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8"/>
            </w:pPr>
            <w:r>
              <w:rPr>
                <w:rFonts w:hint="eastAsia"/>
              </w:rPr>
              <w:t>中端运输</w:t>
            </w:r>
          </w:p>
        </w:tc>
        <w:tc>
          <w:tcPr>
            <w:tcW w:w="850" w:type="dxa"/>
            <w:vAlign w:val="center"/>
          </w:tcPr>
          <w:p>
            <w:pPr>
              <w:pStyle w:val="38"/>
            </w:pPr>
            <w:r>
              <w:rPr>
                <w:rFonts w:hint="eastAsia"/>
              </w:rPr>
              <w:t>加强审批监管</w:t>
            </w:r>
          </w:p>
        </w:tc>
        <w:tc>
          <w:tcPr>
            <w:tcW w:w="4395" w:type="dxa"/>
            <w:vAlign w:val="center"/>
          </w:tcPr>
          <w:p>
            <w:pPr>
              <w:pStyle w:val="38"/>
            </w:pPr>
            <w:r>
              <w:rPr>
                <w:rFonts w:hint="eastAsia"/>
              </w:rPr>
              <w:t>做好建筑垃圾处置核准、建筑垃圾处理方案备案和建筑渣土运输车辆道路通行审批，并加强批后监管。</w:t>
            </w:r>
          </w:p>
        </w:tc>
        <w:tc>
          <w:tcPr>
            <w:tcW w:w="2969" w:type="dxa"/>
            <w:vAlign w:val="center"/>
          </w:tcPr>
          <w:p>
            <w:pPr>
              <w:pStyle w:val="38"/>
            </w:pPr>
            <w:r>
              <w:rPr>
                <w:rFonts w:hint="eastAsia"/>
              </w:rPr>
              <w:t>市公安局、市综合执法局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8"/>
            </w:pPr>
          </w:p>
        </w:tc>
        <w:tc>
          <w:tcPr>
            <w:tcW w:w="850" w:type="dxa"/>
            <w:vAlign w:val="center"/>
          </w:tcPr>
          <w:p>
            <w:pPr>
              <w:pStyle w:val="38"/>
            </w:pPr>
            <w:r>
              <w:rPr>
                <w:rFonts w:hint="eastAsia"/>
              </w:rPr>
              <w:t>规范运输中转</w:t>
            </w:r>
          </w:p>
        </w:tc>
        <w:tc>
          <w:tcPr>
            <w:tcW w:w="4395" w:type="dxa"/>
            <w:vAlign w:val="center"/>
          </w:tcPr>
          <w:p>
            <w:pPr>
              <w:pStyle w:val="38"/>
            </w:pPr>
            <w:r>
              <w:rPr>
                <w:rFonts w:hint="eastAsia"/>
              </w:rPr>
              <w:t>加强车辆运输企业和运输船舶管理，做好建筑渣土中转码头经营监管，并督促码头运营单位和船舶运输企业规范落实建筑垃圾电子转移联单制度。督促运营管理单位规范建筑渣土中转场所管理。</w:t>
            </w:r>
          </w:p>
        </w:tc>
        <w:tc>
          <w:tcPr>
            <w:tcW w:w="2969" w:type="dxa"/>
            <w:vAlign w:val="center"/>
          </w:tcPr>
          <w:p>
            <w:pPr>
              <w:pStyle w:val="38"/>
            </w:pPr>
            <w:r>
              <w:rPr>
                <w:rFonts w:hint="eastAsia"/>
              </w:rPr>
              <w:t>市交通运输局、市综合执法局、市港航口岸和渔业局、台州临海海事处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8"/>
            </w:pPr>
          </w:p>
        </w:tc>
        <w:tc>
          <w:tcPr>
            <w:tcW w:w="850" w:type="dxa"/>
            <w:vAlign w:val="center"/>
          </w:tcPr>
          <w:p>
            <w:pPr>
              <w:pStyle w:val="38"/>
            </w:pPr>
            <w:r>
              <w:rPr>
                <w:rFonts w:hint="eastAsia"/>
              </w:rPr>
              <w:t>强化执法监管</w:t>
            </w:r>
          </w:p>
        </w:tc>
        <w:tc>
          <w:tcPr>
            <w:tcW w:w="4395" w:type="dxa"/>
            <w:vAlign w:val="center"/>
          </w:tcPr>
          <w:p>
            <w:pPr>
              <w:pStyle w:val="38"/>
            </w:pPr>
            <w:r>
              <w:rPr>
                <w:rFonts w:hint="eastAsia"/>
              </w:rPr>
              <w:t>加强对建筑渣土未经核准处置、无证运输、乱倒乱堆、未按规定时间和线路运输、跨区偷倒、随意改装车辆、超载超速、“跑冒洒漏”等各类违法行为进行严厉查处，对涉嫌污染环境犯罪的案件或线索，做好“行刑衔接”，及时移送、立案查处。</w:t>
            </w:r>
          </w:p>
        </w:tc>
        <w:tc>
          <w:tcPr>
            <w:tcW w:w="2969" w:type="dxa"/>
            <w:vAlign w:val="center"/>
          </w:tcPr>
          <w:p>
            <w:pPr>
              <w:pStyle w:val="38"/>
            </w:pPr>
            <w:r>
              <w:rPr>
                <w:rFonts w:hint="eastAsia"/>
              </w:rPr>
              <w:t>各镇（街道）、市公安局、市交通运输局、市综合执法局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8"/>
            </w:pPr>
            <w:r>
              <w:rPr>
                <w:rFonts w:hint="eastAsia"/>
              </w:rPr>
              <w:t>末端处置</w:t>
            </w:r>
          </w:p>
        </w:tc>
        <w:tc>
          <w:tcPr>
            <w:tcW w:w="850" w:type="dxa"/>
            <w:vAlign w:val="center"/>
          </w:tcPr>
          <w:p>
            <w:pPr>
              <w:pStyle w:val="38"/>
            </w:pPr>
            <w:r>
              <w:rPr>
                <w:rFonts w:hint="eastAsia"/>
              </w:rPr>
              <w:t>统筹专项治理</w:t>
            </w:r>
          </w:p>
        </w:tc>
        <w:tc>
          <w:tcPr>
            <w:tcW w:w="4395" w:type="dxa"/>
            <w:vAlign w:val="center"/>
          </w:tcPr>
          <w:p>
            <w:pPr>
              <w:pStyle w:val="38"/>
            </w:pPr>
            <w:r>
              <w:rPr>
                <w:rFonts w:hint="eastAsia"/>
              </w:rPr>
              <w:t>将建筑垃圾治理工作纳入本级国民经济和社会发展规划、生态环境保护规划，并做好与国土空间规划以及循环经济发展规划的衔接；依法制定建筑垃圾污染环境防治工作规划，统筹做好建筑垃圾源头减量、分类管理、综合利用、消纳设施及场所建设工作；建立全市统筹、属地负责、部门联动、企业自律的长效管理机制。</w:t>
            </w:r>
          </w:p>
        </w:tc>
        <w:tc>
          <w:tcPr>
            <w:tcW w:w="2969" w:type="dxa"/>
            <w:vAlign w:val="center"/>
          </w:tcPr>
          <w:p>
            <w:pPr>
              <w:pStyle w:val="38"/>
            </w:pPr>
            <w:r>
              <w:rPr>
                <w:rFonts w:hint="eastAsia"/>
              </w:rPr>
              <w:t>市发改局、市自然资源规划局、市建设局、市综合执法局、台州市生态环境局临海分局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8"/>
            </w:pPr>
          </w:p>
        </w:tc>
        <w:tc>
          <w:tcPr>
            <w:tcW w:w="850" w:type="dxa"/>
            <w:vAlign w:val="center"/>
          </w:tcPr>
          <w:p>
            <w:pPr>
              <w:pStyle w:val="38"/>
            </w:pPr>
            <w:r>
              <w:rPr>
                <w:rFonts w:hint="eastAsia"/>
              </w:rPr>
              <w:t>规范终端建设</w:t>
            </w:r>
          </w:p>
        </w:tc>
        <w:tc>
          <w:tcPr>
            <w:tcW w:w="4395" w:type="dxa"/>
            <w:vAlign w:val="center"/>
          </w:tcPr>
          <w:p>
            <w:pPr>
              <w:pStyle w:val="38"/>
            </w:pPr>
            <w:r>
              <w:rPr>
                <w:rFonts w:hint="eastAsia"/>
              </w:rPr>
              <w:t>按布局合理、量能充足要求，推进建筑垃圾消纳场所建设，建立市域建筑垃圾产消平衡机制。严格落实规划确定的建筑垃圾消纳场所用地，依法规范建筑垃圾消纳场所环评审批，督促建筑垃圾消纳场所运营单位依法落实建设项目环境影响评价要求。</w:t>
            </w:r>
          </w:p>
        </w:tc>
        <w:tc>
          <w:tcPr>
            <w:tcW w:w="2969" w:type="dxa"/>
            <w:vAlign w:val="center"/>
          </w:tcPr>
          <w:p>
            <w:pPr>
              <w:pStyle w:val="38"/>
            </w:pPr>
            <w:r>
              <w:rPr>
                <w:rFonts w:hint="eastAsia"/>
              </w:rPr>
              <w:t>台州湾经济技术开发区、各镇（街道）、市自然资源规划局、市综合执法局、台州市生态环境局临海分局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pStyle w:val="38"/>
            </w:pPr>
          </w:p>
        </w:tc>
        <w:tc>
          <w:tcPr>
            <w:tcW w:w="850" w:type="dxa"/>
            <w:vAlign w:val="center"/>
          </w:tcPr>
          <w:p>
            <w:pPr>
              <w:pStyle w:val="38"/>
            </w:pPr>
            <w:r>
              <w:rPr>
                <w:rFonts w:hint="eastAsia"/>
              </w:rPr>
              <w:t>强化处置监管</w:t>
            </w:r>
          </w:p>
        </w:tc>
        <w:tc>
          <w:tcPr>
            <w:tcW w:w="4395" w:type="dxa"/>
            <w:vAlign w:val="center"/>
          </w:tcPr>
          <w:p>
            <w:pPr>
              <w:pStyle w:val="38"/>
            </w:pPr>
            <w:r>
              <w:rPr>
                <w:rFonts w:hint="eastAsia"/>
              </w:rPr>
              <w:t>加强建筑垃圾消纳场的安全规范作业监管，避免存在安全隐患和受纳其它固废的现象。加强对国有储备土地场地平整项目建筑渣土规范化处置和在耕地违法倾倒行为监管、查处。依法开展退役的渣土消纳场所土壤污染检测等相关调查工作。加强对农村基础设施和乡村治理建筑渣土消纳的监管。依法查处随意倾倒、偷倒建筑渣土的行为。</w:t>
            </w:r>
          </w:p>
        </w:tc>
        <w:tc>
          <w:tcPr>
            <w:tcW w:w="2969" w:type="dxa"/>
            <w:vAlign w:val="center"/>
          </w:tcPr>
          <w:p>
            <w:pPr>
              <w:pStyle w:val="38"/>
            </w:pPr>
            <w:r>
              <w:rPr>
                <w:rFonts w:hint="eastAsia"/>
              </w:rPr>
              <w:t>各镇（街道）、市自然资源规划局、市农业农村局、市综合执法局、台州市生态环境局临海分局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8"/>
            </w:pPr>
            <w:r>
              <w:rPr>
                <w:rFonts w:hint="eastAsia"/>
              </w:rPr>
              <w:t>其它方面</w:t>
            </w:r>
          </w:p>
        </w:tc>
        <w:tc>
          <w:tcPr>
            <w:tcW w:w="850" w:type="dxa"/>
            <w:vAlign w:val="center"/>
          </w:tcPr>
          <w:p>
            <w:pPr>
              <w:pStyle w:val="38"/>
            </w:pPr>
            <w:r>
              <w:rPr>
                <w:rFonts w:hint="eastAsia"/>
              </w:rPr>
              <w:t>根治涉黑涉恶</w:t>
            </w:r>
          </w:p>
        </w:tc>
        <w:tc>
          <w:tcPr>
            <w:tcW w:w="4395" w:type="dxa"/>
            <w:vAlign w:val="center"/>
          </w:tcPr>
          <w:p>
            <w:pPr>
              <w:pStyle w:val="38"/>
            </w:pPr>
            <w:r>
              <w:rPr>
                <w:rFonts w:hint="eastAsia"/>
              </w:rPr>
              <w:t>各部门对本部门、本系统、台州湾经济技术开发区、各镇（街道）在建筑渣土治理环节涉黑涉恶问题线索进行深入排查，严厉查处为黑恶势力充当“保护伞”、通风报信和隐瞒欺瞒等现象，坚决铲除黑恶势力。</w:t>
            </w:r>
          </w:p>
        </w:tc>
        <w:tc>
          <w:tcPr>
            <w:tcW w:w="2969" w:type="dxa"/>
            <w:vAlign w:val="center"/>
          </w:tcPr>
          <w:p>
            <w:pPr>
              <w:pStyle w:val="38"/>
            </w:pPr>
            <w:r>
              <w:rPr>
                <w:rFonts w:hint="eastAsia"/>
              </w:rPr>
              <w:t>台州湾经济技术开发区、各镇（街道）、市公安局、市自然资源规划局、市建设局、市交通运输局、市水利局、市农业农村局、市综合执法局、市港航口岸和渔业局、台州市生态环境局临海分</w:t>
            </w:r>
          </w:p>
          <w:p>
            <w:pPr>
              <w:pStyle w:val="38"/>
            </w:pPr>
            <w:r>
              <w:rPr>
                <w:rFonts w:hint="eastAsia"/>
              </w:rPr>
              <w:t>局、台州临海海事处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8"/>
            </w:pPr>
          </w:p>
        </w:tc>
        <w:tc>
          <w:tcPr>
            <w:tcW w:w="850" w:type="dxa"/>
            <w:vAlign w:val="center"/>
          </w:tcPr>
          <w:p>
            <w:pPr>
              <w:pStyle w:val="38"/>
            </w:pPr>
            <w:r>
              <w:rPr>
                <w:rFonts w:hint="eastAsia"/>
              </w:rPr>
              <w:t>严格执纪规范</w:t>
            </w:r>
          </w:p>
        </w:tc>
        <w:tc>
          <w:tcPr>
            <w:tcW w:w="4395" w:type="dxa"/>
            <w:vAlign w:val="center"/>
          </w:tcPr>
          <w:p>
            <w:pPr>
              <w:pStyle w:val="38"/>
            </w:pPr>
            <w:r>
              <w:rPr>
                <w:rFonts w:hint="eastAsia"/>
              </w:rPr>
              <w:t>深入排查2020年以来在工程招标、工程施工、合同履约监管、处理方案备案、处置核准审批、运输车（船）监管、道路通行审批以及消纳场所规划审批等方面存在违纪违法违规现象，对涉嫌违法违纪的及时做好移交和配合查处。</w:t>
            </w:r>
          </w:p>
        </w:tc>
        <w:tc>
          <w:tcPr>
            <w:tcW w:w="2969" w:type="dxa"/>
            <w:vAlign w:val="center"/>
          </w:tcPr>
          <w:p>
            <w:pPr>
              <w:pStyle w:val="38"/>
            </w:pPr>
            <w:r>
              <w:rPr>
                <w:rFonts w:hint="eastAsia"/>
              </w:rPr>
              <w:t>台州湾经济技术开发区、各镇（街道）、市公安局、市自然资源规划局、市建设局、市交通运输局、市水利局、市农业农村局、市综合执法局、市港航口岸和渔业局、台州市生态环境局临海分局、台州临海海事处及驻在纪检监察部门</w:t>
            </w:r>
          </w:p>
        </w:tc>
      </w:tr>
    </w:tbl>
    <w:p>
      <w:pPr>
        <w:ind w:firstLine="640"/>
      </w:pPr>
    </w:p>
    <w:p>
      <w:pPr>
        <w:pStyle w:val="3"/>
      </w:pPr>
      <w:bookmarkStart w:id="239" w:name="_Toc168062414"/>
      <w:bookmarkStart w:id="240" w:name="_Toc167461405"/>
      <w:r>
        <w:rPr>
          <w:rFonts w:hint="eastAsia"/>
        </w:rPr>
        <w:t>全过程数字化治理建设</w:t>
      </w:r>
      <w:bookmarkEnd w:id="239"/>
      <w:bookmarkEnd w:id="240"/>
    </w:p>
    <w:p>
      <w:pPr>
        <w:ind w:firstLine="640"/>
      </w:pPr>
      <w:bookmarkStart w:id="241" w:name="_Hlk168063780"/>
      <w:r>
        <w:rPr>
          <w:rFonts w:hint="eastAsia"/>
        </w:rPr>
        <w:t>全面落实数字化改革要求，加快“浙江省建筑垃圾综合监管服务系统”的推广应用，充分利用数字化技术实时监控工程渣土处置全过程，防止工程渣土随意处置、非法倾倒等现象，加快实现工程渣土由“人防”向“技防”的监管方式转变。积极运用卫星遥感监测、视频监测、无人机巡航等多种数字科技手段，加强对重点区域的动态监测，提高主动发现问题、高效处置问题的能力，提升工程渣土处置领域常态化管控和精细化管理水平。依托浙江省“大综合一体化”执法监管数字应用，深入开展工程渣土执法监管联合检查、线索移送、处罚办案等工作，提升监管执法效能。</w:t>
      </w:r>
    </w:p>
    <w:bookmarkEnd w:id="241"/>
    <w:p>
      <w:pPr>
        <w:pStyle w:val="36"/>
      </w:pPr>
      <w:r>
        <w:drawing>
          <wp:inline distT="0" distB="0" distL="0" distR="0">
            <wp:extent cx="4955540" cy="2481580"/>
            <wp:effectExtent l="0" t="0" r="0" b="0"/>
            <wp:docPr id="1869159387"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59387" name="图片 1" descr="图形用户界面&#10;&#10;描述已自动生成"/>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978694" cy="2493552"/>
                    </a:xfrm>
                    <a:prstGeom prst="rect">
                      <a:avLst/>
                    </a:prstGeom>
                    <a:noFill/>
                    <a:ln>
                      <a:noFill/>
                    </a:ln>
                  </pic:spPr>
                </pic:pic>
              </a:graphicData>
            </a:graphic>
          </wp:inline>
        </w:drawing>
      </w:r>
    </w:p>
    <w:p>
      <w:pPr>
        <w:pStyle w:val="36"/>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浙江省建筑垃圾综合监管服务系统平台界面</w:t>
      </w:r>
    </w:p>
    <w:p>
      <w:pPr>
        <w:pStyle w:val="3"/>
      </w:pPr>
      <w:bookmarkStart w:id="242" w:name="_Toc168062415"/>
      <w:bookmarkStart w:id="243" w:name="_Toc167461406"/>
      <w:r>
        <w:rPr>
          <w:rFonts w:hint="eastAsia"/>
        </w:rPr>
        <w:t>突发应急预案</w:t>
      </w:r>
      <w:bookmarkEnd w:id="242"/>
      <w:bookmarkEnd w:id="243"/>
    </w:p>
    <w:p>
      <w:pPr>
        <w:ind w:firstLine="640"/>
      </w:pPr>
      <w:r>
        <w:rPr>
          <w:rFonts w:hint="eastAsia"/>
        </w:rPr>
        <w:t>在建筑垃圾治理中，突发应急预案的制定是确保在建筑垃圾管理过程中有效应对突发事件、减少环境污染和公共安全风险的重要环节。</w:t>
      </w:r>
    </w:p>
    <w:p>
      <w:pPr>
        <w:pStyle w:val="30"/>
      </w:pPr>
      <w:bookmarkStart w:id="244" w:name="_Hlk167463815"/>
      <w:r>
        <w:rPr>
          <w:rFonts w:hint="eastAsia"/>
        </w:rPr>
        <w:t>应急组织体系</w:t>
      </w:r>
    </w:p>
    <w:bookmarkEnd w:id="244"/>
    <w:p>
      <w:pPr>
        <w:ind w:firstLine="640"/>
      </w:pPr>
      <w:bookmarkStart w:id="245" w:name="_Hlk167463827"/>
      <w:r>
        <w:rPr>
          <w:rFonts w:hint="eastAsia"/>
        </w:rPr>
        <w:t>建立由市政府领导、建设部门、环保部门、综合执法部门等组成的应急指挥机构，明确各部门的职责和分工。</w:t>
      </w:r>
    </w:p>
    <w:p>
      <w:pPr>
        <w:ind w:firstLine="640"/>
      </w:pPr>
      <w:r>
        <w:rPr>
          <w:rFonts w:hint="eastAsia"/>
        </w:rPr>
        <w:t>组建专业的应急响应队伍，包括建筑垃圾清运队、环境监测队和医疗救援队，确保在突发事件发生时能够迅速行动。</w:t>
      </w:r>
    </w:p>
    <w:p>
      <w:pPr>
        <w:ind w:firstLine="640"/>
      </w:pPr>
      <w:r>
        <w:rPr>
          <w:rFonts w:hint="eastAsia"/>
        </w:rPr>
        <w:t>建立风险预警机制，借助建筑垃圾处理过程中的监控系统，实时监控关键环节，识别潜在的安全隐患。</w:t>
      </w:r>
    </w:p>
    <w:bookmarkEnd w:id="245"/>
    <w:p>
      <w:pPr>
        <w:pStyle w:val="30"/>
      </w:pPr>
      <w:bookmarkStart w:id="246" w:name="_Hlk167463840"/>
      <w:r>
        <w:rPr>
          <w:rFonts w:hint="eastAsia"/>
        </w:rPr>
        <w:t>应急响应措施</w:t>
      </w:r>
    </w:p>
    <w:p>
      <w:pPr>
        <w:ind w:firstLine="640"/>
      </w:pPr>
      <w:r>
        <w:rPr>
          <w:rFonts w:hint="eastAsia"/>
        </w:rPr>
        <w:t>发生突发事件后，立即启动应急预案，快速封锁现场，组织相关部门和应急队伍到达现场，进行初步处置。</w:t>
      </w:r>
    </w:p>
    <w:p>
      <w:pPr>
        <w:ind w:firstLine="640"/>
      </w:pPr>
      <w:r>
        <w:rPr>
          <w:rFonts w:hint="eastAsia"/>
        </w:rPr>
        <w:t>根据事件类型，采取相应的紧急处理措施，如控制垃圾扩散、灭火、污染物隔离等。在确保安全的前提下，迅速疏散现场及周边受影响的人员，设置临时避难场所，提供必要的生活保障。</w:t>
      </w:r>
    </w:p>
    <w:p>
      <w:pPr>
        <w:pStyle w:val="30"/>
      </w:pPr>
      <w:r>
        <w:rPr>
          <w:rFonts w:hint="eastAsia"/>
        </w:rPr>
        <w:t>应急培训演练</w:t>
      </w:r>
    </w:p>
    <w:p>
      <w:pPr>
        <w:ind w:firstLine="640"/>
      </w:pPr>
      <w:r>
        <w:rPr>
          <w:rFonts w:hint="eastAsia"/>
        </w:rPr>
        <w:t>定期开展应急知识和技能培训，提高相关人员的应急意识和处置能力。每年至少组织一次应急演练，模拟突发事件发生的全过程，检验预案的有效性和可操作性，及时调整和完善预案。</w:t>
      </w:r>
    </w:p>
    <w:p>
      <w:pPr>
        <w:pStyle w:val="30"/>
      </w:pPr>
      <w:r>
        <w:rPr>
          <w:rFonts w:hint="eastAsia"/>
        </w:rPr>
        <w:t>后期恢复评估</w:t>
      </w:r>
    </w:p>
    <w:p>
      <w:pPr>
        <w:ind w:firstLine="640"/>
      </w:pPr>
      <w:r>
        <w:rPr>
          <w:rFonts w:hint="eastAsia"/>
        </w:rPr>
        <w:t>突发事件处理完毕后，及时开展恢复工作，包括垃圾清理、环境修复和设施修复等，尽快恢复正常秩序。对突发事件的应急处置过程进行全面评估，总结经验教训，完善应急预案，提升整体应急管理水平。</w:t>
      </w:r>
    </w:p>
    <w:bookmarkEnd w:id="246"/>
    <w:p>
      <w:pPr>
        <w:pStyle w:val="2"/>
      </w:pPr>
      <w:bookmarkStart w:id="247" w:name="_Toc168062416"/>
      <w:bookmarkStart w:id="248" w:name="_Toc167461407"/>
      <w:bookmarkStart w:id="249" w:name="_Hlk167459507"/>
      <w:r>
        <w:rPr>
          <w:rFonts w:hint="eastAsia"/>
        </w:rPr>
        <w:t>建筑垃圾资源化利用产业发展规划</w:t>
      </w:r>
      <w:bookmarkEnd w:id="247"/>
      <w:bookmarkEnd w:id="248"/>
    </w:p>
    <w:bookmarkEnd w:id="249"/>
    <w:p>
      <w:pPr>
        <w:pStyle w:val="3"/>
      </w:pPr>
      <w:bookmarkStart w:id="250" w:name="_Toc167461408"/>
      <w:bookmarkStart w:id="251" w:name="_Toc168062417"/>
      <w:r>
        <w:rPr>
          <w:rFonts w:hint="eastAsia"/>
        </w:rPr>
        <w:t>规划目标</w:t>
      </w:r>
      <w:bookmarkEnd w:id="250"/>
      <w:bookmarkEnd w:id="251"/>
    </w:p>
    <w:p>
      <w:pPr>
        <w:ind w:firstLine="640"/>
      </w:pPr>
      <w:bookmarkStart w:id="252" w:name="_Hlk168063845"/>
      <w:r>
        <w:rPr>
          <w:rFonts w:hint="eastAsia"/>
        </w:rPr>
        <w:t>规划提高建筑垃圾资源化利用再生产品生产、质量提升和推广应用，强化政策支持，完善标准体系，打通建筑垃圾产生、资源化利用、产品应用的各个环节，构筑建筑垃圾资源化利用产业体系，不断提高建筑垃圾资源化处理水平，促进经济社会可持续发展</w:t>
      </w:r>
      <w:bookmarkEnd w:id="252"/>
      <w:r>
        <w:rPr>
          <w:rFonts w:hint="eastAsia"/>
        </w:rPr>
        <w:t>。</w:t>
      </w:r>
    </w:p>
    <w:p>
      <w:pPr>
        <w:pStyle w:val="3"/>
      </w:pPr>
      <w:bookmarkStart w:id="253" w:name="_Toc167461409"/>
      <w:bookmarkStart w:id="254" w:name="_Toc168062418"/>
      <w:r>
        <w:rPr>
          <w:rFonts w:hint="eastAsia"/>
        </w:rPr>
        <w:t>产业发展重点</w:t>
      </w:r>
      <w:bookmarkEnd w:id="253"/>
      <w:bookmarkEnd w:id="254"/>
    </w:p>
    <w:p>
      <w:pPr>
        <w:pStyle w:val="30"/>
      </w:pPr>
      <w:r>
        <w:rPr>
          <w:rFonts w:hint="eastAsia"/>
        </w:rPr>
        <w:t>加强技术创新与研发</w:t>
      </w:r>
    </w:p>
    <w:p>
      <w:pPr>
        <w:ind w:firstLine="640"/>
      </w:pPr>
      <w:r>
        <w:rPr>
          <w:rFonts w:hint="eastAsia"/>
        </w:rPr>
        <w:t>加快建筑垃圾再生利用装备研发。鼓励装备制造企业自主研发或在引进、消化、吸收的基础上,积极研发建筑垃圾处理和资源化利用成套装备，重点提高分拣设备、破碎筛分设备的质量和效率,降低设备成本,提高处理效率,促进我省装备制造业发展。</w:t>
      </w:r>
    </w:p>
    <w:p>
      <w:pPr>
        <w:ind w:firstLine="640"/>
      </w:pPr>
      <w:r>
        <w:rPr>
          <w:rFonts w:hint="eastAsia"/>
        </w:rPr>
        <w:t>完善建筑垃圾再生利用技术体系。鼓励大专院校、科研院所和建筑垃圾资源化利用企业联合建立研发中心，积极开展再生骨料强化技术、再生骨料系列建材生产关键技术、再生细粉料活化技术、专用添加剂制备工艺技术等研发，加快推进建筑垃圾资源化利用工艺和产品规范化、标准化，扩大建筑垃圾再生产品应用范围,提高建筑垃圾再生产品附加值。</w:t>
      </w:r>
    </w:p>
    <w:p>
      <w:pPr>
        <w:pStyle w:val="30"/>
      </w:pPr>
      <w:bookmarkStart w:id="255" w:name="_Hlk167463883"/>
      <w:r>
        <w:rPr>
          <w:rFonts w:hint="eastAsia"/>
        </w:rPr>
        <w:t>加大政策支持力度</w:t>
      </w:r>
    </w:p>
    <w:p>
      <w:pPr>
        <w:ind w:firstLine="640"/>
      </w:pPr>
      <w:r>
        <w:rPr>
          <w:rFonts w:hint="eastAsia"/>
        </w:rPr>
        <w:t>制定并实施支持建筑垃圾资源化利用的优惠政策，如税收减免、财政补贴、低息贷款等，激励企业和个人参与资源化利用。</w:t>
      </w:r>
    </w:p>
    <w:p>
      <w:pPr>
        <w:ind w:firstLine="640"/>
      </w:pPr>
      <w:r>
        <w:rPr>
          <w:rFonts w:hint="eastAsia"/>
        </w:rPr>
        <w:t>建筑垃圾资源化利用项目列入新型墙体材料扶持资金的支持范围，加大对利用建筑垃圾生产新型墙体材料项目和使用再生新型墙体材料的建设工程的支持力度。建筑垃圾资源化利用企业按规定享受国家和省有关资源综合利用增值税等优惠政策。</w:t>
      </w:r>
    </w:p>
    <w:bookmarkEnd w:id="255"/>
    <w:p>
      <w:pPr>
        <w:pStyle w:val="30"/>
      </w:pPr>
      <w:bookmarkStart w:id="256" w:name="_Hlk167463891"/>
      <w:r>
        <w:rPr>
          <w:rFonts w:hint="eastAsia"/>
        </w:rPr>
        <w:t>强化宣传与市场推广</w:t>
      </w:r>
    </w:p>
    <w:p>
      <w:pPr>
        <w:ind w:firstLine="640"/>
      </w:pPr>
      <w:r>
        <w:rPr>
          <w:rFonts w:hint="eastAsia"/>
        </w:rPr>
        <w:t>推进建筑垃圾资源化利用示范企业和示范工程建设，发挥辐射带动作用。充分借助新闻媒体和网络，广泛宣传建筑垃圾资源化利用的重要性普及建筑垃圾资源化利用基本知识，争取公众对建筑垃圾资源化利用工作的理解和支持，提高公众参与的自觉性和积极性，为开展建筑垃圾资源化利用工作营造良好氛围。</w:t>
      </w:r>
    </w:p>
    <w:bookmarkEnd w:id="256"/>
    <w:p>
      <w:pPr>
        <w:pStyle w:val="3"/>
      </w:pPr>
      <w:bookmarkStart w:id="257" w:name="_Toc168062419"/>
      <w:bookmarkStart w:id="258" w:name="_Toc167461410"/>
      <w:r>
        <w:rPr>
          <w:rFonts w:hint="eastAsia"/>
        </w:rPr>
        <w:t>产品质量管控</w:t>
      </w:r>
      <w:bookmarkEnd w:id="257"/>
      <w:bookmarkEnd w:id="258"/>
    </w:p>
    <w:p>
      <w:pPr>
        <w:pStyle w:val="30"/>
      </w:pPr>
      <w:r>
        <w:rPr>
          <w:rFonts w:hint="eastAsia"/>
        </w:rPr>
        <w:t>建构产品质量体系</w:t>
      </w:r>
    </w:p>
    <w:p>
      <w:pPr>
        <w:ind w:firstLine="640"/>
      </w:pPr>
      <w:bookmarkStart w:id="259" w:name="_Hlk168063914"/>
      <w:r>
        <w:rPr>
          <w:rFonts w:hint="eastAsia"/>
        </w:rPr>
        <w:t>根据《浙江省建筑垃圾资源化利用技术导则》，建立完善建筑垃圾再生产品相关标准体系建筑垃圾再生新型墙体材料生产标准和应用技术规范，制定再生产品在市政工程、公路建设中的应用技术规范，确保产品和工程质量。</w:t>
      </w:r>
    </w:p>
    <w:bookmarkEnd w:id="259"/>
    <w:p>
      <w:pPr>
        <w:pStyle w:val="30"/>
      </w:pPr>
      <w:r>
        <w:rPr>
          <w:rFonts w:hint="eastAsia"/>
        </w:rPr>
        <w:t>加强产品质量检测</w:t>
      </w:r>
    </w:p>
    <w:p>
      <w:pPr>
        <w:ind w:firstLine="640"/>
      </w:pPr>
      <w:bookmarkStart w:id="260" w:name="_Hlk168063927"/>
      <w:r>
        <w:rPr>
          <w:rFonts w:hint="eastAsia"/>
        </w:rPr>
        <w:t>生产预拌混凝土、预拌砂浆、预制构件等建筑材料的企业使用建筑垃圾再生骨料的，生产单位应对建筑垃圾再生骨料按照原材料检测的相关标准要求进行质量和应用性能检测，确保各项指标符合要求。对使用建筑垃圾再生骨料生产的相关产品应当提供符合国家、行业或者地方标准规定的质量检测报告</w:t>
      </w:r>
      <w:bookmarkEnd w:id="260"/>
      <w:r>
        <w:rPr>
          <w:rFonts w:hint="eastAsia"/>
        </w:rPr>
        <w:t>。</w:t>
      </w:r>
    </w:p>
    <w:p>
      <w:pPr>
        <w:pStyle w:val="3"/>
      </w:pPr>
      <w:bookmarkStart w:id="261" w:name="_Toc167461411"/>
      <w:bookmarkStart w:id="262" w:name="_Toc168062420"/>
      <w:r>
        <w:rPr>
          <w:rFonts w:hint="eastAsia"/>
        </w:rPr>
        <w:t>产业支持策略</w:t>
      </w:r>
      <w:bookmarkEnd w:id="261"/>
      <w:bookmarkEnd w:id="262"/>
      <w:bookmarkStart w:id="263" w:name="_Hlk167464012"/>
    </w:p>
    <w:p>
      <w:pPr>
        <w:pStyle w:val="30"/>
      </w:pPr>
      <w:r>
        <w:rPr>
          <w:rFonts w:hint="eastAsia"/>
        </w:rPr>
        <w:t>税收优惠</w:t>
      </w:r>
    </w:p>
    <w:p>
      <w:pPr>
        <w:ind w:firstLine="640"/>
      </w:pPr>
      <w:r>
        <w:rPr>
          <w:rFonts w:hint="eastAsia"/>
        </w:rPr>
        <w:t>建筑垃圾资源化利用产品的生产和销售可按照《资源综合利用产品和劳务增值税优惠目录(2022年版)》(财政部 税务总局公告2021年第40号)和《财政部国家税务总局关于新型墙体材料增值税政策的通知》(财税〔2015]73号)的有关规定，享受增值税即征即退政策。</w:t>
      </w:r>
    </w:p>
    <w:bookmarkEnd w:id="263"/>
    <w:p>
      <w:pPr>
        <w:pStyle w:val="30"/>
      </w:pPr>
      <w:r>
        <w:rPr>
          <w:rFonts w:hint="eastAsia"/>
        </w:rPr>
        <w:t>资金扶持</w:t>
      </w:r>
    </w:p>
    <w:p>
      <w:pPr>
        <w:ind w:firstLine="640"/>
      </w:pPr>
      <w:r>
        <w:rPr>
          <w:rFonts w:hint="eastAsia"/>
        </w:rPr>
        <w:t>全市建筑垃圾资源化利用项目优先推荐列入污染治理和节能减碳专项中央预算内投资计划和申报省级循环经济专项资金。</w:t>
      </w:r>
    </w:p>
    <w:p>
      <w:pPr>
        <w:pStyle w:val="30"/>
      </w:pPr>
      <w:r>
        <w:rPr>
          <w:rFonts w:hint="eastAsia"/>
        </w:rPr>
        <w:t>土地利用</w:t>
      </w:r>
    </w:p>
    <w:p>
      <w:pPr>
        <w:ind w:firstLine="640"/>
      </w:pPr>
      <w:r>
        <w:rPr>
          <w:rFonts w:hint="eastAsia"/>
        </w:rPr>
        <w:t>加强建筑垃圾资源化利用项目用地保障，及时纳入国土空间总体规划，在编制建筑垃圾消纳场所专项规划中，须根据资源化利用建筑垃圾需求，落实与生产能力相匹配的建筑垃圾资源化利用企业生产用地，可采用弹性年期出让或租赁方式供地，降低企业用地成本。</w:t>
      </w:r>
    </w:p>
    <w:p>
      <w:pPr>
        <w:pStyle w:val="30"/>
      </w:pPr>
      <w:r>
        <w:rPr>
          <w:rFonts w:hint="eastAsia"/>
        </w:rPr>
        <w:t>产品推广</w:t>
      </w:r>
    </w:p>
    <w:p>
      <w:pPr>
        <w:ind w:firstLine="640"/>
      </w:pPr>
      <w:r>
        <w:rPr>
          <w:rFonts w:hint="eastAsia"/>
        </w:rPr>
        <w:t>实行建筑垃圾资源化利用建材产品优先使用的产品推广政策。政府投资、国有资本占控股或者主导地位的公共设施、市政基础设施项目，应当优先使用建筑垃圾资源化再生产品。鼓励各类新建、改建、扩建工程项目在同等条件下，优先使用符合工程质量要求的建筑垃圾资源化再生产品。将建筑垃圾资源化利用产品应用纳入“绿色建材”“绿色建筑”等评价体系，加大政府采购力度，推动建筑垃圾资源化利用产品的应用。</w:t>
      </w:r>
    </w:p>
    <w:p>
      <w:pPr>
        <w:pStyle w:val="30"/>
      </w:pPr>
      <w:r>
        <w:rPr>
          <w:rFonts w:hint="eastAsia"/>
        </w:rPr>
        <w:t>科研支撑</w:t>
      </w:r>
    </w:p>
    <w:p>
      <w:pPr>
        <w:ind w:firstLine="640"/>
      </w:pPr>
      <w:r>
        <w:rPr>
          <w:rFonts w:hint="eastAsia"/>
        </w:rPr>
        <w:t>将建筑垃圾资源化利用产品研发、应用等关键技术研究项目优先列入市科技计划项目。鼓励大专院校科研院所和建筑垃圾资源化利用企业联合建立研发中心，积极开展建筑渣土固化土技术、再生骨料强化技术、再生细粉料活化技术、专用添加剂制备工艺技术等研发，加快推进建筑垃圾资源化利用工艺和产品规范化、标准化，扩大建筑垃圾资源化利用产品应用范围，提高再生产品附加值。</w:t>
      </w:r>
    </w:p>
    <w:p>
      <w:pPr>
        <w:pStyle w:val="30"/>
      </w:pPr>
      <w:r>
        <w:rPr>
          <w:rFonts w:hint="eastAsia"/>
        </w:rPr>
        <w:t>环保支持</w:t>
      </w:r>
    </w:p>
    <w:p>
      <w:pPr>
        <w:ind w:firstLine="640"/>
      </w:pPr>
      <w:r>
        <w:rPr>
          <w:rFonts w:hint="eastAsia"/>
        </w:rPr>
        <w:t>加强建筑垃圾资源化利用项目生态环保支持，逐渐减少建筑渣土海洋倾倒比例，建立以绿化、填埋、景观堆土、渣土造田等为主要手段的建筑渣土处置新格局。通过兴建生态公园、植物园、开采矿山填埋等手段增加建筑渣土利用。</w:t>
      </w:r>
    </w:p>
    <w:p>
      <w:pPr>
        <w:pStyle w:val="2"/>
      </w:pPr>
      <w:bookmarkStart w:id="264" w:name="_Toc167461412"/>
      <w:bookmarkStart w:id="265" w:name="_Toc168062421"/>
      <w:r>
        <w:rPr>
          <w:rFonts w:hint="eastAsia"/>
        </w:rPr>
        <w:t>近期规划实施计划</w:t>
      </w:r>
      <w:bookmarkEnd w:id="264"/>
      <w:bookmarkEnd w:id="265"/>
    </w:p>
    <w:p>
      <w:pPr>
        <w:pStyle w:val="3"/>
      </w:pPr>
      <w:bookmarkStart w:id="266" w:name="_Toc167461413"/>
      <w:bookmarkStart w:id="267" w:name="_Toc168062422"/>
      <w:r>
        <w:rPr>
          <w:rFonts w:hint="eastAsia"/>
        </w:rPr>
        <w:t>近期工作规划</w:t>
      </w:r>
      <w:bookmarkEnd w:id="266"/>
      <w:bookmarkEnd w:id="267"/>
    </w:p>
    <w:p>
      <w:pPr>
        <w:ind w:firstLine="640"/>
      </w:pPr>
      <w:bookmarkStart w:id="268" w:name="_Hlk168064002"/>
      <w:r>
        <w:rPr>
          <w:rFonts w:hint="eastAsia"/>
        </w:rPr>
        <w:t>持续推动“无废城市”建设，重点推进建筑垃圾资源化利用。近期加快建筑垃圾消纳场、资源化利用项目的选址及建设工作，补齐建筑垃圾消纳处置缺口；完善市域建筑垃圾转运处置体系，乡镇基本实现本地化消纳，完成镇街建筑垃圾中转站、临时消纳点的选址及建设，装修垃圾收集点实现全覆盖。同时，积极推动建筑垃圾资源化利用企业培育和引进，实现建筑垃圾产消能力基本平衡。全面推行建筑垃圾分类管理模式，基本建立源头减量、规范处置、监管闭环、整体智治的数字化治理体系，力争到2030年实现建筑垃圾综合利用率达93%以上。</w:t>
      </w:r>
    </w:p>
    <w:bookmarkEnd w:id="268"/>
    <w:p>
      <w:pPr>
        <w:pStyle w:val="3"/>
      </w:pPr>
      <w:bookmarkStart w:id="269" w:name="_Toc168062423"/>
      <w:bookmarkStart w:id="270" w:name="_Toc167461414"/>
      <w:r>
        <w:rPr>
          <w:rFonts w:hint="eastAsia"/>
        </w:rPr>
        <w:t>近期项目规划</w:t>
      </w:r>
      <w:bookmarkEnd w:id="269"/>
      <w:bookmarkEnd w:id="270"/>
    </w:p>
    <w:p>
      <w:pPr>
        <w:ind w:firstLine="640"/>
      </w:pPr>
      <w:r>
        <w:rPr>
          <w:rFonts w:hint="eastAsia"/>
        </w:rPr>
        <w:t>综上所述，近期组织建设5个实施工程，投资约12500万元。</w:t>
      </w:r>
    </w:p>
    <w:p>
      <w:pPr>
        <w:pStyle w:val="47"/>
        <w:spacing w:before="62" w:after="9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Start w:id="271" w:name="_Hlk167464094"/>
      <w:r>
        <w:rPr>
          <w:rFonts w:hint="eastAsia"/>
        </w:rPr>
        <w:t>规划近期建设项目一览表</w:t>
      </w:r>
    </w:p>
    <w:bookmarkEnd w:id="271"/>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2069"/>
        <w:gridCol w:w="904"/>
        <w:gridCol w:w="2266"/>
        <w:gridCol w:w="1358"/>
        <w:gridCol w:w="756"/>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47" w:type="pct"/>
            <w:vAlign w:val="center"/>
          </w:tcPr>
          <w:p>
            <w:pPr>
              <w:pStyle w:val="38"/>
            </w:pPr>
            <w:bookmarkStart w:id="272" w:name="_Hlk167464069"/>
            <w:r>
              <w:rPr>
                <w:rFonts w:hint="eastAsia"/>
              </w:rPr>
              <w:t>序号</w:t>
            </w:r>
          </w:p>
        </w:tc>
        <w:tc>
          <w:tcPr>
            <w:tcW w:w="1114" w:type="pct"/>
            <w:vAlign w:val="center"/>
          </w:tcPr>
          <w:p>
            <w:pPr>
              <w:pStyle w:val="38"/>
            </w:pPr>
            <w:r>
              <w:rPr>
                <w:rFonts w:hint="eastAsia"/>
              </w:rPr>
              <w:t>设施名称</w:t>
            </w:r>
          </w:p>
        </w:tc>
        <w:tc>
          <w:tcPr>
            <w:tcW w:w="487" w:type="pct"/>
            <w:vAlign w:val="center"/>
          </w:tcPr>
          <w:p>
            <w:pPr>
              <w:pStyle w:val="38"/>
            </w:pPr>
            <w:r>
              <w:rPr>
                <w:rFonts w:hint="eastAsia"/>
              </w:rPr>
              <w:t>数量</w:t>
            </w:r>
          </w:p>
        </w:tc>
        <w:tc>
          <w:tcPr>
            <w:tcW w:w="1220" w:type="pct"/>
            <w:vAlign w:val="center"/>
          </w:tcPr>
          <w:p>
            <w:pPr>
              <w:pStyle w:val="38"/>
            </w:pPr>
            <w:r>
              <w:rPr>
                <w:rFonts w:hint="eastAsia"/>
              </w:rPr>
              <w:t>位置</w:t>
            </w:r>
          </w:p>
        </w:tc>
        <w:tc>
          <w:tcPr>
            <w:tcW w:w="731" w:type="pct"/>
            <w:vAlign w:val="center"/>
          </w:tcPr>
          <w:p>
            <w:pPr>
              <w:pStyle w:val="38"/>
            </w:pPr>
            <w:r>
              <w:rPr>
                <w:rFonts w:hint="eastAsia"/>
              </w:rPr>
              <w:t>规模</w:t>
            </w:r>
          </w:p>
        </w:tc>
        <w:tc>
          <w:tcPr>
            <w:tcW w:w="407" w:type="pct"/>
            <w:vAlign w:val="center"/>
          </w:tcPr>
          <w:p>
            <w:pPr>
              <w:pStyle w:val="38"/>
            </w:pPr>
            <w:r>
              <w:rPr>
                <w:rFonts w:hint="eastAsia"/>
              </w:rPr>
              <w:t>类型</w:t>
            </w:r>
          </w:p>
        </w:tc>
        <w:tc>
          <w:tcPr>
            <w:tcW w:w="694" w:type="pct"/>
            <w:vAlign w:val="center"/>
          </w:tcPr>
          <w:p>
            <w:pPr>
              <w:pStyle w:val="38"/>
            </w:pPr>
            <w:r>
              <w:rPr>
                <w:rFonts w:hint="eastAsia"/>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pPr>
              <w:pStyle w:val="38"/>
            </w:pPr>
            <w:r>
              <w:rPr>
                <w:rFonts w:hint="eastAsia"/>
              </w:rPr>
              <w:t>1</w:t>
            </w:r>
          </w:p>
        </w:tc>
        <w:tc>
          <w:tcPr>
            <w:tcW w:w="1114" w:type="pct"/>
            <w:vAlign w:val="center"/>
          </w:tcPr>
          <w:p>
            <w:pPr>
              <w:pStyle w:val="38"/>
            </w:pPr>
            <w:bookmarkStart w:id="273" w:name="_Hlk168064145"/>
            <w:r>
              <w:rPr>
                <w:rFonts w:hint="eastAsia"/>
              </w:rPr>
              <w:t>邵家渡建筑渣土资源化利用中心</w:t>
            </w:r>
            <w:bookmarkEnd w:id="273"/>
          </w:p>
        </w:tc>
        <w:tc>
          <w:tcPr>
            <w:tcW w:w="487" w:type="pct"/>
            <w:vAlign w:val="center"/>
          </w:tcPr>
          <w:p>
            <w:pPr>
              <w:pStyle w:val="38"/>
            </w:pPr>
            <w:r>
              <w:rPr>
                <w:rFonts w:hint="eastAsia"/>
              </w:rPr>
              <w:t>1</w:t>
            </w:r>
          </w:p>
        </w:tc>
        <w:tc>
          <w:tcPr>
            <w:tcW w:w="1220" w:type="pct"/>
            <w:vAlign w:val="center"/>
          </w:tcPr>
          <w:p>
            <w:pPr>
              <w:pStyle w:val="38"/>
            </w:pPr>
            <w:r>
              <w:rPr>
                <w:rFonts w:hint="eastAsia"/>
              </w:rPr>
              <w:t>邵家渡街道</w:t>
            </w:r>
          </w:p>
        </w:tc>
        <w:tc>
          <w:tcPr>
            <w:tcW w:w="731" w:type="pct"/>
            <w:vAlign w:val="center"/>
          </w:tcPr>
          <w:p>
            <w:pPr>
              <w:pStyle w:val="38"/>
            </w:pPr>
            <w:r>
              <w:rPr>
                <w:rFonts w:hint="eastAsia"/>
              </w:rPr>
              <w:t>25万吨/年</w:t>
            </w:r>
          </w:p>
        </w:tc>
        <w:tc>
          <w:tcPr>
            <w:tcW w:w="407" w:type="pct"/>
            <w:vAlign w:val="center"/>
          </w:tcPr>
          <w:p>
            <w:pPr>
              <w:pStyle w:val="38"/>
            </w:pPr>
            <w:r>
              <w:rPr>
                <w:rFonts w:hint="eastAsia"/>
              </w:rPr>
              <w:t>新建</w:t>
            </w:r>
          </w:p>
        </w:tc>
        <w:tc>
          <w:tcPr>
            <w:tcW w:w="694" w:type="pct"/>
            <w:vAlign w:val="center"/>
          </w:tcPr>
          <w:p>
            <w:pPr>
              <w:pStyle w:val="38"/>
            </w:pPr>
            <w:r>
              <w:rPr>
                <w:rFonts w:hint="eastAsia"/>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pPr>
              <w:pStyle w:val="38"/>
            </w:pPr>
            <w:r>
              <w:rPr>
                <w:rFonts w:hint="eastAsia"/>
              </w:rPr>
              <w:t>2</w:t>
            </w:r>
          </w:p>
        </w:tc>
        <w:tc>
          <w:tcPr>
            <w:tcW w:w="1114" w:type="pct"/>
            <w:vAlign w:val="center"/>
          </w:tcPr>
          <w:p>
            <w:pPr>
              <w:pStyle w:val="38"/>
            </w:pPr>
            <w:r>
              <w:rPr>
                <w:rFonts w:hint="eastAsia"/>
                <w:highlight w:val="cyan"/>
              </w:rPr>
              <w:t>白水洋镇大件垃圾及建筑垃圾处理中心</w:t>
            </w:r>
          </w:p>
        </w:tc>
        <w:tc>
          <w:tcPr>
            <w:tcW w:w="487" w:type="pct"/>
            <w:vAlign w:val="center"/>
          </w:tcPr>
          <w:p>
            <w:pPr>
              <w:pStyle w:val="38"/>
            </w:pPr>
            <w:r>
              <w:rPr>
                <w:rFonts w:hint="eastAsia"/>
              </w:rPr>
              <w:t>1</w:t>
            </w:r>
          </w:p>
        </w:tc>
        <w:tc>
          <w:tcPr>
            <w:tcW w:w="1220" w:type="pct"/>
            <w:vAlign w:val="center"/>
          </w:tcPr>
          <w:p>
            <w:pPr>
              <w:pStyle w:val="38"/>
            </w:pPr>
            <w:r>
              <w:rPr>
                <w:rFonts w:hint="eastAsia"/>
              </w:rPr>
              <w:t>白水洋镇</w:t>
            </w:r>
          </w:p>
        </w:tc>
        <w:tc>
          <w:tcPr>
            <w:tcW w:w="731" w:type="pct"/>
            <w:vAlign w:val="center"/>
          </w:tcPr>
          <w:p>
            <w:pPr>
              <w:pStyle w:val="38"/>
            </w:pPr>
            <w:r>
              <w:rPr>
                <w:rFonts w:hint="eastAsia"/>
                <w:highlight w:val="cyan"/>
              </w:rPr>
              <w:t>10万吨/年</w:t>
            </w:r>
          </w:p>
        </w:tc>
        <w:tc>
          <w:tcPr>
            <w:tcW w:w="407" w:type="pct"/>
            <w:vAlign w:val="center"/>
          </w:tcPr>
          <w:p>
            <w:pPr>
              <w:pStyle w:val="38"/>
            </w:pPr>
            <w:r>
              <w:rPr>
                <w:rFonts w:hint="eastAsia"/>
              </w:rPr>
              <w:t>新建</w:t>
            </w:r>
          </w:p>
        </w:tc>
        <w:tc>
          <w:tcPr>
            <w:tcW w:w="694" w:type="pct"/>
            <w:vAlign w:val="center"/>
          </w:tcPr>
          <w:p>
            <w:pPr>
              <w:pStyle w:val="38"/>
              <w:rPr>
                <w:highlight w:val="cyan"/>
              </w:rPr>
            </w:pPr>
            <w:r>
              <w:rPr>
                <w:rFonts w:hint="eastAsia"/>
                <w:highlight w:val="cya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pPr>
              <w:pStyle w:val="38"/>
            </w:pPr>
            <w:r>
              <w:rPr>
                <w:rFonts w:hint="eastAsia"/>
              </w:rPr>
              <w:t>3</w:t>
            </w:r>
          </w:p>
        </w:tc>
        <w:tc>
          <w:tcPr>
            <w:tcW w:w="1114" w:type="pct"/>
            <w:vAlign w:val="center"/>
          </w:tcPr>
          <w:p>
            <w:pPr>
              <w:pStyle w:val="38"/>
            </w:pPr>
            <w:r>
              <w:rPr>
                <w:rFonts w:hint="eastAsia"/>
                <w:highlight w:val="cyan"/>
              </w:rPr>
              <w:t>头门港建筑垃圾资源化利用项目</w:t>
            </w:r>
          </w:p>
        </w:tc>
        <w:tc>
          <w:tcPr>
            <w:tcW w:w="487" w:type="pct"/>
            <w:vAlign w:val="center"/>
          </w:tcPr>
          <w:p>
            <w:pPr>
              <w:pStyle w:val="38"/>
            </w:pPr>
            <w:r>
              <w:rPr>
                <w:rFonts w:hint="eastAsia"/>
              </w:rPr>
              <w:t>1</w:t>
            </w:r>
          </w:p>
        </w:tc>
        <w:tc>
          <w:tcPr>
            <w:tcW w:w="1220" w:type="pct"/>
            <w:vAlign w:val="center"/>
          </w:tcPr>
          <w:p>
            <w:pPr>
              <w:pStyle w:val="38"/>
            </w:pPr>
            <w:r>
              <w:rPr>
                <w:rFonts w:hint="eastAsia"/>
              </w:rPr>
              <w:t>台州湾经济技术开发区</w:t>
            </w:r>
          </w:p>
        </w:tc>
        <w:tc>
          <w:tcPr>
            <w:tcW w:w="731" w:type="pct"/>
            <w:vAlign w:val="center"/>
          </w:tcPr>
          <w:p>
            <w:pPr>
              <w:pStyle w:val="38"/>
            </w:pPr>
            <w:r>
              <w:rPr>
                <w:rFonts w:hint="eastAsia"/>
                <w:highlight w:val="cyan"/>
              </w:rPr>
              <w:t>10万吨/年</w:t>
            </w:r>
          </w:p>
        </w:tc>
        <w:tc>
          <w:tcPr>
            <w:tcW w:w="407" w:type="pct"/>
            <w:vAlign w:val="center"/>
          </w:tcPr>
          <w:p>
            <w:pPr>
              <w:pStyle w:val="38"/>
            </w:pPr>
            <w:r>
              <w:rPr>
                <w:rFonts w:hint="eastAsia"/>
              </w:rPr>
              <w:t>新建</w:t>
            </w:r>
          </w:p>
        </w:tc>
        <w:tc>
          <w:tcPr>
            <w:tcW w:w="694" w:type="pct"/>
            <w:vAlign w:val="center"/>
          </w:tcPr>
          <w:p>
            <w:pPr>
              <w:pStyle w:val="38"/>
              <w:rPr>
                <w:highlight w:val="cyan"/>
              </w:rPr>
            </w:pPr>
            <w:r>
              <w:rPr>
                <w:rFonts w:hint="eastAsia"/>
                <w:highlight w:val="cya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pPr>
              <w:pStyle w:val="38"/>
            </w:pPr>
            <w:r>
              <w:rPr>
                <w:rFonts w:hint="eastAsia"/>
              </w:rPr>
              <w:t>4</w:t>
            </w:r>
          </w:p>
        </w:tc>
        <w:tc>
          <w:tcPr>
            <w:tcW w:w="1114" w:type="pct"/>
            <w:vAlign w:val="center"/>
          </w:tcPr>
          <w:p>
            <w:pPr>
              <w:pStyle w:val="38"/>
            </w:pPr>
            <w:bookmarkStart w:id="274" w:name="_Hlk168064661"/>
            <w:r>
              <w:rPr>
                <w:rFonts w:hint="eastAsia"/>
              </w:rPr>
              <w:t>临海市工程渣土消纳场选址及建设项目</w:t>
            </w:r>
            <w:bookmarkEnd w:id="274"/>
          </w:p>
        </w:tc>
        <w:tc>
          <w:tcPr>
            <w:tcW w:w="487" w:type="pct"/>
            <w:vAlign w:val="center"/>
          </w:tcPr>
          <w:p>
            <w:pPr>
              <w:pStyle w:val="38"/>
            </w:pPr>
            <w:r>
              <w:rPr>
                <w:rFonts w:hint="eastAsia"/>
              </w:rPr>
              <w:t>1</w:t>
            </w:r>
          </w:p>
        </w:tc>
        <w:tc>
          <w:tcPr>
            <w:tcW w:w="1220" w:type="pct"/>
            <w:vAlign w:val="center"/>
          </w:tcPr>
          <w:p>
            <w:pPr>
              <w:pStyle w:val="38"/>
            </w:pPr>
            <w:r>
              <w:rPr>
                <w:rFonts w:hint="eastAsia"/>
              </w:rPr>
              <w:t>杜桥镇</w:t>
            </w:r>
          </w:p>
        </w:tc>
        <w:tc>
          <w:tcPr>
            <w:tcW w:w="731" w:type="pct"/>
            <w:vAlign w:val="center"/>
          </w:tcPr>
          <w:p>
            <w:pPr>
              <w:pStyle w:val="38"/>
            </w:pPr>
            <w:r>
              <w:rPr>
                <w:rFonts w:hint="eastAsia"/>
              </w:rPr>
              <w:t>250万吨</w:t>
            </w:r>
          </w:p>
        </w:tc>
        <w:tc>
          <w:tcPr>
            <w:tcW w:w="407" w:type="pct"/>
            <w:vAlign w:val="center"/>
          </w:tcPr>
          <w:p>
            <w:pPr>
              <w:pStyle w:val="38"/>
            </w:pPr>
            <w:r>
              <w:rPr>
                <w:rFonts w:hint="eastAsia"/>
              </w:rPr>
              <w:t>新建</w:t>
            </w:r>
          </w:p>
        </w:tc>
        <w:tc>
          <w:tcPr>
            <w:tcW w:w="694" w:type="pct"/>
            <w:vAlign w:val="center"/>
          </w:tcPr>
          <w:p>
            <w:pPr>
              <w:pStyle w:val="38"/>
            </w:pPr>
            <w:r>
              <w:rPr>
                <w:rFonts w:hint="eastAsia"/>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pPr>
              <w:pStyle w:val="38"/>
            </w:pPr>
            <w:r>
              <w:rPr>
                <w:rFonts w:hint="eastAsia"/>
              </w:rPr>
              <w:t>5</w:t>
            </w:r>
          </w:p>
        </w:tc>
        <w:tc>
          <w:tcPr>
            <w:tcW w:w="1114" w:type="pct"/>
            <w:vAlign w:val="center"/>
          </w:tcPr>
          <w:p>
            <w:pPr>
              <w:pStyle w:val="38"/>
            </w:pPr>
            <w:bookmarkStart w:id="275" w:name="_Hlk168064151"/>
            <w:r>
              <w:rPr>
                <w:rFonts w:hint="eastAsia"/>
              </w:rPr>
              <w:t>乡镇建筑垃圾转运站</w:t>
            </w:r>
            <w:bookmarkEnd w:id="275"/>
          </w:p>
        </w:tc>
        <w:tc>
          <w:tcPr>
            <w:tcW w:w="487" w:type="pct"/>
            <w:vAlign w:val="center"/>
          </w:tcPr>
          <w:p>
            <w:pPr>
              <w:pStyle w:val="38"/>
            </w:pPr>
            <w:r>
              <w:rPr>
                <w:rFonts w:hint="eastAsia"/>
              </w:rPr>
              <w:t>20</w:t>
            </w:r>
          </w:p>
        </w:tc>
        <w:tc>
          <w:tcPr>
            <w:tcW w:w="1220" w:type="pct"/>
            <w:vAlign w:val="center"/>
          </w:tcPr>
          <w:p>
            <w:pPr>
              <w:pStyle w:val="38"/>
            </w:pPr>
            <w:r>
              <w:rPr>
                <w:rFonts w:hint="eastAsia"/>
              </w:rPr>
              <w:t>全市</w:t>
            </w:r>
          </w:p>
        </w:tc>
        <w:tc>
          <w:tcPr>
            <w:tcW w:w="731" w:type="pct"/>
            <w:vAlign w:val="center"/>
          </w:tcPr>
          <w:p>
            <w:pPr>
              <w:pStyle w:val="38"/>
            </w:pPr>
            <w:r>
              <w:rPr>
                <w:rFonts w:hint="eastAsia"/>
              </w:rPr>
              <w:t>—</w:t>
            </w:r>
          </w:p>
        </w:tc>
        <w:tc>
          <w:tcPr>
            <w:tcW w:w="407" w:type="pct"/>
            <w:vAlign w:val="center"/>
          </w:tcPr>
          <w:p>
            <w:pPr>
              <w:pStyle w:val="38"/>
            </w:pPr>
            <w:r>
              <w:rPr>
                <w:rFonts w:hint="eastAsia"/>
              </w:rPr>
              <w:t>新建</w:t>
            </w:r>
          </w:p>
        </w:tc>
        <w:tc>
          <w:tcPr>
            <w:tcW w:w="694" w:type="pct"/>
            <w:vAlign w:val="center"/>
          </w:tcPr>
          <w:p>
            <w:pPr>
              <w:pStyle w:val="38"/>
            </w:pPr>
            <w:r>
              <w:rPr>
                <w:rFonts w:hint="eastAsi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6" w:type="pct"/>
            <w:gridSpan w:val="6"/>
            <w:vAlign w:val="center"/>
          </w:tcPr>
          <w:p>
            <w:pPr>
              <w:pStyle w:val="38"/>
            </w:pPr>
            <w:r>
              <w:rPr>
                <w:rFonts w:hint="eastAsia"/>
              </w:rPr>
              <w:t>合计</w:t>
            </w:r>
          </w:p>
        </w:tc>
        <w:tc>
          <w:tcPr>
            <w:tcW w:w="694" w:type="pct"/>
            <w:vAlign w:val="center"/>
          </w:tcPr>
          <w:p>
            <w:pPr>
              <w:pStyle w:val="38"/>
            </w:pPr>
            <w:r>
              <w:rPr>
                <w:highlight w:val="cyan"/>
              </w:rPr>
              <w:fldChar w:fldCharType="begin"/>
            </w:r>
            <w:r>
              <w:rPr>
                <w:highlight w:val="cyan"/>
              </w:rPr>
              <w:instrText xml:space="preserve"> =SUM(ABOVE) </w:instrText>
            </w:r>
            <w:r>
              <w:rPr>
                <w:highlight w:val="cyan"/>
              </w:rPr>
              <w:fldChar w:fldCharType="separate"/>
            </w:r>
            <w:r>
              <w:rPr>
                <w:highlight w:val="cyan"/>
              </w:rPr>
              <w:t>12500</w:t>
            </w:r>
            <w:r>
              <w:rPr>
                <w:highlight w:val="cyan"/>
              </w:rPr>
              <w:fldChar w:fldCharType="end"/>
            </w:r>
          </w:p>
        </w:tc>
      </w:tr>
      <w:bookmarkEnd w:id="272"/>
    </w:tbl>
    <w:p>
      <w:pPr>
        <w:pStyle w:val="2"/>
      </w:pPr>
      <w:bookmarkStart w:id="276" w:name="_Toc168062424"/>
      <w:bookmarkStart w:id="277" w:name="_Toc167461415"/>
      <w:r>
        <w:rPr>
          <w:rFonts w:hint="eastAsia"/>
        </w:rPr>
        <w:t>规划实施保障措施</w:t>
      </w:r>
      <w:bookmarkEnd w:id="276"/>
      <w:bookmarkEnd w:id="277"/>
    </w:p>
    <w:p>
      <w:pPr>
        <w:pStyle w:val="3"/>
      </w:pPr>
      <w:bookmarkStart w:id="278" w:name="_Toc167461416"/>
      <w:bookmarkStart w:id="279" w:name="_Toc168062425"/>
      <w:r>
        <w:rPr>
          <w:rFonts w:hint="eastAsia"/>
        </w:rPr>
        <w:t>政策保障</w:t>
      </w:r>
      <w:bookmarkEnd w:id="278"/>
      <w:bookmarkEnd w:id="279"/>
    </w:p>
    <w:p>
      <w:pPr>
        <w:ind w:firstLine="640"/>
      </w:pPr>
      <w:bookmarkStart w:id="280" w:name="_Hlk168064182"/>
      <w:r>
        <w:rPr>
          <w:rFonts w:hint="eastAsia"/>
        </w:rPr>
        <w:t>加强建筑垃圾处置管理及综合利用等方面的法律法规的执行落实，使建筑垃圾管理工作有法可依，有章可循。细化城市建筑垃圾产生、运输、消纳以及循环利用全过程监督管理与处置备案审核管理，明确建筑垃圾管理组织机构的职责分工，使建筑垃圾管理规范化、标准化、科学化</w:t>
      </w:r>
      <w:bookmarkEnd w:id="280"/>
      <w:r>
        <w:rPr>
          <w:rFonts w:hint="eastAsia"/>
        </w:rPr>
        <w:t>。</w:t>
      </w:r>
    </w:p>
    <w:p>
      <w:pPr>
        <w:pStyle w:val="3"/>
      </w:pPr>
      <w:bookmarkStart w:id="281" w:name="_Toc167461417"/>
      <w:bookmarkStart w:id="282" w:name="_Toc168062426"/>
      <w:r>
        <w:rPr>
          <w:rFonts w:hint="eastAsia"/>
        </w:rPr>
        <w:t>组织保障</w:t>
      </w:r>
      <w:bookmarkEnd w:id="281"/>
      <w:bookmarkEnd w:id="282"/>
    </w:p>
    <w:p>
      <w:pPr>
        <w:ind w:firstLine="640"/>
      </w:pPr>
      <w:bookmarkStart w:id="283" w:name="_Hlk168064191"/>
      <w:r>
        <w:rPr>
          <w:rFonts w:hint="eastAsia"/>
        </w:rPr>
        <w:t>成立临海市建筑垃圾常态化管理工作领导小组，统筹协调有关部门落实建筑垃圾处置的规划、建设、监管。专班办公室设在市综合执法局，主任由综合执法局分管负责人兼任；市公安局、市自然资源规划局、市建设局、市交通运输局、市水利局、市农业农村局、市综合执法局、市港航口岸和渔业局、台州市生态环境局临海分局、台州临海海事处等部门职能科室主要负责人为办公室成员，各成员单位各派一名工作人员为联络员兼专班工作人员。专班原则上实行实体化运转，由市综合执法局职能科室负责人和经办人、市交警、交通运输职能科室工作人员、驻市综合执法局纪检监察组经办人员承担专班日常工作，其他专班成员单位根据需要派员参加。</w:t>
      </w:r>
    </w:p>
    <w:p>
      <w:pPr>
        <w:ind w:firstLine="640"/>
      </w:pPr>
      <w:r>
        <w:rPr>
          <w:rFonts w:hint="eastAsia"/>
        </w:rPr>
        <w:t>各镇（街道）及成员单位是建筑垃圾专项治理的责任主体，应参照工作规划提出的目标任务，结合本单位实际工作，明确目标清单、任务清单、项目清单、责任清单等。把深入开展建筑垃圾治理工作当成当前一项重点工作来抓好落实，确保工作顺利推进</w:t>
      </w:r>
      <w:bookmarkEnd w:id="283"/>
      <w:r>
        <w:rPr>
          <w:rFonts w:hint="eastAsia"/>
        </w:rPr>
        <w:t>。</w:t>
      </w:r>
    </w:p>
    <w:p>
      <w:pPr>
        <w:pStyle w:val="3"/>
      </w:pPr>
      <w:bookmarkStart w:id="284" w:name="_Toc168062427"/>
      <w:bookmarkStart w:id="285" w:name="_Toc167461418"/>
      <w:r>
        <w:rPr>
          <w:rFonts w:hint="eastAsia"/>
        </w:rPr>
        <w:t>资金保障</w:t>
      </w:r>
      <w:bookmarkEnd w:id="284"/>
      <w:bookmarkEnd w:id="285"/>
    </w:p>
    <w:p>
      <w:pPr>
        <w:ind w:firstLine="640"/>
      </w:pPr>
      <w:bookmarkStart w:id="286" w:name="_Hlk168064203"/>
      <w:r>
        <w:rPr>
          <w:rFonts w:hint="eastAsia"/>
        </w:rPr>
        <w:t>建筑垃圾治理工作中所涉垃圾收集、转运与处置设施、设备的采购、发放、配置、安装费用，及由于垃圾分类增加的人员培训、宣传督导、奖励补助及设施设备运行成本应纳入政府年度财政预算。市发改局、市财政局应安排建设项目及财政性建设资金，并会同市综合执法局等部门根据建筑垃圾处理运营成本、国民经济与社会发展要求以及社会承受能力，科学制定建筑垃圾处理收费标准，按照谁产生谁付费和差别化收费的原则，不断完善建筑垃圾处理收费制度，逐步实行分类计价、计量收费。</w:t>
      </w:r>
    </w:p>
    <w:p>
      <w:pPr>
        <w:ind w:firstLine="640"/>
      </w:pPr>
      <w:r>
        <w:rPr>
          <w:rFonts w:hint="eastAsia"/>
        </w:rPr>
        <w:t>部分建筑垃圾的收运处置都具有市场属性，可通过市场化模式引入社会资本参与。此外，在加大资金投入之前，政府部门应对相应的垃圾治理工作方案、收运和处理设施的建设及运行进行风险评估，确保资金使用效益</w:t>
      </w:r>
      <w:bookmarkEnd w:id="286"/>
      <w:r>
        <w:rPr>
          <w:rFonts w:hint="eastAsia"/>
        </w:rPr>
        <w:t>。</w:t>
      </w:r>
    </w:p>
    <w:p>
      <w:pPr>
        <w:pStyle w:val="3"/>
      </w:pPr>
      <w:bookmarkStart w:id="287" w:name="_Toc167461419"/>
      <w:bookmarkStart w:id="288" w:name="_Toc168062428"/>
      <w:r>
        <w:rPr>
          <w:rFonts w:hint="eastAsia"/>
        </w:rPr>
        <w:t>土地保障</w:t>
      </w:r>
      <w:bookmarkEnd w:id="287"/>
      <w:bookmarkEnd w:id="288"/>
    </w:p>
    <w:p>
      <w:pPr>
        <w:ind w:firstLine="640"/>
      </w:pPr>
      <w:bookmarkStart w:id="289" w:name="_Hlk168064210"/>
      <w:r>
        <w:rPr>
          <w:rFonts w:hint="eastAsia"/>
        </w:rPr>
        <w:t>市自然资源规划局在国土空间规划、土地利用规划和城乡建设详细规划中应落实建筑垃圾处理设施的布局、选址和用地规模需求，在土地出让和审批中应明确相关设施的配置标准。</w:t>
      </w:r>
    </w:p>
    <w:p>
      <w:pPr>
        <w:ind w:firstLine="640"/>
      </w:pPr>
      <w:r>
        <w:rPr>
          <w:rFonts w:hint="eastAsia"/>
        </w:rPr>
        <w:t>相关垃圾转运设施、处理设施的规划建设或改造提升方案，应征求环境卫生、综合执法等管理部门的意见。大中型垃圾转运设施、处理设施的建设单位应在设施建设前到环保部门办理相关审批手续</w:t>
      </w:r>
      <w:bookmarkEnd w:id="289"/>
      <w:r>
        <w:rPr>
          <w:rFonts w:hint="eastAsia"/>
        </w:rPr>
        <w:t>。</w:t>
      </w:r>
    </w:p>
    <w:p>
      <w:pPr>
        <w:pStyle w:val="3"/>
      </w:pPr>
      <w:bookmarkStart w:id="290" w:name="_Toc168062429"/>
      <w:bookmarkStart w:id="291" w:name="_Toc167461420"/>
      <w:r>
        <w:rPr>
          <w:rFonts w:hint="eastAsia"/>
        </w:rPr>
        <w:t>技术保障</w:t>
      </w:r>
      <w:bookmarkEnd w:id="290"/>
      <w:bookmarkEnd w:id="291"/>
    </w:p>
    <w:p>
      <w:pPr>
        <w:ind w:firstLine="640"/>
      </w:pPr>
      <w:bookmarkStart w:id="292" w:name="_Hlk168064218"/>
      <w:r>
        <w:rPr>
          <w:rFonts w:hint="eastAsia"/>
        </w:rPr>
        <w:t>充实建筑垃圾治理岗位专业技术人员或管理人员，加强专业学习、技术培训和信息交流工作。建立一线作业人员的作业技能培训、作业资格认证、等级评定等制度，保障人员专业操作技能，提高专业化水平。积极参与省内外垃圾治理学术研讨、管理研究、技术交流活动，了解省内外建筑垃圾治理动态趋势，学习省内外先进地区的管理经验。</w:t>
      </w:r>
    </w:p>
    <w:p>
      <w:pPr>
        <w:ind w:firstLine="640"/>
      </w:pPr>
      <w:r>
        <w:rPr>
          <w:rFonts w:hint="eastAsia"/>
        </w:rPr>
        <w:t>加强信息技术应用，提升管理的信息化水平和时效。搭建覆盖建筑垃圾的信息化管理平台，建立起从源头到终端的全链条管理体系。适时开展专项研究，不断提升垃圾治理的水平与成效</w:t>
      </w:r>
      <w:bookmarkEnd w:id="292"/>
      <w:r>
        <w:rPr>
          <w:rFonts w:hint="eastAsia"/>
        </w:rPr>
        <w:t>。</w:t>
      </w:r>
    </w:p>
    <w:p>
      <w:pPr>
        <w:ind w:firstLine="640"/>
      </w:pPr>
    </w:p>
    <w:p>
      <w:pPr>
        <w:ind w:firstLine="640"/>
        <w:sectPr>
          <w:footerReference r:id="rId11" w:type="default"/>
          <w:pgSz w:w="11906" w:h="16838"/>
          <w:pgMar w:top="1418" w:right="1418" w:bottom="1418" w:left="1418" w:header="851" w:footer="992" w:gutter="0"/>
          <w:pgNumType w:start="1"/>
          <w:cols w:space="425" w:num="1"/>
          <w:docGrid w:type="lines" w:linePitch="312" w:charSpace="0"/>
        </w:sectPr>
      </w:pPr>
    </w:p>
    <w:p>
      <w:pPr>
        <w:pStyle w:val="2"/>
        <w:numPr>
          <w:ilvl w:val="0"/>
          <w:numId w:val="0"/>
        </w:numPr>
      </w:pPr>
      <w:bookmarkStart w:id="293" w:name="_Toc168062430"/>
      <w:bookmarkStart w:id="294" w:name="_Toc167461421"/>
      <w:r>
        <w:rPr>
          <w:rFonts w:hint="eastAsia"/>
        </w:rPr>
        <w:t>附表</w:t>
      </w:r>
      <w:bookmarkEnd w:id="293"/>
      <w:bookmarkEnd w:id="294"/>
    </w:p>
    <w:p>
      <w:pPr>
        <w:pStyle w:val="3"/>
        <w:numPr>
          <w:ilvl w:val="0"/>
          <w:numId w:val="0"/>
        </w:numPr>
        <w:rPr>
          <w:sz w:val="28"/>
          <w:szCs w:val="28"/>
        </w:rPr>
      </w:pPr>
      <w:bookmarkStart w:id="295" w:name="_Toc167461422"/>
      <w:bookmarkStart w:id="296" w:name="_Toc168062431"/>
      <w:r>
        <w:rPr>
          <w:rFonts w:hint="eastAsia"/>
          <w:sz w:val="28"/>
          <w:szCs w:val="28"/>
        </w:rPr>
        <w:t>建筑垃圾产生量统计表</w:t>
      </w:r>
      <w:bookmarkEnd w:id="295"/>
      <w:bookmarkEnd w:id="296"/>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5"/>
        <w:gridCol w:w="3404"/>
        <w:gridCol w:w="2357"/>
        <w:gridCol w:w="2357"/>
        <w:gridCol w:w="3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983" w:type="pct"/>
            <w:vMerge w:val="restart"/>
            <w:noWrap/>
            <w:vAlign w:val="center"/>
          </w:tcPr>
          <w:p>
            <w:pPr>
              <w:pStyle w:val="38"/>
            </w:pPr>
            <w:r>
              <w:rPr>
                <w:rFonts w:hint="eastAsia"/>
              </w:rPr>
              <w:t>建筑垃圾类别</w:t>
            </w:r>
          </w:p>
        </w:tc>
        <w:tc>
          <w:tcPr>
            <w:tcW w:w="4017" w:type="pct"/>
            <w:gridSpan w:val="4"/>
            <w:vAlign w:val="center"/>
          </w:tcPr>
          <w:p>
            <w:pPr>
              <w:pStyle w:val="38"/>
            </w:pPr>
            <w:r>
              <w:rPr>
                <w:rFonts w:hint="eastAsia"/>
              </w:rPr>
              <w:t>建筑垃圾产生量</w:t>
            </w:r>
            <w:r>
              <w:t>/</w:t>
            </w:r>
            <w:r>
              <w:rPr>
                <w:rFonts w:hint="eastAsia"/>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983" w:type="pct"/>
            <w:vMerge w:val="continue"/>
            <w:vAlign w:val="center"/>
          </w:tcPr>
          <w:p>
            <w:pPr>
              <w:pStyle w:val="38"/>
            </w:pPr>
          </w:p>
        </w:tc>
        <w:tc>
          <w:tcPr>
            <w:tcW w:w="1197" w:type="pct"/>
            <w:vAlign w:val="center"/>
          </w:tcPr>
          <w:p>
            <w:pPr>
              <w:pStyle w:val="38"/>
            </w:pPr>
            <w:r>
              <w:t>2020</w:t>
            </w:r>
            <w:r>
              <w:rPr>
                <w:rFonts w:hint="eastAsia"/>
              </w:rPr>
              <w:t>年</w:t>
            </w:r>
          </w:p>
        </w:tc>
        <w:tc>
          <w:tcPr>
            <w:tcW w:w="829" w:type="pct"/>
            <w:noWrap/>
            <w:vAlign w:val="center"/>
          </w:tcPr>
          <w:p>
            <w:pPr>
              <w:pStyle w:val="38"/>
            </w:pPr>
            <w:r>
              <w:t>2021</w:t>
            </w:r>
            <w:r>
              <w:rPr>
                <w:rFonts w:hint="eastAsia"/>
              </w:rPr>
              <w:t>年</w:t>
            </w:r>
          </w:p>
        </w:tc>
        <w:tc>
          <w:tcPr>
            <w:tcW w:w="829" w:type="pct"/>
            <w:noWrap/>
            <w:vAlign w:val="center"/>
          </w:tcPr>
          <w:p>
            <w:pPr>
              <w:pStyle w:val="38"/>
            </w:pPr>
            <w:r>
              <w:t>2022</w:t>
            </w:r>
            <w:r>
              <w:rPr>
                <w:rFonts w:hint="eastAsia"/>
              </w:rPr>
              <w:t>年</w:t>
            </w:r>
          </w:p>
        </w:tc>
        <w:tc>
          <w:tcPr>
            <w:tcW w:w="1161" w:type="pct"/>
            <w:noWrap/>
            <w:vAlign w:val="center"/>
          </w:tcPr>
          <w:p>
            <w:pPr>
              <w:pStyle w:val="38"/>
            </w:pPr>
            <w:r>
              <w:t>2023</w:t>
            </w:r>
            <w:r>
              <w:rPr>
                <w:rFonts w:hint="eastAsi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3" w:type="pct"/>
            <w:noWrap/>
          </w:tcPr>
          <w:p>
            <w:pPr>
              <w:pStyle w:val="38"/>
            </w:pPr>
            <w:r>
              <w:rPr>
                <w:rFonts w:hint="eastAsia"/>
              </w:rPr>
              <w:t>工程渣土</w:t>
            </w:r>
          </w:p>
        </w:tc>
        <w:tc>
          <w:tcPr>
            <w:tcW w:w="1197" w:type="pct"/>
          </w:tcPr>
          <w:p>
            <w:pPr>
              <w:pStyle w:val="38"/>
            </w:pPr>
            <w:r>
              <w:rPr>
                <w:rFonts w:hint="eastAsia"/>
              </w:rPr>
              <w:t>2305000</w:t>
            </w:r>
          </w:p>
        </w:tc>
        <w:tc>
          <w:tcPr>
            <w:tcW w:w="829" w:type="pct"/>
            <w:noWrap/>
          </w:tcPr>
          <w:p>
            <w:pPr>
              <w:pStyle w:val="38"/>
            </w:pPr>
            <w:r>
              <w:rPr>
                <w:rFonts w:hint="eastAsia"/>
              </w:rPr>
              <w:t>2051000</w:t>
            </w:r>
          </w:p>
        </w:tc>
        <w:tc>
          <w:tcPr>
            <w:tcW w:w="829" w:type="pct"/>
            <w:noWrap/>
          </w:tcPr>
          <w:p>
            <w:pPr>
              <w:pStyle w:val="38"/>
            </w:pPr>
            <w:r>
              <w:t>1270200</w:t>
            </w:r>
          </w:p>
        </w:tc>
        <w:tc>
          <w:tcPr>
            <w:tcW w:w="1161" w:type="pct"/>
            <w:noWrap/>
          </w:tcPr>
          <w:p>
            <w:pPr>
              <w:pStyle w:val="38"/>
            </w:pPr>
            <w:r>
              <w:t>1923000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83" w:type="pct"/>
            <w:noWrap/>
          </w:tcPr>
          <w:p>
            <w:pPr>
              <w:pStyle w:val="38"/>
            </w:pPr>
            <w:r>
              <w:rPr>
                <w:rFonts w:hint="eastAsia"/>
              </w:rPr>
              <w:t>工程泥浆</w:t>
            </w:r>
          </w:p>
        </w:tc>
        <w:tc>
          <w:tcPr>
            <w:tcW w:w="1197" w:type="pct"/>
          </w:tcPr>
          <w:p>
            <w:pPr>
              <w:pStyle w:val="38"/>
            </w:pPr>
            <w:r>
              <w:rPr>
                <w:rFonts w:hint="eastAsia"/>
              </w:rPr>
              <w:t>未单独统计</w:t>
            </w:r>
          </w:p>
        </w:tc>
        <w:tc>
          <w:tcPr>
            <w:tcW w:w="829" w:type="pct"/>
          </w:tcPr>
          <w:p>
            <w:pPr>
              <w:pStyle w:val="38"/>
            </w:pPr>
            <w:r>
              <w:rPr>
                <w:rFonts w:hint="eastAsia"/>
              </w:rPr>
              <w:t>未单独统计</w:t>
            </w:r>
          </w:p>
        </w:tc>
        <w:tc>
          <w:tcPr>
            <w:tcW w:w="829" w:type="pct"/>
          </w:tcPr>
          <w:p>
            <w:pPr>
              <w:pStyle w:val="38"/>
            </w:pPr>
            <w:r>
              <w:rPr>
                <w:rFonts w:hint="eastAsia"/>
              </w:rPr>
              <w:t>未单独统计</w:t>
            </w:r>
          </w:p>
        </w:tc>
        <w:tc>
          <w:tcPr>
            <w:tcW w:w="1161" w:type="pct"/>
            <w:noWrap/>
          </w:tcPr>
          <w:p>
            <w:pPr>
              <w:pStyle w:val="38"/>
            </w:pPr>
            <w:r>
              <w:rPr>
                <w:rFonts w:hint="eastAsia"/>
              </w:rPr>
              <w:t>73500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83" w:type="pct"/>
            <w:noWrap/>
          </w:tcPr>
          <w:p>
            <w:pPr>
              <w:pStyle w:val="38"/>
            </w:pPr>
            <w:r>
              <w:rPr>
                <w:rFonts w:hint="eastAsia"/>
              </w:rPr>
              <w:t>工程垃圾</w:t>
            </w:r>
          </w:p>
        </w:tc>
        <w:tc>
          <w:tcPr>
            <w:tcW w:w="1197" w:type="pct"/>
          </w:tcPr>
          <w:p>
            <w:pPr>
              <w:pStyle w:val="38"/>
            </w:pPr>
            <w:r>
              <w:rPr>
                <w:rFonts w:hint="eastAsia"/>
              </w:rPr>
              <w:t>未单独统计</w:t>
            </w:r>
          </w:p>
        </w:tc>
        <w:tc>
          <w:tcPr>
            <w:tcW w:w="829" w:type="pct"/>
          </w:tcPr>
          <w:p>
            <w:pPr>
              <w:pStyle w:val="38"/>
            </w:pPr>
            <w:r>
              <w:rPr>
                <w:rFonts w:hint="eastAsia"/>
              </w:rPr>
              <w:t>未单独统计</w:t>
            </w:r>
          </w:p>
        </w:tc>
        <w:tc>
          <w:tcPr>
            <w:tcW w:w="829" w:type="pct"/>
          </w:tcPr>
          <w:p>
            <w:pPr>
              <w:pStyle w:val="38"/>
            </w:pPr>
            <w:r>
              <w:rPr>
                <w:rFonts w:hint="eastAsia"/>
              </w:rPr>
              <w:t>未单独统计</w:t>
            </w:r>
          </w:p>
        </w:tc>
        <w:tc>
          <w:tcPr>
            <w:tcW w:w="1161" w:type="pct"/>
            <w:noWrap/>
          </w:tcPr>
          <w:p>
            <w:pPr>
              <w:pStyle w:val="38"/>
            </w:pPr>
            <w:r>
              <w:rPr>
                <w:rFonts w:hint="eastAsia"/>
              </w:rPr>
              <w:t>16325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83" w:type="pct"/>
            <w:noWrap/>
          </w:tcPr>
          <w:p>
            <w:pPr>
              <w:pStyle w:val="38"/>
            </w:pPr>
            <w:r>
              <w:rPr>
                <w:rFonts w:hint="eastAsia"/>
              </w:rPr>
              <w:t>拆除垃圾</w:t>
            </w:r>
          </w:p>
        </w:tc>
        <w:tc>
          <w:tcPr>
            <w:tcW w:w="1197" w:type="pct"/>
          </w:tcPr>
          <w:p>
            <w:pPr>
              <w:pStyle w:val="38"/>
            </w:pPr>
            <w:r>
              <w:rPr>
                <w:rFonts w:hint="eastAsia"/>
              </w:rPr>
              <w:t>未单独统计</w:t>
            </w:r>
          </w:p>
        </w:tc>
        <w:tc>
          <w:tcPr>
            <w:tcW w:w="829" w:type="pct"/>
          </w:tcPr>
          <w:p>
            <w:pPr>
              <w:pStyle w:val="38"/>
            </w:pPr>
            <w:r>
              <w:rPr>
                <w:rFonts w:hint="eastAsia"/>
              </w:rPr>
              <w:t>未单独统计</w:t>
            </w:r>
          </w:p>
        </w:tc>
        <w:tc>
          <w:tcPr>
            <w:tcW w:w="829" w:type="pct"/>
          </w:tcPr>
          <w:p>
            <w:pPr>
              <w:pStyle w:val="38"/>
            </w:pPr>
            <w:r>
              <w:rPr>
                <w:rFonts w:hint="eastAsia"/>
              </w:rPr>
              <w:t>未单独统计</w:t>
            </w:r>
          </w:p>
        </w:tc>
        <w:tc>
          <w:tcPr>
            <w:tcW w:w="1161" w:type="pct"/>
            <w:noWrap/>
          </w:tcPr>
          <w:p>
            <w:pPr>
              <w:pStyle w:val="38"/>
            </w:pPr>
            <w:r>
              <w:rPr>
                <w:rFonts w:hint="eastAsia"/>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3" w:type="pct"/>
            <w:noWrap/>
          </w:tcPr>
          <w:p>
            <w:pPr>
              <w:pStyle w:val="38"/>
            </w:pPr>
            <w:r>
              <w:rPr>
                <w:rFonts w:hint="eastAsia"/>
              </w:rPr>
              <w:t>装修垃圾</w:t>
            </w:r>
          </w:p>
        </w:tc>
        <w:tc>
          <w:tcPr>
            <w:tcW w:w="1197" w:type="pct"/>
          </w:tcPr>
          <w:p>
            <w:pPr>
              <w:pStyle w:val="38"/>
            </w:pPr>
            <w:r>
              <w:rPr>
                <w:rFonts w:hint="eastAsia"/>
              </w:rPr>
              <w:t>未单独统计</w:t>
            </w:r>
          </w:p>
        </w:tc>
        <w:tc>
          <w:tcPr>
            <w:tcW w:w="829" w:type="pct"/>
          </w:tcPr>
          <w:p>
            <w:pPr>
              <w:pStyle w:val="38"/>
            </w:pPr>
            <w:r>
              <w:rPr>
                <w:rFonts w:hint="eastAsia"/>
              </w:rPr>
              <w:t>未单独统计</w:t>
            </w:r>
          </w:p>
        </w:tc>
        <w:tc>
          <w:tcPr>
            <w:tcW w:w="829" w:type="pct"/>
          </w:tcPr>
          <w:p>
            <w:pPr>
              <w:pStyle w:val="38"/>
            </w:pPr>
            <w:r>
              <w:rPr>
                <w:rFonts w:hint="eastAsia"/>
              </w:rPr>
              <w:t>未单独统计</w:t>
            </w:r>
          </w:p>
        </w:tc>
        <w:tc>
          <w:tcPr>
            <w:tcW w:w="1161" w:type="pct"/>
            <w:noWrap/>
          </w:tcPr>
          <w:p>
            <w:pPr>
              <w:pStyle w:val="38"/>
            </w:pPr>
            <w:r>
              <w:t>68300</w:t>
            </w:r>
          </w:p>
        </w:tc>
      </w:tr>
    </w:tbl>
    <w:p>
      <w:pPr>
        <w:pStyle w:val="3"/>
        <w:numPr>
          <w:ilvl w:val="0"/>
          <w:numId w:val="0"/>
        </w:numPr>
        <w:rPr>
          <w:sz w:val="28"/>
          <w:szCs w:val="28"/>
        </w:rPr>
      </w:pPr>
      <w:bookmarkStart w:id="297" w:name="_Toc168062432"/>
      <w:bookmarkStart w:id="298" w:name="_Toc167461423"/>
      <w:r>
        <w:rPr>
          <w:rFonts w:hint="eastAsia"/>
          <w:sz w:val="28"/>
          <w:szCs w:val="28"/>
        </w:rPr>
        <w:t>建筑垃圾产生量与处理量预测表</w:t>
      </w:r>
      <w:bookmarkEnd w:id="297"/>
      <w:bookmarkEnd w:id="298"/>
      <w:r>
        <w:rPr>
          <w:rFonts w:hint="eastAsia"/>
          <w:sz w:val="28"/>
          <w:szCs w:val="28"/>
        </w:rPr>
        <w:t>（单位：万吨）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7"/>
        <w:gridCol w:w="1334"/>
        <w:gridCol w:w="1331"/>
        <w:gridCol w:w="1376"/>
        <w:gridCol w:w="1354"/>
        <w:gridCol w:w="1445"/>
        <w:gridCol w:w="1445"/>
        <w:gridCol w:w="1447"/>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vMerge w:val="restart"/>
            <w:noWrap/>
          </w:tcPr>
          <w:p>
            <w:pPr>
              <w:pStyle w:val="38"/>
              <w:rPr>
                <w:highlight w:val="green"/>
              </w:rPr>
            </w:pPr>
            <w:r>
              <w:rPr>
                <w:rFonts w:hint="eastAsia"/>
                <w:highlight w:val="green"/>
              </w:rPr>
              <w:t>建筑垃圾类别</w:t>
            </w:r>
          </w:p>
        </w:tc>
        <w:tc>
          <w:tcPr>
            <w:tcW w:w="937" w:type="pct"/>
            <w:gridSpan w:val="2"/>
            <w:noWrap/>
          </w:tcPr>
          <w:p>
            <w:pPr>
              <w:pStyle w:val="38"/>
              <w:rPr>
                <w:highlight w:val="green"/>
              </w:rPr>
            </w:pPr>
            <w:r>
              <w:rPr>
                <w:rFonts w:hint="eastAsia"/>
                <w:highlight w:val="green"/>
              </w:rPr>
              <w:t>产生量</w:t>
            </w:r>
          </w:p>
        </w:tc>
        <w:tc>
          <w:tcPr>
            <w:tcW w:w="960" w:type="pct"/>
            <w:gridSpan w:val="2"/>
            <w:noWrap/>
          </w:tcPr>
          <w:p>
            <w:pPr>
              <w:pStyle w:val="38"/>
              <w:rPr>
                <w:highlight w:val="green"/>
              </w:rPr>
            </w:pPr>
            <w:r>
              <w:rPr>
                <w:rFonts w:hint="eastAsia"/>
                <w:highlight w:val="green"/>
              </w:rPr>
              <w:t>直接利用量</w:t>
            </w:r>
          </w:p>
        </w:tc>
        <w:tc>
          <w:tcPr>
            <w:tcW w:w="1016" w:type="pct"/>
            <w:gridSpan w:val="2"/>
            <w:noWrap/>
          </w:tcPr>
          <w:p>
            <w:pPr>
              <w:pStyle w:val="38"/>
              <w:rPr>
                <w:highlight w:val="green"/>
              </w:rPr>
            </w:pPr>
            <w:r>
              <w:rPr>
                <w:rFonts w:hint="eastAsia"/>
                <w:highlight w:val="green"/>
              </w:rPr>
              <w:t>再生利用量</w:t>
            </w:r>
          </w:p>
        </w:tc>
        <w:tc>
          <w:tcPr>
            <w:tcW w:w="973" w:type="pct"/>
            <w:gridSpan w:val="2"/>
            <w:noWrap/>
          </w:tcPr>
          <w:p>
            <w:pPr>
              <w:pStyle w:val="38"/>
              <w:rPr>
                <w:highlight w:val="green"/>
              </w:rPr>
            </w:pPr>
            <w:r>
              <w:rPr>
                <w:rFonts w:hint="eastAsia"/>
                <w:highlight w:val="green"/>
              </w:rPr>
              <w:t>处置量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vMerge w:val="continue"/>
          </w:tcPr>
          <w:p>
            <w:pPr>
              <w:pStyle w:val="38"/>
              <w:rPr>
                <w:highlight w:val="green"/>
              </w:rPr>
            </w:pPr>
          </w:p>
        </w:tc>
        <w:tc>
          <w:tcPr>
            <w:tcW w:w="469" w:type="pct"/>
            <w:noWrap/>
          </w:tcPr>
          <w:p>
            <w:pPr>
              <w:pStyle w:val="38"/>
              <w:rPr>
                <w:highlight w:val="green"/>
              </w:rPr>
            </w:pPr>
            <w:r>
              <w:rPr>
                <w:rFonts w:hint="eastAsia"/>
                <w:highlight w:val="green"/>
              </w:rPr>
              <w:t>近期</w:t>
            </w:r>
          </w:p>
        </w:tc>
        <w:tc>
          <w:tcPr>
            <w:tcW w:w="468" w:type="pct"/>
            <w:noWrap/>
          </w:tcPr>
          <w:p>
            <w:pPr>
              <w:pStyle w:val="38"/>
              <w:rPr>
                <w:highlight w:val="green"/>
              </w:rPr>
            </w:pPr>
            <w:r>
              <w:rPr>
                <w:rFonts w:hint="eastAsia"/>
                <w:highlight w:val="green"/>
              </w:rPr>
              <w:t>远期</w:t>
            </w:r>
          </w:p>
        </w:tc>
        <w:tc>
          <w:tcPr>
            <w:tcW w:w="484" w:type="pct"/>
            <w:noWrap/>
          </w:tcPr>
          <w:p>
            <w:pPr>
              <w:pStyle w:val="38"/>
              <w:rPr>
                <w:highlight w:val="green"/>
              </w:rPr>
            </w:pPr>
            <w:r>
              <w:rPr>
                <w:rFonts w:hint="eastAsia"/>
                <w:highlight w:val="green"/>
              </w:rPr>
              <w:t>近期</w:t>
            </w:r>
          </w:p>
        </w:tc>
        <w:tc>
          <w:tcPr>
            <w:tcW w:w="476" w:type="pct"/>
            <w:noWrap/>
          </w:tcPr>
          <w:p>
            <w:pPr>
              <w:pStyle w:val="38"/>
              <w:rPr>
                <w:highlight w:val="green"/>
              </w:rPr>
            </w:pPr>
            <w:r>
              <w:rPr>
                <w:rFonts w:hint="eastAsia"/>
                <w:highlight w:val="green"/>
              </w:rPr>
              <w:t>远期</w:t>
            </w:r>
          </w:p>
        </w:tc>
        <w:tc>
          <w:tcPr>
            <w:tcW w:w="508" w:type="pct"/>
            <w:noWrap/>
          </w:tcPr>
          <w:p>
            <w:pPr>
              <w:pStyle w:val="38"/>
              <w:rPr>
                <w:highlight w:val="green"/>
              </w:rPr>
            </w:pPr>
            <w:r>
              <w:rPr>
                <w:rFonts w:hint="eastAsia"/>
                <w:highlight w:val="green"/>
              </w:rPr>
              <w:t>近期</w:t>
            </w:r>
          </w:p>
        </w:tc>
        <w:tc>
          <w:tcPr>
            <w:tcW w:w="508" w:type="pct"/>
            <w:noWrap/>
          </w:tcPr>
          <w:p>
            <w:pPr>
              <w:pStyle w:val="38"/>
              <w:rPr>
                <w:highlight w:val="green"/>
              </w:rPr>
            </w:pPr>
            <w:r>
              <w:rPr>
                <w:rFonts w:hint="eastAsia"/>
                <w:highlight w:val="green"/>
              </w:rPr>
              <w:t>远期</w:t>
            </w:r>
          </w:p>
        </w:tc>
        <w:tc>
          <w:tcPr>
            <w:tcW w:w="509" w:type="pct"/>
            <w:noWrap/>
          </w:tcPr>
          <w:p>
            <w:pPr>
              <w:pStyle w:val="38"/>
              <w:rPr>
                <w:highlight w:val="green"/>
              </w:rPr>
            </w:pPr>
            <w:r>
              <w:rPr>
                <w:rFonts w:hint="eastAsia"/>
                <w:highlight w:val="green"/>
              </w:rPr>
              <w:t>近期</w:t>
            </w:r>
          </w:p>
        </w:tc>
        <w:tc>
          <w:tcPr>
            <w:tcW w:w="464" w:type="pct"/>
            <w:noWrap/>
          </w:tcPr>
          <w:p>
            <w:pPr>
              <w:pStyle w:val="38"/>
              <w:rPr>
                <w:highlight w:val="green"/>
              </w:rPr>
            </w:pPr>
            <w:r>
              <w:rPr>
                <w:rFonts w:hint="eastAsia"/>
                <w:highlight w:val="gree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工程渣土</w:t>
            </w:r>
          </w:p>
        </w:tc>
        <w:tc>
          <w:tcPr>
            <w:tcW w:w="469" w:type="pct"/>
            <w:noWrap/>
            <w:vAlign w:val="bottom"/>
          </w:tcPr>
          <w:p>
            <w:pPr>
              <w:pStyle w:val="38"/>
              <w:rPr>
                <w:highlight w:val="green"/>
              </w:rPr>
            </w:pPr>
            <w:r>
              <w:rPr>
                <w:rFonts w:hint="eastAsia"/>
                <w:highlight w:val="green"/>
              </w:rPr>
              <w:t>370</w:t>
            </w:r>
          </w:p>
        </w:tc>
        <w:tc>
          <w:tcPr>
            <w:tcW w:w="468" w:type="pct"/>
            <w:noWrap/>
            <w:vAlign w:val="bottom"/>
          </w:tcPr>
          <w:p>
            <w:pPr>
              <w:pStyle w:val="38"/>
              <w:rPr>
                <w:highlight w:val="green"/>
              </w:rPr>
            </w:pPr>
            <w:r>
              <w:rPr>
                <w:rFonts w:hint="eastAsia"/>
                <w:highlight w:val="green"/>
              </w:rPr>
              <w:t>400</w:t>
            </w:r>
          </w:p>
        </w:tc>
        <w:tc>
          <w:tcPr>
            <w:tcW w:w="484" w:type="pct"/>
            <w:noWrap/>
            <w:vAlign w:val="bottom"/>
          </w:tcPr>
          <w:p>
            <w:pPr>
              <w:pStyle w:val="38"/>
              <w:rPr>
                <w:highlight w:val="green"/>
              </w:rPr>
            </w:pPr>
            <w:r>
              <w:rPr>
                <w:rFonts w:hint="eastAsia"/>
                <w:highlight w:val="green"/>
              </w:rPr>
              <w:t>270.1</w:t>
            </w:r>
          </w:p>
        </w:tc>
        <w:tc>
          <w:tcPr>
            <w:tcW w:w="476" w:type="pct"/>
            <w:noWrap/>
            <w:vAlign w:val="bottom"/>
          </w:tcPr>
          <w:p>
            <w:pPr>
              <w:pStyle w:val="38"/>
              <w:rPr>
                <w:highlight w:val="green"/>
              </w:rPr>
            </w:pPr>
            <w:r>
              <w:rPr>
                <w:rFonts w:hint="eastAsia"/>
                <w:highlight w:val="green"/>
              </w:rPr>
              <w:t>260</w:t>
            </w:r>
          </w:p>
        </w:tc>
        <w:tc>
          <w:tcPr>
            <w:tcW w:w="508" w:type="pct"/>
            <w:noWrap/>
            <w:vAlign w:val="bottom"/>
          </w:tcPr>
          <w:p>
            <w:pPr>
              <w:pStyle w:val="38"/>
              <w:rPr>
                <w:highlight w:val="green"/>
              </w:rPr>
            </w:pPr>
            <w:r>
              <w:rPr>
                <w:rFonts w:hint="eastAsia"/>
                <w:highlight w:val="green"/>
              </w:rPr>
              <w:t>74</w:t>
            </w:r>
          </w:p>
        </w:tc>
        <w:tc>
          <w:tcPr>
            <w:tcW w:w="508" w:type="pct"/>
            <w:noWrap/>
            <w:vAlign w:val="bottom"/>
          </w:tcPr>
          <w:p>
            <w:pPr>
              <w:pStyle w:val="38"/>
              <w:rPr>
                <w:highlight w:val="green"/>
              </w:rPr>
            </w:pPr>
            <w:r>
              <w:rPr>
                <w:rFonts w:hint="eastAsia"/>
                <w:highlight w:val="green"/>
              </w:rPr>
              <w:t>120</w:t>
            </w:r>
          </w:p>
        </w:tc>
        <w:tc>
          <w:tcPr>
            <w:tcW w:w="509" w:type="pct"/>
            <w:noWrap/>
            <w:vAlign w:val="bottom"/>
          </w:tcPr>
          <w:p>
            <w:pPr>
              <w:pStyle w:val="38"/>
              <w:rPr>
                <w:highlight w:val="green"/>
              </w:rPr>
            </w:pPr>
            <w:r>
              <w:rPr>
                <w:rFonts w:hint="eastAsia"/>
                <w:highlight w:val="green"/>
              </w:rPr>
              <w:t>25.9</w:t>
            </w:r>
          </w:p>
        </w:tc>
        <w:tc>
          <w:tcPr>
            <w:tcW w:w="464" w:type="pct"/>
            <w:noWrap/>
            <w:vAlign w:val="bottom"/>
          </w:tcPr>
          <w:p>
            <w:pPr>
              <w:pStyle w:val="38"/>
              <w:rPr>
                <w:highlight w:val="green"/>
              </w:rPr>
            </w:pPr>
            <w:r>
              <w:rPr>
                <w:rFonts w:hint="eastAsia"/>
                <w:highlight w:val="gree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工程泥浆</w:t>
            </w:r>
          </w:p>
        </w:tc>
        <w:tc>
          <w:tcPr>
            <w:tcW w:w="469" w:type="pct"/>
            <w:noWrap/>
            <w:vAlign w:val="bottom"/>
          </w:tcPr>
          <w:p>
            <w:pPr>
              <w:pStyle w:val="38"/>
              <w:rPr>
                <w:highlight w:val="green"/>
              </w:rPr>
            </w:pPr>
            <w:r>
              <w:rPr>
                <w:rFonts w:hint="eastAsia"/>
                <w:highlight w:val="green"/>
              </w:rPr>
              <w:t>18</w:t>
            </w:r>
          </w:p>
        </w:tc>
        <w:tc>
          <w:tcPr>
            <w:tcW w:w="468" w:type="pct"/>
            <w:noWrap/>
            <w:vAlign w:val="bottom"/>
          </w:tcPr>
          <w:p>
            <w:pPr>
              <w:pStyle w:val="38"/>
              <w:rPr>
                <w:highlight w:val="green"/>
              </w:rPr>
            </w:pPr>
            <w:r>
              <w:rPr>
                <w:rFonts w:hint="eastAsia"/>
                <w:highlight w:val="green"/>
              </w:rPr>
              <w:t>20</w:t>
            </w:r>
          </w:p>
        </w:tc>
        <w:tc>
          <w:tcPr>
            <w:tcW w:w="484" w:type="pct"/>
            <w:noWrap/>
            <w:vAlign w:val="bottom"/>
          </w:tcPr>
          <w:p>
            <w:pPr>
              <w:pStyle w:val="38"/>
              <w:rPr>
                <w:highlight w:val="green"/>
              </w:rPr>
            </w:pPr>
            <w:r>
              <w:rPr>
                <w:rFonts w:hint="eastAsia"/>
                <w:highlight w:val="green"/>
              </w:rPr>
              <w:t>13.14</w:t>
            </w:r>
          </w:p>
        </w:tc>
        <w:tc>
          <w:tcPr>
            <w:tcW w:w="476" w:type="pct"/>
            <w:noWrap/>
            <w:vAlign w:val="bottom"/>
          </w:tcPr>
          <w:p>
            <w:pPr>
              <w:pStyle w:val="38"/>
              <w:rPr>
                <w:highlight w:val="green"/>
              </w:rPr>
            </w:pPr>
            <w:r>
              <w:rPr>
                <w:rFonts w:hint="eastAsia"/>
                <w:highlight w:val="green"/>
              </w:rPr>
              <w:t>13</w:t>
            </w:r>
          </w:p>
        </w:tc>
        <w:tc>
          <w:tcPr>
            <w:tcW w:w="508" w:type="pct"/>
            <w:noWrap/>
            <w:vAlign w:val="bottom"/>
          </w:tcPr>
          <w:p>
            <w:pPr>
              <w:pStyle w:val="38"/>
              <w:rPr>
                <w:highlight w:val="green"/>
              </w:rPr>
            </w:pPr>
            <w:r>
              <w:rPr>
                <w:rFonts w:hint="eastAsia"/>
                <w:highlight w:val="green"/>
              </w:rPr>
              <w:t>3.6</w:t>
            </w:r>
          </w:p>
        </w:tc>
        <w:tc>
          <w:tcPr>
            <w:tcW w:w="508" w:type="pct"/>
            <w:noWrap/>
            <w:vAlign w:val="bottom"/>
          </w:tcPr>
          <w:p>
            <w:pPr>
              <w:pStyle w:val="38"/>
              <w:rPr>
                <w:highlight w:val="green"/>
              </w:rPr>
            </w:pPr>
            <w:r>
              <w:rPr>
                <w:rFonts w:hint="eastAsia"/>
                <w:highlight w:val="green"/>
              </w:rPr>
              <w:t>6</w:t>
            </w:r>
          </w:p>
        </w:tc>
        <w:tc>
          <w:tcPr>
            <w:tcW w:w="509" w:type="pct"/>
            <w:noWrap/>
            <w:vAlign w:val="bottom"/>
          </w:tcPr>
          <w:p>
            <w:pPr>
              <w:pStyle w:val="38"/>
              <w:rPr>
                <w:highlight w:val="green"/>
              </w:rPr>
            </w:pPr>
            <w:r>
              <w:rPr>
                <w:rFonts w:hint="eastAsia"/>
                <w:highlight w:val="green"/>
              </w:rPr>
              <w:t>1.26</w:t>
            </w:r>
          </w:p>
        </w:tc>
        <w:tc>
          <w:tcPr>
            <w:tcW w:w="464" w:type="pct"/>
            <w:noWrap/>
            <w:vAlign w:val="bottom"/>
          </w:tcPr>
          <w:p>
            <w:pPr>
              <w:pStyle w:val="38"/>
              <w:rPr>
                <w:highlight w:val="green"/>
              </w:rPr>
            </w:pPr>
            <w:r>
              <w:rPr>
                <w:rFonts w:hint="eastAsia"/>
                <w:highlight w:val="gree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工程垃圾</w:t>
            </w:r>
          </w:p>
        </w:tc>
        <w:tc>
          <w:tcPr>
            <w:tcW w:w="469" w:type="pct"/>
            <w:noWrap/>
            <w:vAlign w:val="bottom"/>
          </w:tcPr>
          <w:p>
            <w:pPr>
              <w:pStyle w:val="38"/>
              <w:rPr>
                <w:highlight w:val="green"/>
              </w:rPr>
            </w:pPr>
            <w:r>
              <w:rPr>
                <w:rFonts w:hint="eastAsia"/>
                <w:highlight w:val="green"/>
              </w:rPr>
              <w:t>9</w:t>
            </w:r>
          </w:p>
        </w:tc>
        <w:tc>
          <w:tcPr>
            <w:tcW w:w="468" w:type="pct"/>
            <w:noWrap/>
            <w:vAlign w:val="bottom"/>
          </w:tcPr>
          <w:p>
            <w:pPr>
              <w:pStyle w:val="38"/>
              <w:rPr>
                <w:highlight w:val="green"/>
              </w:rPr>
            </w:pPr>
            <w:r>
              <w:rPr>
                <w:rFonts w:hint="eastAsia"/>
                <w:highlight w:val="green"/>
              </w:rPr>
              <w:t>10.5</w:t>
            </w:r>
          </w:p>
        </w:tc>
        <w:tc>
          <w:tcPr>
            <w:tcW w:w="484" w:type="pct"/>
            <w:noWrap/>
            <w:vAlign w:val="bottom"/>
          </w:tcPr>
          <w:p>
            <w:pPr>
              <w:pStyle w:val="38"/>
              <w:rPr>
                <w:highlight w:val="green"/>
              </w:rPr>
            </w:pPr>
            <w:r>
              <w:rPr>
                <w:rFonts w:hint="eastAsia"/>
                <w:highlight w:val="green"/>
              </w:rPr>
              <w:t>2.97</w:t>
            </w:r>
          </w:p>
        </w:tc>
        <w:tc>
          <w:tcPr>
            <w:tcW w:w="476" w:type="pct"/>
            <w:noWrap/>
            <w:vAlign w:val="bottom"/>
          </w:tcPr>
          <w:p>
            <w:pPr>
              <w:pStyle w:val="38"/>
              <w:rPr>
                <w:highlight w:val="green"/>
              </w:rPr>
            </w:pPr>
            <w:r>
              <w:rPr>
                <w:rFonts w:hint="eastAsia"/>
                <w:highlight w:val="green"/>
              </w:rPr>
              <w:t>1.57</w:t>
            </w:r>
          </w:p>
        </w:tc>
        <w:tc>
          <w:tcPr>
            <w:tcW w:w="508" w:type="pct"/>
            <w:noWrap/>
            <w:vAlign w:val="bottom"/>
          </w:tcPr>
          <w:p>
            <w:pPr>
              <w:pStyle w:val="38"/>
              <w:rPr>
                <w:highlight w:val="green"/>
              </w:rPr>
            </w:pPr>
            <w:r>
              <w:rPr>
                <w:rFonts w:hint="eastAsia"/>
                <w:highlight w:val="green"/>
              </w:rPr>
              <w:t>5.4</w:t>
            </w:r>
          </w:p>
        </w:tc>
        <w:tc>
          <w:tcPr>
            <w:tcW w:w="508" w:type="pct"/>
            <w:noWrap/>
            <w:vAlign w:val="bottom"/>
          </w:tcPr>
          <w:p>
            <w:pPr>
              <w:pStyle w:val="38"/>
              <w:rPr>
                <w:highlight w:val="green"/>
              </w:rPr>
            </w:pPr>
            <w:r>
              <w:rPr>
                <w:rFonts w:hint="eastAsia"/>
                <w:highlight w:val="green"/>
              </w:rPr>
              <w:t>8.4</w:t>
            </w:r>
          </w:p>
        </w:tc>
        <w:tc>
          <w:tcPr>
            <w:tcW w:w="509" w:type="pct"/>
            <w:noWrap/>
            <w:vAlign w:val="bottom"/>
          </w:tcPr>
          <w:p>
            <w:pPr>
              <w:pStyle w:val="38"/>
              <w:rPr>
                <w:highlight w:val="green"/>
              </w:rPr>
            </w:pPr>
            <w:r>
              <w:rPr>
                <w:rFonts w:hint="eastAsia"/>
                <w:highlight w:val="green"/>
              </w:rPr>
              <w:t>0.63</w:t>
            </w:r>
          </w:p>
        </w:tc>
        <w:tc>
          <w:tcPr>
            <w:tcW w:w="464" w:type="pct"/>
            <w:noWrap/>
            <w:vAlign w:val="bottom"/>
          </w:tcPr>
          <w:p>
            <w:pPr>
              <w:pStyle w:val="38"/>
              <w:rPr>
                <w:highlight w:val="green"/>
              </w:rPr>
            </w:pPr>
            <w:r>
              <w:rPr>
                <w:rFonts w:hint="eastAsia"/>
                <w:highlight w:val="gree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拆除垃圾</w:t>
            </w:r>
          </w:p>
        </w:tc>
        <w:tc>
          <w:tcPr>
            <w:tcW w:w="469" w:type="pct"/>
            <w:noWrap/>
            <w:vAlign w:val="bottom"/>
          </w:tcPr>
          <w:p>
            <w:pPr>
              <w:pStyle w:val="38"/>
              <w:rPr>
                <w:highlight w:val="green"/>
              </w:rPr>
            </w:pPr>
            <w:r>
              <w:rPr>
                <w:rFonts w:hint="eastAsia"/>
                <w:highlight w:val="green"/>
              </w:rPr>
              <w:t>31.5</w:t>
            </w:r>
          </w:p>
        </w:tc>
        <w:tc>
          <w:tcPr>
            <w:tcW w:w="468" w:type="pct"/>
            <w:noWrap/>
            <w:vAlign w:val="bottom"/>
          </w:tcPr>
          <w:p>
            <w:pPr>
              <w:pStyle w:val="38"/>
              <w:rPr>
                <w:highlight w:val="green"/>
              </w:rPr>
            </w:pPr>
            <w:r>
              <w:rPr>
                <w:rFonts w:hint="eastAsia"/>
                <w:highlight w:val="green"/>
              </w:rPr>
              <w:t>27</w:t>
            </w:r>
          </w:p>
        </w:tc>
        <w:tc>
          <w:tcPr>
            <w:tcW w:w="484" w:type="pct"/>
            <w:noWrap/>
            <w:vAlign w:val="bottom"/>
          </w:tcPr>
          <w:p>
            <w:pPr>
              <w:pStyle w:val="38"/>
              <w:rPr>
                <w:highlight w:val="green"/>
              </w:rPr>
            </w:pPr>
            <w:r>
              <w:rPr>
                <w:rFonts w:hint="eastAsia"/>
                <w:highlight w:val="green"/>
              </w:rPr>
              <w:t>10.40</w:t>
            </w:r>
          </w:p>
        </w:tc>
        <w:tc>
          <w:tcPr>
            <w:tcW w:w="476" w:type="pct"/>
            <w:noWrap/>
            <w:vAlign w:val="bottom"/>
          </w:tcPr>
          <w:p>
            <w:pPr>
              <w:pStyle w:val="38"/>
              <w:rPr>
                <w:highlight w:val="green"/>
              </w:rPr>
            </w:pPr>
            <w:r>
              <w:rPr>
                <w:rFonts w:hint="eastAsia"/>
                <w:highlight w:val="green"/>
              </w:rPr>
              <w:t>4.05</w:t>
            </w:r>
          </w:p>
        </w:tc>
        <w:tc>
          <w:tcPr>
            <w:tcW w:w="508" w:type="pct"/>
            <w:noWrap/>
            <w:vAlign w:val="bottom"/>
          </w:tcPr>
          <w:p>
            <w:pPr>
              <w:pStyle w:val="38"/>
              <w:rPr>
                <w:highlight w:val="green"/>
              </w:rPr>
            </w:pPr>
            <w:r>
              <w:rPr>
                <w:rFonts w:hint="eastAsia"/>
                <w:highlight w:val="green"/>
              </w:rPr>
              <w:t>18.9</w:t>
            </w:r>
          </w:p>
        </w:tc>
        <w:tc>
          <w:tcPr>
            <w:tcW w:w="508" w:type="pct"/>
            <w:noWrap/>
            <w:vAlign w:val="bottom"/>
          </w:tcPr>
          <w:p>
            <w:pPr>
              <w:pStyle w:val="38"/>
              <w:rPr>
                <w:highlight w:val="green"/>
              </w:rPr>
            </w:pPr>
            <w:r>
              <w:rPr>
                <w:rFonts w:hint="eastAsia"/>
                <w:highlight w:val="green"/>
              </w:rPr>
              <w:t>21.6</w:t>
            </w:r>
          </w:p>
        </w:tc>
        <w:tc>
          <w:tcPr>
            <w:tcW w:w="509" w:type="pct"/>
            <w:noWrap/>
            <w:vAlign w:val="bottom"/>
          </w:tcPr>
          <w:p>
            <w:pPr>
              <w:pStyle w:val="38"/>
              <w:rPr>
                <w:highlight w:val="green"/>
              </w:rPr>
            </w:pPr>
            <w:r>
              <w:rPr>
                <w:rFonts w:hint="eastAsia"/>
                <w:highlight w:val="green"/>
              </w:rPr>
              <w:t>2.20</w:t>
            </w:r>
          </w:p>
        </w:tc>
        <w:tc>
          <w:tcPr>
            <w:tcW w:w="464" w:type="pct"/>
            <w:noWrap/>
            <w:vAlign w:val="bottom"/>
          </w:tcPr>
          <w:p>
            <w:pPr>
              <w:pStyle w:val="38"/>
              <w:rPr>
                <w:highlight w:val="green"/>
              </w:rPr>
            </w:pPr>
            <w:r>
              <w:rPr>
                <w:rFonts w:hint="eastAsia"/>
                <w:highlight w:val="gree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4" w:type="pct"/>
            <w:noWrap/>
          </w:tcPr>
          <w:p>
            <w:pPr>
              <w:pStyle w:val="38"/>
              <w:rPr>
                <w:highlight w:val="green"/>
              </w:rPr>
            </w:pPr>
            <w:r>
              <w:rPr>
                <w:rFonts w:hint="eastAsia"/>
                <w:highlight w:val="green"/>
              </w:rPr>
              <w:t>装修垃圾</w:t>
            </w:r>
          </w:p>
        </w:tc>
        <w:tc>
          <w:tcPr>
            <w:tcW w:w="469" w:type="pct"/>
            <w:noWrap/>
            <w:vAlign w:val="bottom"/>
          </w:tcPr>
          <w:p>
            <w:pPr>
              <w:pStyle w:val="38"/>
              <w:rPr>
                <w:highlight w:val="green"/>
              </w:rPr>
            </w:pPr>
            <w:r>
              <w:rPr>
                <w:rFonts w:hint="eastAsia"/>
                <w:highlight w:val="green"/>
              </w:rPr>
              <w:t>24.3</w:t>
            </w:r>
          </w:p>
        </w:tc>
        <w:tc>
          <w:tcPr>
            <w:tcW w:w="468" w:type="pct"/>
            <w:noWrap/>
            <w:vAlign w:val="bottom"/>
          </w:tcPr>
          <w:p>
            <w:pPr>
              <w:pStyle w:val="38"/>
              <w:rPr>
                <w:highlight w:val="green"/>
              </w:rPr>
            </w:pPr>
            <w:r>
              <w:rPr>
                <w:rFonts w:hint="eastAsia"/>
                <w:highlight w:val="green"/>
              </w:rPr>
              <w:t>25.8</w:t>
            </w:r>
          </w:p>
        </w:tc>
        <w:tc>
          <w:tcPr>
            <w:tcW w:w="484" w:type="pct"/>
            <w:noWrap/>
            <w:vAlign w:val="bottom"/>
          </w:tcPr>
          <w:p>
            <w:pPr>
              <w:pStyle w:val="38"/>
              <w:rPr>
                <w:highlight w:val="green"/>
              </w:rPr>
            </w:pPr>
            <w:r>
              <w:rPr>
                <w:rFonts w:hint="eastAsia"/>
                <w:highlight w:val="green"/>
              </w:rPr>
              <w:t>8.02</w:t>
            </w:r>
          </w:p>
        </w:tc>
        <w:tc>
          <w:tcPr>
            <w:tcW w:w="476" w:type="pct"/>
            <w:noWrap/>
            <w:vAlign w:val="bottom"/>
          </w:tcPr>
          <w:p>
            <w:pPr>
              <w:pStyle w:val="38"/>
              <w:rPr>
                <w:highlight w:val="green"/>
              </w:rPr>
            </w:pPr>
            <w:r>
              <w:rPr>
                <w:rFonts w:hint="eastAsia"/>
                <w:highlight w:val="green"/>
              </w:rPr>
              <w:t>3.87</w:t>
            </w:r>
          </w:p>
        </w:tc>
        <w:tc>
          <w:tcPr>
            <w:tcW w:w="508" w:type="pct"/>
            <w:noWrap/>
            <w:vAlign w:val="bottom"/>
          </w:tcPr>
          <w:p>
            <w:pPr>
              <w:pStyle w:val="38"/>
              <w:rPr>
                <w:highlight w:val="green"/>
              </w:rPr>
            </w:pPr>
            <w:r>
              <w:rPr>
                <w:rFonts w:hint="eastAsia"/>
                <w:highlight w:val="green"/>
              </w:rPr>
              <w:t>14.58</w:t>
            </w:r>
          </w:p>
        </w:tc>
        <w:tc>
          <w:tcPr>
            <w:tcW w:w="508" w:type="pct"/>
            <w:noWrap/>
            <w:vAlign w:val="bottom"/>
          </w:tcPr>
          <w:p>
            <w:pPr>
              <w:pStyle w:val="38"/>
              <w:rPr>
                <w:highlight w:val="green"/>
              </w:rPr>
            </w:pPr>
            <w:r>
              <w:rPr>
                <w:rFonts w:hint="eastAsia"/>
                <w:highlight w:val="green"/>
              </w:rPr>
              <w:t>20.64</w:t>
            </w:r>
          </w:p>
        </w:tc>
        <w:tc>
          <w:tcPr>
            <w:tcW w:w="509" w:type="pct"/>
            <w:noWrap/>
            <w:vAlign w:val="bottom"/>
          </w:tcPr>
          <w:p>
            <w:pPr>
              <w:pStyle w:val="38"/>
              <w:rPr>
                <w:highlight w:val="green"/>
              </w:rPr>
            </w:pPr>
            <w:r>
              <w:rPr>
                <w:rFonts w:hint="eastAsia"/>
                <w:highlight w:val="green"/>
              </w:rPr>
              <w:t>1.70</w:t>
            </w:r>
          </w:p>
        </w:tc>
        <w:tc>
          <w:tcPr>
            <w:tcW w:w="464" w:type="pct"/>
            <w:noWrap/>
            <w:vAlign w:val="bottom"/>
          </w:tcPr>
          <w:p>
            <w:pPr>
              <w:pStyle w:val="38"/>
              <w:rPr>
                <w:highlight w:val="green"/>
              </w:rPr>
            </w:pPr>
            <w:r>
              <w:rPr>
                <w:rFonts w:hint="eastAsia"/>
                <w:highlight w:val="green"/>
              </w:rPr>
              <w:t>1.29</w:t>
            </w:r>
          </w:p>
        </w:tc>
      </w:tr>
    </w:tbl>
    <w:p>
      <w:pPr>
        <w:ind w:firstLine="640"/>
      </w:pPr>
    </w:p>
    <w:p>
      <w:pPr>
        <w:pStyle w:val="3"/>
        <w:numPr>
          <w:ilvl w:val="0"/>
          <w:numId w:val="0"/>
        </w:numPr>
        <w:rPr>
          <w:sz w:val="28"/>
          <w:szCs w:val="28"/>
        </w:rPr>
      </w:pPr>
      <w:bookmarkStart w:id="299" w:name="_Toc167461424"/>
      <w:bookmarkStart w:id="300" w:name="_Toc168062433"/>
      <w:r>
        <w:rPr>
          <w:rFonts w:hint="eastAsia"/>
          <w:sz w:val="28"/>
          <w:szCs w:val="28"/>
        </w:rPr>
        <w:t>建筑垃圾消纳场所现状统计表</w:t>
      </w:r>
      <w:bookmarkEnd w:id="299"/>
      <w:bookmarkEnd w:id="300"/>
    </w:p>
    <w:tbl>
      <w:tblPr>
        <w:tblStyle w:val="4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52"/>
        <w:gridCol w:w="1701"/>
        <w:gridCol w:w="1276"/>
        <w:gridCol w:w="1275"/>
        <w:gridCol w:w="1276"/>
        <w:gridCol w:w="1276"/>
        <w:gridCol w:w="1984"/>
        <w:gridCol w:w="709"/>
        <w:gridCol w:w="709"/>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blHeader/>
        </w:trPr>
        <w:tc>
          <w:tcPr>
            <w:tcW w:w="562" w:type="dxa"/>
            <w:vMerge w:val="restart"/>
            <w:noWrap/>
            <w:vAlign w:val="center"/>
          </w:tcPr>
          <w:p>
            <w:pPr>
              <w:pStyle w:val="38"/>
              <w:widowControl w:val="0"/>
              <w:rPr>
                <w:rFonts w:cs="Times New Roman"/>
                <w:kern w:val="0"/>
                <w:szCs w:val="20"/>
              </w:rPr>
            </w:pPr>
            <w:r>
              <w:rPr>
                <w:rFonts w:cs="Times New Roman"/>
                <w:kern w:val="0"/>
                <w:szCs w:val="20"/>
              </w:rPr>
              <w:t>编号</w:t>
            </w:r>
          </w:p>
        </w:tc>
        <w:tc>
          <w:tcPr>
            <w:tcW w:w="2552" w:type="dxa"/>
            <w:vMerge w:val="restart"/>
            <w:noWrap/>
            <w:vAlign w:val="center"/>
          </w:tcPr>
          <w:p>
            <w:pPr>
              <w:pStyle w:val="38"/>
              <w:widowControl w:val="0"/>
              <w:rPr>
                <w:rFonts w:cs="Times New Roman"/>
                <w:kern w:val="0"/>
                <w:szCs w:val="20"/>
              </w:rPr>
            </w:pPr>
            <w:r>
              <w:rPr>
                <w:rFonts w:cs="Times New Roman"/>
                <w:kern w:val="0"/>
                <w:szCs w:val="20"/>
              </w:rPr>
              <w:t>名称</w:t>
            </w:r>
          </w:p>
        </w:tc>
        <w:tc>
          <w:tcPr>
            <w:tcW w:w="1701" w:type="dxa"/>
            <w:vMerge w:val="restart"/>
            <w:noWrap/>
            <w:vAlign w:val="center"/>
          </w:tcPr>
          <w:p>
            <w:pPr>
              <w:pStyle w:val="38"/>
              <w:widowControl w:val="0"/>
              <w:rPr>
                <w:rFonts w:cs="Times New Roman"/>
                <w:kern w:val="0"/>
                <w:szCs w:val="20"/>
              </w:rPr>
            </w:pPr>
            <w:r>
              <w:rPr>
                <w:rFonts w:cs="Times New Roman"/>
                <w:kern w:val="0"/>
                <w:szCs w:val="20"/>
              </w:rPr>
              <w:t>位置</w:t>
            </w:r>
          </w:p>
        </w:tc>
        <w:tc>
          <w:tcPr>
            <w:tcW w:w="1276" w:type="dxa"/>
            <w:vMerge w:val="restart"/>
            <w:vAlign w:val="center"/>
          </w:tcPr>
          <w:p>
            <w:pPr>
              <w:pStyle w:val="38"/>
              <w:widowControl w:val="0"/>
              <w:rPr>
                <w:rFonts w:cs="Times New Roman"/>
                <w:kern w:val="0"/>
                <w:szCs w:val="20"/>
              </w:rPr>
            </w:pPr>
            <w:r>
              <w:rPr>
                <w:rFonts w:cs="Times New Roman"/>
                <w:kern w:val="0"/>
                <w:szCs w:val="20"/>
              </w:rPr>
              <w:t>年设计处置能力</w:t>
            </w:r>
            <w:r>
              <w:rPr>
                <w:rFonts w:hint="eastAsia" w:cs="Times New Roman"/>
                <w:kern w:val="0"/>
                <w:szCs w:val="20"/>
              </w:rPr>
              <w:t>/</w:t>
            </w:r>
            <w:r>
              <w:rPr>
                <w:rFonts w:cs="Times New Roman"/>
                <w:kern w:val="0"/>
                <w:szCs w:val="20"/>
              </w:rPr>
              <w:t>吨</w:t>
            </w:r>
          </w:p>
        </w:tc>
        <w:tc>
          <w:tcPr>
            <w:tcW w:w="1275" w:type="dxa"/>
            <w:vMerge w:val="restart"/>
            <w:vAlign w:val="center"/>
          </w:tcPr>
          <w:p>
            <w:pPr>
              <w:pStyle w:val="38"/>
              <w:widowControl w:val="0"/>
              <w:rPr>
                <w:rFonts w:cs="Times New Roman"/>
                <w:kern w:val="0"/>
                <w:szCs w:val="20"/>
              </w:rPr>
            </w:pPr>
            <w:r>
              <w:rPr>
                <w:rFonts w:cs="Times New Roman"/>
                <w:kern w:val="0"/>
                <w:szCs w:val="20"/>
              </w:rPr>
              <w:t>年剩余处置能力</w:t>
            </w:r>
            <w:r>
              <w:rPr>
                <w:rFonts w:hint="eastAsia" w:cs="Times New Roman"/>
                <w:kern w:val="0"/>
                <w:szCs w:val="20"/>
              </w:rPr>
              <w:t>/</w:t>
            </w:r>
            <w:r>
              <w:rPr>
                <w:rFonts w:cs="Times New Roman"/>
                <w:kern w:val="0"/>
                <w:szCs w:val="20"/>
              </w:rPr>
              <w:t>吨</w:t>
            </w:r>
          </w:p>
        </w:tc>
        <w:tc>
          <w:tcPr>
            <w:tcW w:w="1276" w:type="dxa"/>
            <w:vMerge w:val="restart"/>
            <w:vAlign w:val="center"/>
          </w:tcPr>
          <w:p>
            <w:pPr>
              <w:pStyle w:val="38"/>
              <w:widowControl w:val="0"/>
              <w:rPr>
                <w:rFonts w:cs="Times New Roman"/>
                <w:kern w:val="0"/>
                <w:szCs w:val="20"/>
              </w:rPr>
            </w:pPr>
            <w:r>
              <w:rPr>
                <w:rFonts w:cs="Times New Roman"/>
                <w:kern w:val="0"/>
                <w:szCs w:val="20"/>
              </w:rPr>
              <w:t>用地面积</w:t>
            </w:r>
          </w:p>
        </w:tc>
        <w:tc>
          <w:tcPr>
            <w:tcW w:w="1276" w:type="dxa"/>
            <w:vMerge w:val="restart"/>
            <w:vAlign w:val="center"/>
          </w:tcPr>
          <w:p>
            <w:pPr>
              <w:pStyle w:val="38"/>
              <w:widowControl w:val="0"/>
              <w:rPr>
                <w:rFonts w:cs="Times New Roman"/>
                <w:kern w:val="0"/>
                <w:szCs w:val="20"/>
              </w:rPr>
            </w:pPr>
            <w:r>
              <w:rPr>
                <w:rFonts w:cs="Times New Roman"/>
                <w:kern w:val="0"/>
                <w:szCs w:val="20"/>
              </w:rPr>
              <w:t>再生产品利用信息</w:t>
            </w:r>
          </w:p>
        </w:tc>
        <w:tc>
          <w:tcPr>
            <w:tcW w:w="1984" w:type="dxa"/>
            <w:vMerge w:val="restart"/>
            <w:noWrap/>
            <w:vAlign w:val="center"/>
          </w:tcPr>
          <w:p>
            <w:pPr>
              <w:pStyle w:val="38"/>
              <w:widowControl w:val="0"/>
              <w:rPr>
                <w:rFonts w:cs="Times New Roman"/>
                <w:kern w:val="0"/>
                <w:szCs w:val="20"/>
              </w:rPr>
            </w:pPr>
            <w:r>
              <w:rPr>
                <w:rFonts w:cs="Times New Roman"/>
                <w:kern w:val="0"/>
                <w:szCs w:val="20"/>
              </w:rPr>
              <w:t>建筑垃圾种类</w:t>
            </w:r>
          </w:p>
        </w:tc>
        <w:tc>
          <w:tcPr>
            <w:tcW w:w="2272" w:type="dxa"/>
            <w:gridSpan w:val="3"/>
            <w:vAlign w:val="center"/>
          </w:tcPr>
          <w:p>
            <w:pPr>
              <w:pStyle w:val="38"/>
              <w:widowControl w:val="0"/>
              <w:rPr>
                <w:rFonts w:cs="Times New Roman"/>
                <w:kern w:val="0"/>
                <w:szCs w:val="20"/>
              </w:rPr>
            </w:pPr>
            <w:r>
              <w:rPr>
                <w:rFonts w:cs="Times New Roman"/>
                <w:kern w:val="0"/>
                <w:szCs w:val="20"/>
              </w:rPr>
              <w:t>数字化治理设施建设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562" w:type="dxa"/>
            <w:vMerge w:val="continue"/>
            <w:vAlign w:val="center"/>
          </w:tcPr>
          <w:p>
            <w:pPr>
              <w:pStyle w:val="38"/>
              <w:widowControl w:val="0"/>
              <w:rPr>
                <w:rFonts w:cs="Times New Roman"/>
                <w:kern w:val="0"/>
                <w:szCs w:val="20"/>
              </w:rPr>
            </w:pPr>
          </w:p>
        </w:tc>
        <w:tc>
          <w:tcPr>
            <w:tcW w:w="2552" w:type="dxa"/>
            <w:vMerge w:val="continue"/>
            <w:vAlign w:val="center"/>
          </w:tcPr>
          <w:p>
            <w:pPr>
              <w:pStyle w:val="38"/>
              <w:widowControl w:val="0"/>
              <w:rPr>
                <w:rFonts w:cs="Times New Roman"/>
                <w:kern w:val="0"/>
                <w:szCs w:val="20"/>
              </w:rPr>
            </w:pPr>
          </w:p>
        </w:tc>
        <w:tc>
          <w:tcPr>
            <w:tcW w:w="1701" w:type="dxa"/>
            <w:vMerge w:val="continue"/>
            <w:vAlign w:val="center"/>
          </w:tcPr>
          <w:p>
            <w:pPr>
              <w:pStyle w:val="38"/>
              <w:widowControl w:val="0"/>
              <w:rPr>
                <w:rFonts w:cs="Times New Roman"/>
                <w:kern w:val="0"/>
                <w:szCs w:val="20"/>
              </w:rPr>
            </w:pPr>
          </w:p>
        </w:tc>
        <w:tc>
          <w:tcPr>
            <w:tcW w:w="1276" w:type="dxa"/>
            <w:vMerge w:val="continue"/>
            <w:vAlign w:val="center"/>
          </w:tcPr>
          <w:p>
            <w:pPr>
              <w:pStyle w:val="38"/>
              <w:widowControl w:val="0"/>
              <w:rPr>
                <w:rFonts w:cs="Times New Roman"/>
                <w:kern w:val="0"/>
                <w:szCs w:val="20"/>
              </w:rPr>
            </w:pPr>
          </w:p>
        </w:tc>
        <w:tc>
          <w:tcPr>
            <w:tcW w:w="1275" w:type="dxa"/>
            <w:vMerge w:val="continue"/>
            <w:vAlign w:val="center"/>
          </w:tcPr>
          <w:p>
            <w:pPr>
              <w:pStyle w:val="38"/>
              <w:widowControl w:val="0"/>
              <w:rPr>
                <w:rFonts w:cs="Times New Roman"/>
                <w:kern w:val="0"/>
                <w:szCs w:val="20"/>
              </w:rPr>
            </w:pPr>
          </w:p>
        </w:tc>
        <w:tc>
          <w:tcPr>
            <w:tcW w:w="1276" w:type="dxa"/>
            <w:vMerge w:val="continue"/>
            <w:vAlign w:val="center"/>
          </w:tcPr>
          <w:p>
            <w:pPr>
              <w:pStyle w:val="38"/>
              <w:widowControl w:val="0"/>
              <w:rPr>
                <w:rFonts w:cs="Times New Roman"/>
                <w:kern w:val="0"/>
                <w:szCs w:val="20"/>
              </w:rPr>
            </w:pPr>
          </w:p>
        </w:tc>
        <w:tc>
          <w:tcPr>
            <w:tcW w:w="1276" w:type="dxa"/>
            <w:vMerge w:val="continue"/>
            <w:vAlign w:val="center"/>
          </w:tcPr>
          <w:p>
            <w:pPr>
              <w:pStyle w:val="38"/>
              <w:widowControl w:val="0"/>
              <w:rPr>
                <w:rFonts w:cs="Times New Roman"/>
                <w:kern w:val="0"/>
                <w:szCs w:val="20"/>
              </w:rPr>
            </w:pPr>
          </w:p>
        </w:tc>
        <w:tc>
          <w:tcPr>
            <w:tcW w:w="1984" w:type="dxa"/>
            <w:vMerge w:val="continue"/>
            <w:vAlign w:val="center"/>
          </w:tcPr>
          <w:p>
            <w:pPr>
              <w:pStyle w:val="38"/>
              <w:widowControl w:val="0"/>
              <w:rPr>
                <w:rFonts w:cs="Times New Roman"/>
                <w:kern w:val="0"/>
                <w:szCs w:val="20"/>
              </w:rPr>
            </w:pPr>
          </w:p>
        </w:tc>
        <w:tc>
          <w:tcPr>
            <w:tcW w:w="709" w:type="dxa"/>
            <w:vAlign w:val="center"/>
          </w:tcPr>
          <w:p>
            <w:pPr>
              <w:pStyle w:val="38"/>
              <w:widowControl w:val="0"/>
              <w:rPr>
                <w:rFonts w:cs="Times New Roman"/>
                <w:kern w:val="0"/>
                <w:szCs w:val="20"/>
              </w:rPr>
            </w:pPr>
            <w:r>
              <w:rPr>
                <w:rFonts w:cs="Times New Roman"/>
                <w:kern w:val="0"/>
                <w:szCs w:val="20"/>
              </w:rPr>
              <w:t>视频监控</w:t>
            </w:r>
          </w:p>
        </w:tc>
        <w:tc>
          <w:tcPr>
            <w:tcW w:w="709" w:type="dxa"/>
            <w:noWrap/>
            <w:vAlign w:val="center"/>
          </w:tcPr>
          <w:p>
            <w:pPr>
              <w:pStyle w:val="38"/>
              <w:widowControl w:val="0"/>
              <w:rPr>
                <w:rFonts w:cs="Times New Roman"/>
                <w:kern w:val="0"/>
                <w:szCs w:val="20"/>
              </w:rPr>
            </w:pPr>
            <w:r>
              <w:rPr>
                <w:rFonts w:cs="Times New Roman"/>
                <w:kern w:val="0"/>
                <w:szCs w:val="20"/>
              </w:rPr>
              <w:t>地磅</w:t>
            </w:r>
          </w:p>
        </w:tc>
        <w:tc>
          <w:tcPr>
            <w:tcW w:w="854" w:type="dxa"/>
            <w:noWrap/>
            <w:vAlign w:val="center"/>
          </w:tcPr>
          <w:p>
            <w:pPr>
              <w:pStyle w:val="38"/>
              <w:widowControl w:val="0"/>
              <w:rPr>
                <w:rFonts w:cs="Times New Roman"/>
                <w:kern w:val="0"/>
                <w:szCs w:val="20"/>
              </w:rPr>
            </w:pPr>
            <w:r>
              <w:rPr>
                <w:rFonts w:cs="Times New Roman"/>
                <w:kern w:val="0"/>
                <w:szCs w:val="20"/>
              </w:rPr>
              <w:t>门禁系统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noWrap/>
            <w:vAlign w:val="center"/>
          </w:tcPr>
          <w:p>
            <w:pPr>
              <w:pStyle w:val="38"/>
              <w:widowControl w:val="0"/>
              <w:rPr>
                <w:rFonts w:cs="Times New Roman"/>
                <w:kern w:val="0"/>
                <w:szCs w:val="20"/>
              </w:rPr>
            </w:pPr>
            <w:r>
              <w:rPr>
                <w:rFonts w:cs="Times New Roman"/>
                <w:kern w:val="0"/>
                <w:szCs w:val="20"/>
              </w:rPr>
              <w:t>1</w:t>
            </w:r>
          </w:p>
        </w:tc>
        <w:tc>
          <w:tcPr>
            <w:tcW w:w="2552" w:type="dxa"/>
            <w:noWrap/>
            <w:vAlign w:val="center"/>
          </w:tcPr>
          <w:p>
            <w:pPr>
              <w:pStyle w:val="38"/>
              <w:widowControl w:val="0"/>
              <w:rPr>
                <w:rFonts w:cs="Times New Roman"/>
                <w:kern w:val="0"/>
                <w:szCs w:val="20"/>
              </w:rPr>
            </w:pPr>
            <w:r>
              <w:rPr>
                <w:rFonts w:cs="Times New Roman"/>
                <w:kern w:val="0"/>
                <w:szCs w:val="20"/>
              </w:rPr>
              <w:t>临海市恒泰新型墙体材料有限公司</w:t>
            </w:r>
          </w:p>
        </w:tc>
        <w:tc>
          <w:tcPr>
            <w:tcW w:w="1701" w:type="dxa"/>
            <w:noWrap/>
            <w:vAlign w:val="center"/>
          </w:tcPr>
          <w:p>
            <w:pPr>
              <w:pStyle w:val="38"/>
              <w:widowControl w:val="0"/>
              <w:rPr>
                <w:rFonts w:cs="Times New Roman"/>
                <w:kern w:val="0"/>
                <w:szCs w:val="20"/>
              </w:rPr>
            </w:pPr>
            <w:r>
              <w:rPr>
                <w:rFonts w:hint="eastAsia" w:cs="Times New Roman"/>
                <w:kern w:val="0"/>
                <w:szCs w:val="20"/>
              </w:rPr>
              <w:t>邵家渡街道大路章村</w:t>
            </w:r>
          </w:p>
        </w:tc>
        <w:tc>
          <w:tcPr>
            <w:tcW w:w="1276" w:type="dxa"/>
            <w:noWrap/>
            <w:vAlign w:val="center"/>
          </w:tcPr>
          <w:p>
            <w:pPr>
              <w:pStyle w:val="38"/>
              <w:widowControl w:val="0"/>
              <w:rPr>
                <w:rFonts w:cs="Times New Roman"/>
                <w:kern w:val="0"/>
                <w:szCs w:val="20"/>
              </w:rPr>
            </w:pPr>
            <w:r>
              <w:rPr>
                <w:rFonts w:hint="eastAsia" w:cs="Times New Roman"/>
                <w:kern w:val="0"/>
                <w:szCs w:val="20"/>
              </w:rPr>
              <w:t>150000</w:t>
            </w: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hint="eastAsia" w:cs="Times New Roman"/>
                <w:kern w:val="0"/>
                <w:szCs w:val="20"/>
              </w:rPr>
              <w:t>45亩</w:t>
            </w:r>
          </w:p>
        </w:tc>
        <w:tc>
          <w:tcPr>
            <w:tcW w:w="1276" w:type="dxa"/>
            <w:noWrap/>
            <w:vAlign w:val="center"/>
          </w:tcPr>
          <w:p>
            <w:pPr>
              <w:pStyle w:val="38"/>
              <w:widowControl w:val="0"/>
              <w:rPr>
                <w:rFonts w:ascii="Calibri" w:hAnsi="Calibri" w:cs="Times New Roman"/>
                <w:kern w:val="0"/>
                <w:sz w:val="21"/>
                <w:szCs w:val="20"/>
              </w:rPr>
            </w:pPr>
            <w:r>
              <w:rPr>
                <w:rFonts w:hint="eastAsia" w:cs="Times New Roman"/>
                <w:kern w:val="0"/>
                <w:szCs w:val="20"/>
              </w:rPr>
              <w:t>成品砖</w:t>
            </w:r>
          </w:p>
        </w:tc>
        <w:tc>
          <w:tcPr>
            <w:tcW w:w="1984" w:type="dxa"/>
            <w:noWrap/>
            <w:vAlign w:val="center"/>
          </w:tcPr>
          <w:p>
            <w:pPr>
              <w:pStyle w:val="38"/>
              <w:widowControl w:val="0"/>
              <w:rPr>
                <w:rFonts w:cs="Times New Roman"/>
                <w:kern w:val="0"/>
                <w:szCs w:val="20"/>
              </w:rPr>
            </w:pPr>
            <w:r>
              <w:rPr>
                <w:rFonts w:hint="eastAsia" w:cs="Times New Roman"/>
                <w:kern w:val="0"/>
                <w:szCs w:val="20"/>
              </w:rPr>
              <w:t>渣土</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854" w:type="dxa"/>
            <w:noWrap/>
            <w:vAlign w:val="center"/>
          </w:tcPr>
          <w:p>
            <w:pPr>
              <w:pStyle w:val="38"/>
              <w:widowControl w:val="0"/>
              <w:rPr>
                <w:rFonts w:cs="Times New Roman"/>
                <w:kern w:val="0"/>
                <w:szCs w:val="20"/>
              </w:rPr>
            </w:pPr>
            <w:r>
              <w:rPr>
                <w:rFonts w:hint="eastAsia" w:cs="Times New Roman"/>
                <w:kern w:val="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dxa"/>
            <w:noWrap/>
            <w:vAlign w:val="center"/>
          </w:tcPr>
          <w:p>
            <w:pPr>
              <w:pStyle w:val="38"/>
              <w:widowControl w:val="0"/>
              <w:rPr>
                <w:rFonts w:cs="Times New Roman"/>
                <w:kern w:val="0"/>
                <w:szCs w:val="20"/>
              </w:rPr>
            </w:pPr>
            <w:r>
              <w:rPr>
                <w:rFonts w:cs="Times New Roman"/>
                <w:kern w:val="0"/>
                <w:szCs w:val="20"/>
              </w:rPr>
              <w:t>2</w:t>
            </w:r>
          </w:p>
        </w:tc>
        <w:tc>
          <w:tcPr>
            <w:tcW w:w="2552" w:type="dxa"/>
            <w:noWrap/>
            <w:vAlign w:val="center"/>
          </w:tcPr>
          <w:p>
            <w:pPr>
              <w:pStyle w:val="38"/>
              <w:widowControl w:val="0"/>
              <w:rPr>
                <w:rFonts w:cs="Times New Roman"/>
                <w:kern w:val="0"/>
                <w:szCs w:val="20"/>
              </w:rPr>
            </w:pPr>
            <w:r>
              <w:rPr>
                <w:rFonts w:cs="Times New Roman"/>
                <w:kern w:val="0"/>
                <w:szCs w:val="20"/>
              </w:rPr>
              <w:t>临海市里洋建材厂</w:t>
            </w:r>
          </w:p>
        </w:tc>
        <w:tc>
          <w:tcPr>
            <w:tcW w:w="1701" w:type="dxa"/>
            <w:noWrap/>
            <w:vAlign w:val="center"/>
          </w:tcPr>
          <w:p>
            <w:pPr>
              <w:pStyle w:val="38"/>
              <w:widowControl w:val="0"/>
              <w:rPr>
                <w:rFonts w:cs="Times New Roman"/>
                <w:kern w:val="0"/>
                <w:szCs w:val="20"/>
              </w:rPr>
            </w:pPr>
            <w:r>
              <w:rPr>
                <w:rFonts w:hint="eastAsia" w:cs="Times New Roman"/>
                <w:kern w:val="0"/>
                <w:szCs w:val="20"/>
              </w:rPr>
              <w:t>小芝工业园区</w:t>
            </w:r>
          </w:p>
        </w:tc>
        <w:tc>
          <w:tcPr>
            <w:tcW w:w="1276" w:type="dxa"/>
            <w:noWrap/>
            <w:vAlign w:val="center"/>
          </w:tcPr>
          <w:p>
            <w:pPr>
              <w:pStyle w:val="38"/>
              <w:widowControl w:val="0"/>
              <w:rPr>
                <w:rFonts w:cs="Times New Roman"/>
                <w:kern w:val="0"/>
                <w:szCs w:val="20"/>
              </w:rPr>
            </w:pPr>
            <w:r>
              <w:rPr>
                <w:rFonts w:hint="eastAsia" w:cs="Times New Roman"/>
                <w:kern w:val="0"/>
                <w:szCs w:val="20"/>
              </w:rPr>
              <w:t>150000</w:t>
            </w: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hint="eastAsia" w:cs="Times New Roman"/>
                <w:kern w:val="0"/>
                <w:szCs w:val="20"/>
              </w:rPr>
              <w:t>40亩</w:t>
            </w:r>
          </w:p>
        </w:tc>
        <w:tc>
          <w:tcPr>
            <w:tcW w:w="1276" w:type="dxa"/>
            <w:noWrap/>
            <w:vAlign w:val="center"/>
          </w:tcPr>
          <w:p>
            <w:pPr>
              <w:pStyle w:val="38"/>
              <w:widowControl w:val="0"/>
              <w:rPr>
                <w:rFonts w:cs="Times New Roman"/>
                <w:kern w:val="0"/>
                <w:szCs w:val="20"/>
              </w:rPr>
            </w:pPr>
            <w:r>
              <w:rPr>
                <w:rFonts w:hint="eastAsia" w:cs="Times New Roman"/>
                <w:kern w:val="0"/>
                <w:szCs w:val="20"/>
              </w:rPr>
              <w:t>成品砖</w:t>
            </w:r>
          </w:p>
        </w:tc>
        <w:tc>
          <w:tcPr>
            <w:tcW w:w="1984" w:type="dxa"/>
            <w:noWrap/>
            <w:vAlign w:val="center"/>
          </w:tcPr>
          <w:p>
            <w:pPr>
              <w:pStyle w:val="38"/>
              <w:widowControl w:val="0"/>
              <w:rPr>
                <w:rFonts w:cs="Times New Roman"/>
                <w:kern w:val="0"/>
                <w:szCs w:val="20"/>
              </w:rPr>
            </w:pPr>
            <w:r>
              <w:rPr>
                <w:rFonts w:hint="eastAsia" w:cs="Times New Roman"/>
                <w:kern w:val="0"/>
                <w:szCs w:val="20"/>
              </w:rPr>
              <w:t>渣土</w:t>
            </w:r>
          </w:p>
        </w:tc>
        <w:tc>
          <w:tcPr>
            <w:tcW w:w="709" w:type="dxa"/>
            <w:noWrap/>
            <w:vAlign w:val="center"/>
          </w:tcPr>
          <w:p>
            <w:pPr>
              <w:pStyle w:val="38"/>
              <w:widowControl w:val="0"/>
              <w:rPr>
                <w:rFonts w:cs="Times New Roman"/>
                <w:kern w:val="0"/>
                <w:szCs w:val="20"/>
              </w:rPr>
            </w:pPr>
            <w:r>
              <w:rPr>
                <w:rFonts w:hint="eastAsia" w:cs="Times New Roman"/>
                <w:kern w:val="0"/>
                <w:szCs w:val="20"/>
              </w:rPr>
              <w:t>有</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854" w:type="dxa"/>
            <w:noWrap/>
            <w:vAlign w:val="center"/>
          </w:tcPr>
          <w:p>
            <w:pPr>
              <w:pStyle w:val="38"/>
              <w:widowControl w:val="0"/>
              <w:rPr>
                <w:rFonts w:cs="Times New Roman"/>
                <w:kern w:val="0"/>
                <w:szCs w:val="20"/>
              </w:rPr>
            </w:pPr>
            <w:r>
              <w:rPr>
                <w:rFonts w:hint="eastAsia" w:cs="Times New Roman"/>
                <w:kern w:val="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dxa"/>
            <w:noWrap/>
            <w:vAlign w:val="center"/>
          </w:tcPr>
          <w:p>
            <w:pPr>
              <w:pStyle w:val="38"/>
              <w:widowControl w:val="0"/>
              <w:rPr>
                <w:rFonts w:cs="Times New Roman"/>
                <w:kern w:val="0"/>
                <w:szCs w:val="20"/>
              </w:rPr>
            </w:pPr>
            <w:r>
              <w:rPr>
                <w:rFonts w:hint="eastAsia" w:cs="Times New Roman"/>
                <w:kern w:val="0"/>
                <w:szCs w:val="20"/>
              </w:rPr>
              <w:t>3</w:t>
            </w:r>
          </w:p>
        </w:tc>
        <w:tc>
          <w:tcPr>
            <w:tcW w:w="2552" w:type="dxa"/>
            <w:noWrap/>
            <w:vAlign w:val="center"/>
          </w:tcPr>
          <w:p>
            <w:pPr>
              <w:pStyle w:val="38"/>
              <w:widowControl w:val="0"/>
              <w:rPr>
                <w:rFonts w:cs="Times New Roman"/>
                <w:kern w:val="0"/>
                <w:szCs w:val="20"/>
              </w:rPr>
            </w:pPr>
            <w:r>
              <w:rPr>
                <w:rFonts w:hint="eastAsia" w:cs="Times New Roman"/>
                <w:kern w:val="0"/>
                <w:szCs w:val="20"/>
              </w:rPr>
              <w:t>临海市岙坑建材厂</w:t>
            </w:r>
          </w:p>
        </w:tc>
        <w:tc>
          <w:tcPr>
            <w:tcW w:w="1701" w:type="dxa"/>
            <w:noWrap/>
            <w:vAlign w:val="center"/>
          </w:tcPr>
          <w:p>
            <w:pPr>
              <w:pStyle w:val="38"/>
              <w:widowControl w:val="0"/>
              <w:rPr>
                <w:rFonts w:cs="Times New Roman"/>
                <w:kern w:val="0"/>
                <w:szCs w:val="20"/>
              </w:rPr>
            </w:pPr>
            <w:r>
              <w:rPr>
                <w:rFonts w:hint="eastAsia" w:cs="Times New Roman"/>
                <w:kern w:val="0"/>
                <w:szCs w:val="20"/>
              </w:rPr>
              <w:t>小芝镇岙坑村</w:t>
            </w:r>
          </w:p>
        </w:tc>
        <w:tc>
          <w:tcPr>
            <w:tcW w:w="1276" w:type="dxa"/>
            <w:noWrap/>
            <w:vAlign w:val="center"/>
          </w:tcPr>
          <w:p>
            <w:pPr>
              <w:pStyle w:val="38"/>
              <w:widowControl w:val="0"/>
              <w:rPr>
                <w:rFonts w:cs="Times New Roman"/>
                <w:kern w:val="0"/>
                <w:szCs w:val="20"/>
              </w:rPr>
            </w:pPr>
            <w:r>
              <w:rPr>
                <w:rFonts w:hint="eastAsia" w:cs="Times New Roman"/>
                <w:kern w:val="0"/>
                <w:szCs w:val="20"/>
              </w:rPr>
              <w:t>150000</w:t>
            </w: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hint="eastAsia" w:cs="Times New Roman"/>
                <w:kern w:val="0"/>
                <w:szCs w:val="20"/>
              </w:rPr>
              <w:t>50亩</w:t>
            </w:r>
          </w:p>
        </w:tc>
        <w:tc>
          <w:tcPr>
            <w:tcW w:w="1276" w:type="dxa"/>
            <w:noWrap/>
            <w:vAlign w:val="center"/>
          </w:tcPr>
          <w:p>
            <w:pPr>
              <w:pStyle w:val="38"/>
              <w:widowControl w:val="0"/>
              <w:rPr>
                <w:rFonts w:cs="Times New Roman"/>
                <w:kern w:val="0"/>
                <w:szCs w:val="20"/>
              </w:rPr>
            </w:pPr>
            <w:r>
              <w:rPr>
                <w:rFonts w:hint="eastAsia" w:cs="Times New Roman"/>
                <w:kern w:val="0"/>
                <w:szCs w:val="20"/>
              </w:rPr>
              <w:t>成品砖</w:t>
            </w:r>
          </w:p>
        </w:tc>
        <w:tc>
          <w:tcPr>
            <w:tcW w:w="1984" w:type="dxa"/>
            <w:noWrap/>
            <w:vAlign w:val="center"/>
          </w:tcPr>
          <w:p>
            <w:pPr>
              <w:pStyle w:val="38"/>
              <w:widowControl w:val="0"/>
              <w:rPr>
                <w:rFonts w:cs="Times New Roman"/>
                <w:kern w:val="0"/>
                <w:szCs w:val="20"/>
              </w:rPr>
            </w:pPr>
            <w:r>
              <w:rPr>
                <w:rFonts w:hint="eastAsia" w:cs="Times New Roman"/>
                <w:kern w:val="0"/>
                <w:szCs w:val="20"/>
              </w:rPr>
              <w:t>渣土</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854" w:type="dxa"/>
            <w:noWrap/>
            <w:vAlign w:val="center"/>
          </w:tcPr>
          <w:p>
            <w:pPr>
              <w:pStyle w:val="38"/>
              <w:widowControl w:val="0"/>
              <w:rPr>
                <w:rFonts w:cs="Times New Roman"/>
                <w:kern w:val="0"/>
                <w:szCs w:val="20"/>
              </w:rPr>
            </w:pPr>
            <w:r>
              <w:rPr>
                <w:rFonts w:hint="eastAsia" w:cs="Times New Roman"/>
                <w:kern w:val="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dxa"/>
            <w:noWrap/>
            <w:vAlign w:val="center"/>
          </w:tcPr>
          <w:p>
            <w:pPr>
              <w:pStyle w:val="38"/>
              <w:widowControl w:val="0"/>
              <w:rPr>
                <w:rFonts w:cs="Times New Roman"/>
                <w:kern w:val="0"/>
                <w:szCs w:val="20"/>
              </w:rPr>
            </w:pPr>
            <w:r>
              <w:rPr>
                <w:rFonts w:hint="eastAsia" w:cs="Times New Roman"/>
                <w:kern w:val="0"/>
                <w:szCs w:val="20"/>
              </w:rPr>
              <w:t>4</w:t>
            </w:r>
          </w:p>
        </w:tc>
        <w:tc>
          <w:tcPr>
            <w:tcW w:w="2552" w:type="dxa"/>
            <w:noWrap/>
            <w:vAlign w:val="center"/>
          </w:tcPr>
          <w:p>
            <w:pPr>
              <w:pStyle w:val="38"/>
              <w:widowControl w:val="0"/>
              <w:rPr>
                <w:rFonts w:cs="Times New Roman"/>
                <w:kern w:val="0"/>
                <w:szCs w:val="20"/>
              </w:rPr>
            </w:pPr>
            <w:r>
              <w:rPr>
                <w:rFonts w:hint="eastAsia" w:cs="Times New Roman"/>
                <w:kern w:val="0"/>
                <w:szCs w:val="20"/>
              </w:rPr>
              <w:t>临海市邵家渡前湾轮窑厂</w:t>
            </w:r>
          </w:p>
        </w:tc>
        <w:tc>
          <w:tcPr>
            <w:tcW w:w="1701" w:type="dxa"/>
            <w:noWrap/>
            <w:vAlign w:val="center"/>
          </w:tcPr>
          <w:p>
            <w:pPr>
              <w:pStyle w:val="38"/>
              <w:widowControl w:val="0"/>
              <w:rPr>
                <w:rFonts w:cs="Times New Roman"/>
                <w:kern w:val="0"/>
                <w:szCs w:val="20"/>
              </w:rPr>
            </w:pPr>
            <w:r>
              <w:rPr>
                <w:rFonts w:hint="eastAsia" w:cs="Times New Roman"/>
                <w:kern w:val="0"/>
                <w:szCs w:val="20"/>
              </w:rPr>
              <w:t>邵家渡街道前湾村</w:t>
            </w:r>
          </w:p>
        </w:tc>
        <w:tc>
          <w:tcPr>
            <w:tcW w:w="1276" w:type="dxa"/>
            <w:noWrap/>
            <w:vAlign w:val="center"/>
          </w:tcPr>
          <w:p>
            <w:pPr>
              <w:pStyle w:val="38"/>
              <w:widowControl w:val="0"/>
              <w:rPr>
                <w:rFonts w:cs="Times New Roman"/>
                <w:kern w:val="0"/>
                <w:szCs w:val="20"/>
              </w:rPr>
            </w:pPr>
            <w:r>
              <w:rPr>
                <w:rFonts w:hint="eastAsia" w:cs="Times New Roman"/>
                <w:kern w:val="0"/>
                <w:szCs w:val="20"/>
              </w:rPr>
              <w:t>150000</w:t>
            </w: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hint="eastAsia" w:cs="Times New Roman"/>
                <w:kern w:val="0"/>
                <w:szCs w:val="20"/>
              </w:rPr>
              <w:t>55亩</w:t>
            </w:r>
          </w:p>
        </w:tc>
        <w:tc>
          <w:tcPr>
            <w:tcW w:w="1276" w:type="dxa"/>
            <w:noWrap/>
            <w:vAlign w:val="center"/>
          </w:tcPr>
          <w:p>
            <w:pPr>
              <w:pStyle w:val="38"/>
              <w:widowControl w:val="0"/>
              <w:rPr>
                <w:rFonts w:cs="Times New Roman"/>
                <w:kern w:val="0"/>
                <w:szCs w:val="20"/>
              </w:rPr>
            </w:pPr>
            <w:r>
              <w:rPr>
                <w:rFonts w:hint="eastAsia" w:cs="Times New Roman"/>
                <w:kern w:val="0"/>
                <w:szCs w:val="20"/>
              </w:rPr>
              <w:t>成品砖</w:t>
            </w:r>
          </w:p>
        </w:tc>
        <w:tc>
          <w:tcPr>
            <w:tcW w:w="1984" w:type="dxa"/>
            <w:noWrap/>
            <w:vAlign w:val="center"/>
          </w:tcPr>
          <w:p>
            <w:pPr>
              <w:pStyle w:val="38"/>
              <w:widowControl w:val="0"/>
              <w:rPr>
                <w:rFonts w:cs="Times New Roman"/>
                <w:kern w:val="0"/>
                <w:szCs w:val="20"/>
              </w:rPr>
            </w:pPr>
            <w:r>
              <w:rPr>
                <w:rFonts w:hint="eastAsia" w:cs="Times New Roman"/>
                <w:kern w:val="0"/>
                <w:szCs w:val="20"/>
              </w:rPr>
              <w:t>渣土</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854" w:type="dxa"/>
            <w:noWrap/>
            <w:vAlign w:val="center"/>
          </w:tcPr>
          <w:p>
            <w:pPr>
              <w:pStyle w:val="38"/>
              <w:widowControl w:val="0"/>
              <w:rPr>
                <w:rFonts w:cs="Times New Roman"/>
                <w:kern w:val="0"/>
                <w:szCs w:val="20"/>
              </w:rPr>
            </w:pPr>
            <w:r>
              <w:rPr>
                <w:rFonts w:hint="eastAsia" w:cs="Times New Roman"/>
                <w:kern w:val="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dxa"/>
            <w:noWrap/>
            <w:vAlign w:val="center"/>
          </w:tcPr>
          <w:p>
            <w:pPr>
              <w:pStyle w:val="38"/>
              <w:widowControl w:val="0"/>
              <w:rPr>
                <w:rFonts w:cs="Times New Roman"/>
                <w:kern w:val="0"/>
                <w:szCs w:val="20"/>
              </w:rPr>
            </w:pPr>
            <w:r>
              <w:rPr>
                <w:rFonts w:hint="eastAsia" w:cs="Times New Roman"/>
                <w:kern w:val="0"/>
                <w:szCs w:val="20"/>
              </w:rPr>
              <w:t>5</w:t>
            </w:r>
          </w:p>
        </w:tc>
        <w:tc>
          <w:tcPr>
            <w:tcW w:w="2552" w:type="dxa"/>
            <w:noWrap/>
            <w:vAlign w:val="center"/>
          </w:tcPr>
          <w:p>
            <w:pPr>
              <w:pStyle w:val="38"/>
              <w:widowControl w:val="0"/>
              <w:rPr>
                <w:rFonts w:cs="Times New Roman"/>
                <w:kern w:val="0"/>
                <w:szCs w:val="20"/>
              </w:rPr>
            </w:pPr>
            <w:r>
              <w:rPr>
                <w:rFonts w:hint="eastAsia" w:cs="Times New Roman"/>
                <w:kern w:val="0"/>
                <w:szCs w:val="20"/>
              </w:rPr>
              <w:t>临海市福冠建材有限公司</w:t>
            </w:r>
          </w:p>
        </w:tc>
        <w:tc>
          <w:tcPr>
            <w:tcW w:w="1701" w:type="dxa"/>
            <w:noWrap/>
            <w:vAlign w:val="center"/>
          </w:tcPr>
          <w:p>
            <w:pPr>
              <w:pStyle w:val="38"/>
              <w:widowControl w:val="0"/>
              <w:rPr>
                <w:rFonts w:cs="Times New Roman"/>
                <w:kern w:val="0"/>
                <w:szCs w:val="20"/>
              </w:rPr>
            </w:pPr>
            <w:r>
              <w:rPr>
                <w:rFonts w:hint="eastAsia" w:cs="Times New Roman"/>
                <w:kern w:val="0"/>
                <w:szCs w:val="20"/>
              </w:rPr>
              <w:t>永丰镇蚕种场1—58号</w:t>
            </w:r>
          </w:p>
        </w:tc>
        <w:tc>
          <w:tcPr>
            <w:tcW w:w="1276" w:type="dxa"/>
            <w:noWrap/>
            <w:vAlign w:val="center"/>
          </w:tcPr>
          <w:p>
            <w:pPr>
              <w:pStyle w:val="38"/>
              <w:widowControl w:val="0"/>
              <w:rPr>
                <w:rFonts w:cs="Times New Roman"/>
                <w:kern w:val="0"/>
                <w:szCs w:val="20"/>
              </w:rPr>
            </w:pPr>
            <w:r>
              <w:rPr>
                <w:rFonts w:hint="eastAsia" w:cs="Times New Roman"/>
                <w:kern w:val="0"/>
                <w:szCs w:val="20"/>
              </w:rPr>
              <w:t>130000</w:t>
            </w: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hint="eastAsia" w:cs="Times New Roman"/>
                <w:kern w:val="0"/>
                <w:szCs w:val="20"/>
              </w:rPr>
              <w:t>55亩</w:t>
            </w:r>
          </w:p>
        </w:tc>
        <w:tc>
          <w:tcPr>
            <w:tcW w:w="1276" w:type="dxa"/>
            <w:noWrap/>
            <w:vAlign w:val="center"/>
          </w:tcPr>
          <w:p>
            <w:pPr>
              <w:pStyle w:val="38"/>
              <w:widowControl w:val="0"/>
              <w:rPr>
                <w:rFonts w:cs="Times New Roman"/>
                <w:kern w:val="0"/>
                <w:szCs w:val="20"/>
              </w:rPr>
            </w:pPr>
            <w:r>
              <w:rPr>
                <w:rFonts w:hint="eastAsia" w:cs="Times New Roman"/>
                <w:kern w:val="0"/>
                <w:szCs w:val="20"/>
              </w:rPr>
              <w:t>成品砖</w:t>
            </w:r>
          </w:p>
        </w:tc>
        <w:tc>
          <w:tcPr>
            <w:tcW w:w="1984" w:type="dxa"/>
            <w:noWrap/>
            <w:vAlign w:val="center"/>
          </w:tcPr>
          <w:p>
            <w:pPr>
              <w:pStyle w:val="38"/>
              <w:widowControl w:val="0"/>
              <w:rPr>
                <w:rFonts w:cs="Times New Roman"/>
                <w:kern w:val="0"/>
                <w:szCs w:val="20"/>
              </w:rPr>
            </w:pPr>
            <w:r>
              <w:rPr>
                <w:rFonts w:hint="eastAsia" w:cs="Times New Roman"/>
                <w:kern w:val="0"/>
                <w:szCs w:val="20"/>
              </w:rPr>
              <w:t>渣土</w:t>
            </w:r>
          </w:p>
        </w:tc>
        <w:tc>
          <w:tcPr>
            <w:tcW w:w="709" w:type="dxa"/>
            <w:noWrap/>
            <w:vAlign w:val="center"/>
          </w:tcPr>
          <w:p>
            <w:pPr>
              <w:pStyle w:val="38"/>
              <w:widowControl w:val="0"/>
              <w:rPr>
                <w:rFonts w:cs="Times New Roman"/>
                <w:kern w:val="0"/>
                <w:szCs w:val="20"/>
              </w:rPr>
            </w:pPr>
            <w:r>
              <w:rPr>
                <w:rFonts w:hint="eastAsia" w:cs="Times New Roman"/>
                <w:kern w:val="0"/>
                <w:szCs w:val="20"/>
              </w:rPr>
              <w:t>有</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854" w:type="dxa"/>
            <w:noWrap/>
            <w:vAlign w:val="center"/>
          </w:tcPr>
          <w:p>
            <w:pPr>
              <w:pStyle w:val="38"/>
              <w:widowControl w:val="0"/>
              <w:rPr>
                <w:rFonts w:cs="Times New Roman"/>
                <w:kern w:val="0"/>
                <w:szCs w:val="20"/>
              </w:rPr>
            </w:pPr>
            <w:r>
              <w:rPr>
                <w:rFonts w:hint="eastAsia" w:cs="Times New Roman"/>
                <w:kern w:val="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dxa"/>
            <w:noWrap/>
            <w:vAlign w:val="center"/>
          </w:tcPr>
          <w:p>
            <w:pPr>
              <w:pStyle w:val="38"/>
              <w:widowControl w:val="0"/>
              <w:rPr>
                <w:rFonts w:cs="Times New Roman"/>
                <w:kern w:val="0"/>
                <w:szCs w:val="20"/>
              </w:rPr>
            </w:pPr>
            <w:r>
              <w:rPr>
                <w:rFonts w:hint="eastAsia" w:cs="Times New Roman"/>
                <w:kern w:val="0"/>
                <w:szCs w:val="20"/>
              </w:rPr>
              <w:t>6</w:t>
            </w:r>
          </w:p>
        </w:tc>
        <w:tc>
          <w:tcPr>
            <w:tcW w:w="2552" w:type="dxa"/>
            <w:noWrap/>
            <w:vAlign w:val="center"/>
          </w:tcPr>
          <w:p>
            <w:pPr>
              <w:pStyle w:val="38"/>
              <w:widowControl w:val="0"/>
              <w:rPr>
                <w:rFonts w:cs="Times New Roman"/>
                <w:kern w:val="0"/>
                <w:szCs w:val="20"/>
              </w:rPr>
            </w:pPr>
            <w:r>
              <w:rPr>
                <w:rFonts w:hint="eastAsia" w:cs="Times New Roman"/>
                <w:kern w:val="0"/>
                <w:szCs w:val="20"/>
              </w:rPr>
              <w:t>临海市红发建筑材料厂</w:t>
            </w:r>
          </w:p>
        </w:tc>
        <w:tc>
          <w:tcPr>
            <w:tcW w:w="1701" w:type="dxa"/>
            <w:noWrap/>
            <w:vAlign w:val="center"/>
          </w:tcPr>
          <w:p>
            <w:pPr>
              <w:pStyle w:val="38"/>
              <w:widowControl w:val="0"/>
              <w:rPr>
                <w:rFonts w:cs="Times New Roman"/>
                <w:kern w:val="0"/>
                <w:szCs w:val="20"/>
              </w:rPr>
            </w:pPr>
            <w:r>
              <w:rPr>
                <w:rFonts w:hint="eastAsia" w:cs="Times New Roman"/>
                <w:kern w:val="0"/>
                <w:szCs w:val="20"/>
              </w:rPr>
              <w:t>白水洋镇上施村</w:t>
            </w:r>
          </w:p>
        </w:tc>
        <w:tc>
          <w:tcPr>
            <w:tcW w:w="1276" w:type="dxa"/>
            <w:noWrap/>
            <w:vAlign w:val="center"/>
          </w:tcPr>
          <w:p>
            <w:pPr>
              <w:pStyle w:val="38"/>
              <w:widowControl w:val="0"/>
              <w:rPr>
                <w:rFonts w:cs="Times New Roman"/>
                <w:kern w:val="0"/>
                <w:szCs w:val="20"/>
              </w:rPr>
            </w:pPr>
            <w:r>
              <w:rPr>
                <w:rFonts w:hint="eastAsia" w:cs="Times New Roman"/>
                <w:kern w:val="0"/>
                <w:szCs w:val="20"/>
              </w:rPr>
              <w:t>60000</w:t>
            </w: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hint="eastAsia" w:cs="Times New Roman"/>
                <w:kern w:val="0"/>
                <w:szCs w:val="20"/>
              </w:rPr>
              <w:t>50亩</w:t>
            </w:r>
          </w:p>
        </w:tc>
        <w:tc>
          <w:tcPr>
            <w:tcW w:w="1276" w:type="dxa"/>
            <w:noWrap/>
            <w:vAlign w:val="center"/>
          </w:tcPr>
          <w:p>
            <w:pPr>
              <w:pStyle w:val="38"/>
              <w:widowControl w:val="0"/>
              <w:rPr>
                <w:rFonts w:cs="Times New Roman"/>
                <w:kern w:val="0"/>
                <w:szCs w:val="20"/>
              </w:rPr>
            </w:pPr>
            <w:r>
              <w:rPr>
                <w:rFonts w:hint="eastAsia" w:cs="Times New Roman"/>
                <w:kern w:val="0"/>
                <w:szCs w:val="20"/>
              </w:rPr>
              <w:t>成品砖</w:t>
            </w:r>
          </w:p>
        </w:tc>
        <w:tc>
          <w:tcPr>
            <w:tcW w:w="1984" w:type="dxa"/>
            <w:noWrap/>
            <w:vAlign w:val="center"/>
          </w:tcPr>
          <w:p>
            <w:pPr>
              <w:pStyle w:val="38"/>
              <w:widowControl w:val="0"/>
              <w:rPr>
                <w:rFonts w:cs="Times New Roman"/>
                <w:kern w:val="0"/>
                <w:szCs w:val="20"/>
              </w:rPr>
            </w:pPr>
            <w:r>
              <w:rPr>
                <w:rFonts w:hint="eastAsia" w:cs="Times New Roman"/>
                <w:kern w:val="0"/>
                <w:szCs w:val="20"/>
              </w:rPr>
              <w:t>渣土</w:t>
            </w:r>
          </w:p>
        </w:tc>
        <w:tc>
          <w:tcPr>
            <w:tcW w:w="709" w:type="dxa"/>
            <w:noWrap/>
            <w:vAlign w:val="center"/>
          </w:tcPr>
          <w:p>
            <w:pPr>
              <w:pStyle w:val="38"/>
              <w:widowControl w:val="0"/>
              <w:rPr>
                <w:rFonts w:cs="Times New Roman"/>
                <w:kern w:val="0"/>
                <w:szCs w:val="20"/>
              </w:rPr>
            </w:pPr>
            <w:r>
              <w:rPr>
                <w:rFonts w:hint="eastAsia" w:cs="Times New Roman"/>
                <w:kern w:val="0"/>
                <w:szCs w:val="20"/>
              </w:rPr>
              <w:t>有</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854" w:type="dxa"/>
            <w:noWrap/>
            <w:vAlign w:val="center"/>
          </w:tcPr>
          <w:p>
            <w:pPr>
              <w:pStyle w:val="38"/>
              <w:widowControl w:val="0"/>
              <w:rPr>
                <w:rFonts w:cs="Times New Roman"/>
                <w:kern w:val="0"/>
                <w:szCs w:val="20"/>
              </w:rPr>
            </w:pPr>
            <w:r>
              <w:rPr>
                <w:rFonts w:hint="eastAsia" w:cs="Times New Roman"/>
                <w:kern w:val="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dxa"/>
            <w:noWrap/>
            <w:vAlign w:val="center"/>
          </w:tcPr>
          <w:p>
            <w:pPr>
              <w:pStyle w:val="38"/>
              <w:widowControl w:val="0"/>
              <w:rPr>
                <w:rFonts w:cs="Times New Roman"/>
                <w:kern w:val="0"/>
                <w:szCs w:val="20"/>
              </w:rPr>
            </w:pPr>
            <w:r>
              <w:rPr>
                <w:rFonts w:hint="eastAsia" w:cs="Times New Roman"/>
                <w:kern w:val="0"/>
                <w:szCs w:val="20"/>
              </w:rPr>
              <w:t>7</w:t>
            </w:r>
          </w:p>
        </w:tc>
        <w:tc>
          <w:tcPr>
            <w:tcW w:w="2552" w:type="dxa"/>
            <w:noWrap/>
            <w:vAlign w:val="center"/>
          </w:tcPr>
          <w:p>
            <w:pPr>
              <w:pStyle w:val="38"/>
              <w:widowControl w:val="0"/>
              <w:rPr>
                <w:rFonts w:cs="Times New Roman"/>
                <w:kern w:val="0"/>
                <w:szCs w:val="20"/>
              </w:rPr>
            </w:pPr>
            <w:r>
              <w:rPr>
                <w:rFonts w:hint="eastAsia" w:cs="Times New Roman"/>
                <w:kern w:val="0"/>
                <w:szCs w:val="20"/>
              </w:rPr>
              <w:t>临海市宇源页岩建材厂</w:t>
            </w:r>
          </w:p>
        </w:tc>
        <w:tc>
          <w:tcPr>
            <w:tcW w:w="1701" w:type="dxa"/>
            <w:noWrap/>
            <w:vAlign w:val="center"/>
          </w:tcPr>
          <w:p>
            <w:pPr>
              <w:pStyle w:val="38"/>
              <w:widowControl w:val="0"/>
              <w:rPr>
                <w:rFonts w:cs="Times New Roman"/>
                <w:kern w:val="0"/>
                <w:szCs w:val="20"/>
              </w:rPr>
            </w:pPr>
            <w:r>
              <w:rPr>
                <w:rFonts w:hint="eastAsia" w:cs="Times New Roman"/>
                <w:kern w:val="0"/>
                <w:szCs w:val="20"/>
              </w:rPr>
              <w:t>括苍镇山头何村</w:t>
            </w:r>
          </w:p>
        </w:tc>
        <w:tc>
          <w:tcPr>
            <w:tcW w:w="1276" w:type="dxa"/>
            <w:noWrap/>
            <w:vAlign w:val="center"/>
          </w:tcPr>
          <w:p>
            <w:pPr>
              <w:pStyle w:val="38"/>
              <w:widowControl w:val="0"/>
              <w:rPr>
                <w:rFonts w:cs="Times New Roman"/>
                <w:kern w:val="0"/>
                <w:szCs w:val="20"/>
              </w:rPr>
            </w:pPr>
            <w:r>
              <w:rPr>
                <w:rFonts w:hint="eastAsia" w:cs="Times New Roman"/>
                <w:kern w:val="0"/>
                <w:szCs w:val="20"/>
              </w:rPr>
              <w:t>120000</w:t>
            </w: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hint="eastAsia" w:cs="Times New Roman"/>
                <w:kern w:val="0"/>
                <w:szCs w:val="20"/>
              </w:rPr>
              <w:t>60亩</w:t>
            </w:r>
          </w:p>
        </w:tc>
        <w:tc>
          <w:tcPr>
            <w:tcW w:w="1276" w:type="dxa"/>
            <w:noWrap/>
            <w:vAlign w:val="center"/>
          </w:tcPr>
          <w:p>
            <w:pPr>
              <w:pStyle w:val="38"/>
              <w:widowControl w:val="0"/>
              <w:rPr>
                <w:rFonts w:cs="Times New Roman"/>
                <w:kern w:val="0"/>
                <w:szCs w:val="20"/>
              </w:rPr>
            </w:pPr>
            <w:r>
              <w:rPr>
                <w:rFonts w:hint="eastAsia" w:cs="Times New Roman"/>
                <w:kern w:val="0"/>
                <w:szCs w:val="20"/>
              </w:rPr>
              <w:t>成品砖</w:t>
            </w:r>
          </w:p>
        </w:tc>
        <w:tc>
          <w:tcPr>
            <w:tcW w:w="1984" w:type="dxa"/>
            <w:noWrap/>
            <w:vAlign w:val="center"/>
          </w:tcPr>
          <w:p>
            <w:pPr>
              <w:pStyle w:val="38"/>
              <w:widowControl w:val="0"/>
              <w:rPr>
                <w:rFonts w:cs="Times New Roman"/>
                <w:kern w:val="0"/>
                <w:szCs w:val="20"/>
              </w:rPr>
            </w:pPr>
            <w:r>
              <w:rPr>
                <w:rFonts w:hint="eastAsia" w:cs="Times New Roman"/>
                <w:kern w:val="0"/>
                <w:szCs w:val="20"/>
              </w:rPr>
              <w:t>渣土</w:t>
            </w:r>
          </w:p>
        </w:tc>
        <w:tc>
          <w:tcPr>
            <w:tcW w:w="709" w:type="dxa"/>
            <w:noWrap/>
            <w:vAlign w:val="center"/>
          </w:tcPr>
          <w:p>
            <w:pPr>
              <w:pStyle w:val="38"/>
              <w:widowControl w:val="0"/>
              <w:rPr>
                <w:rFonts w:cs="Times New Roman"/>
                <w:kern w:val="0"/>
                <w:szCs w:val="20"/>
              </w:rPr>
            </w:pPr>
            <w:r>
              <w:rPr>
                <w:rFonts w:hint="eastAsia" w:cs="Times New Roman"/>
                <w:kern w:val="0"/>
                <w:szCs w:val="20"/>
              </w:rPr>
              <w:t>有</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854" w:type="dxa"/>
            <w:noWrap/>
            <w:vAlign w:val="center"/>
          </w:tcPr>
          <w:p>
            <w:pPr>
              <w:pStyle w:val="38"/>
              <w:widowControl w:val="0"/>
              <w:rPr>
                <w:rFonts w:cs="Times New Roman"/>
                <w:kern w:val="0"/>
                <w:szCs w:val="20"/>
              </w:rPr>
            </w:pPr>
            <w:r>
              <w:rPr>
                <w:rFonts w:hint="eastAsia" w:cs="Times New Roman"/>
                <w:kern w:val="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dxa"/>
            <w:noWrap/>
            <w:vAlign w:val="center"/>
          </w:tcPr>
          <w:p>
            <w:pPr>
              <w:pStyle w:val="38"/>
              <w:widowControl w:val="0"/>
              <w:rPr>
                <w:rFonts w:cs="Times New Roman"/>
                <w:kern w:val="0"/>
                <w:szCs w:val="20"/>
              </w:rPr>
            </w:pPr>
            <w:r>
              <w:rPr>
                <w:rFonts w:hint="eastAsia" w:cs="Times New Roman"/>
                <w:kern w:val="0"/>
                <w:szCs w:val="20"/>
              </w:rPr>
              <w:t>8</w:t>
            </w:r>
          </w:p>
        </w:tc>
        <w:tc>
          <w:tcPr>
            <w:tcW w:w="2552" w:type="dxa"/>
            <w:noWrap/>
            <w:vAlign w:val="center"/>
          </w:tcPr>
          <w:p>
            <w:pPr>
              <w:pStyle w:val="38"/>
              <w:widowControl w:val="0"/>
              <w:rPr>
                <w:rFonts w:cs="Times New Roman"/>
                <w:kern w:val="0"/>
                <w:szCs w:val="20"/>
              </w:rPr>
            </w:pPr>
            <w:r>
              <w:rPr>
                <w:rFonts w:hint="eastAsia" w:cs="Times New Roman"/>
                <w:kern w:val="0"/>
                <w:szCs w:val="20"/>
              </w:rPr>
              <w:t>临海市城投建筑垃圾消纳有限公司（头门港渣土消纳场）</w:t>
            </w:r>
          </w:p>
        </w:tc>
        <w:tc>
          <w:tcPr>
            <w:tcW w:w="1701" w:type="dxa"/>
            <w:noWrap/>
            <w:vAlign w:val="center"/>
          </w:tcPr>
          <w:p>
            <w:pPr>
              <w:pStyle w:val="38"/>
              <w:widowControl w:val="0"/>
              <w:rPr>
                <w:rFonts w:cs="Times New Roman"/>
                <w:kern w:val="0"/>
                <w:szCs w:val="20"/>
              </w:rPr>
            </w:pPr>
            <w:r>
              <w:rPr>
                <w:rFonts w:hint="eastAsia" w:cs="Times New Roman"/>
                <w:kern w:val="0"/>
                <w:szCs w:val="20"/>
              </w:rPr>
              <w:t>临海市头门港区南洋十路</w:t>
            </w:r>
          </w:p>
        </w:tc>
        <w:tc>
          <w:tcPr>
            <w:tcW w:w="1276" w:type="dxa"/>
            <w:noWrap/>
            <w:vAlign w:val="center"/>
          </w:tcPr>
          <w:p>
            <w:pPr>
              <w:pStyle w:val="38"/>
              <w:widowControl w:val="0"/>
              <w:rPr>
                <w:rFonts w:cs="Times New Roman"/>
                <w:kern w:val="0"/>
                <w:szCs w:val="20"/>
              </w:rPr>
            </w:pP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hint="eastAsia" w:cs="Times New Roman"/>
                <w:kern w:val="0"/>
                <w:szCs w:val="20"/>
              </w:rPr>
              <w:t>1000亩</w:t>
            </w:r>
          </w:p>
        </w:tc>
        <w:tc>
          <w:tcPr>
            <w:tcW w:w="1276" w:type="dxa"/>
            <w:noWrap/>
            <w:vAlign w:val="center"/>
          </w:tcPr>
          <w:p>
            <w:pPr>
              <w:pStyle w:val="38"/>
              <w:widowControl w:val="0"/>
              <w:rPr>
                <w:rFonts w:cs="Times New Roman"/>
                <w:kern w:val="0"/>
                <w:szCs w:val="20"/>
              </w:rPr>
            </w:pPr>
            <w:r>
              <w:rPr>
                <w:rFonts w:hint="eastAsia" w:cs="Times New Roman"/>
                <w:kern w:val="0"/>
                <w:szCs w:val="20"/>
              </w:rPr>
              <w:t>无</w:t>
            </w:r>
          </w:p>
        </w:tc>
        <w:tc>
          <w:tcPr>
            <w:tcW w:w="1984" w:type="dxa"/>
            <w:noWrap/>
            <w:vAlign w:val="center"/>
          </w:tcPr>
          <w:p>
            <w:pPr>
              <w:pStyle w:val="38"/>
              <w:widowControl w:val="0"/>
              <w:rPr>
                <w:rFonts w:cs="Times New Roman"/>
                <w:kern w:val="0"/>
                <w:szCs w:val="20"/>
              </w:rPr>
            </w:pPr>
            <w:r>
              <w:rPr>
                <w:rFonts w:hint="eastAsia" w:cs="Times New Roman"/>
                <w:kern w:val="0"/>
                <w:szCs w:val="20"/>
              </w:rPr>
              <w:t>渣土</w:t>
            </w:r>
          </w:p>
        </w:tc>
        <w:tc>
          <w:tcPr>
            <w:tcW w:w="709" w:type="dxa"/>
            <w:noWrap/>
            <w:vAlign w:val="center"/>
          </w:tcPr>
          <w:p>
            <w:pPr>
              <w:pStyle w:val="38"/>
              <w:widowControl w:val="0"/>
              <w:rPr>
                <w:rFonts w:cs="Times New Roman"/>
                <w:kern w:val="0"/>
                <w:szCs w:val="20"/>
              </w:rPr>
            </w:pPr>
            <w:r>
              <w:rPr>
                <w:rFonts w:hint="eastAsia" w:cs="Times New Roman"/>
                <w:kern w:val="0"/>
                <w:szCs w:val="20"/>
              </w:rPr>
              <w:t>有</w:t>
            </w:r>
          </w:p>
        </w:tc>
        <w:tc>
          <w:tcPr>
            <w:tcW w:w="709" w:type="dxa"/>
            <w:noWrap/>
            <w:vAlign w:val="center"/>
          </w:tcPr>
          <w:p>
            <w:pPr>
              <w:pStyle w:val="38"/>
              <w:widowControl w:val="0"/>
              <w:rPr>
                <w:rFonts w:cs="Times New Roman"/>
                <w:kern w:val="0"/>
                <w:szCs w:val="20"/>
              </w:rPr>
            </w:pPr>
            <w:r>
              <w:rPr>
                <w:rFonts w:hint="eastAsia" w:cs="Times New Roman"/>
                <w:kern w:val="0"/>
                <w:szCs w:val="20"/>
              </w:rPr>
              <w:t>无</w:t>
            </w:r>
          </w:p>
        </w:tc>
        <w:tc>
          <w:tcPr>
            <w:tcW w:w="854" w:type="dxa"/>
            <w:noWrap/>
            <w:vAlign w:val="center"/>
          </w:tcPr>
          <w:p>
            <w:pPr>
              <w:pStyle w:val="38"/>
              <w:widowControl w:val="0"/>
              <w:rPr>
                <w:rFonts w:cs="Times New Roman"/>
                <w:kern w:val="0"/>
                <w:szCs w:val="20"/>
              </w:rPr>
            </w:pPr>
            <w:r>
              <w:rPr>
                <w:rFonts w:hint="eastAsia" w:cs="Times New Roman"/>
                <w:kern w:val="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dxa"/>
            <w:noWrap/>
            <w:vAlign w:val="center"/>
          </w:tcPr>
          <w:p>
            <w:pPr>
              <w:pStyle w:val="38"/>
              <w:widowControl w:val="0"/>
              <w:rPr>
                <w:rFonts w:cs="Times New Roman"/>
                <w:kern w:val="0"/>
                <w:szCs w:val="20"/>
              </w:rPr>
            </w:pPr>
            <w:r>
              <w:rPr>
                <w:rFonts w:hint="eastAsia" w:cs="Times New Roman"/>
                <w:kern w:val="0"/>
                <w:szCs w:val="20"/>
              </w:rPr>
              <w:t>9</w:t>
            </w:r>
          </w:p>
        </w:tc>
        <w:tc>
          <w:tcPr>
            <w:tcW w:w="2552" w:type="dxa"/>
            <w:noWrap/>
            <w:vAlign w:val="center"/>
          </w:tcPr>
          <w:p>
            <w:pPr>
              <w:pStyle w:val="38"/>
              <w:widowControl w:val="0"/>
              <w:rPr>
                <w:rFonts w:cs="Times New Roman"/>
                <w:kern w:val="0"/>
                <w:szCs w:val="20"/>
              </w:rPr>
            </w:pPr>
            <w:r>
              <w:rPr>
                <w:rFonts w:hint="eastAsia" w:cs="Times New Roman"/>
                <w:kern w:val="0"/>
                <w:szCs w:val="20"/>
              </w:rPr>
              <w:t>梅岙建筑垃圾分拣中心</w:t>
            </w:r>
          </w:p>
        </w:tc>
        <w:tc>
          <w:tcPr>
            <w:tcW w:w="1701" w:type="dxa"/>
            <w:noWrap/>
            <w:vAlign w:val="center"/>
          </w:tcPr>
          <w:p>
            <w:pPr>
              <w:pStyle w:val="38"/>
              <w:widowControl w:val="0"/>
              <w:rPr>
                <w:rFonts w:cs="Times New Roman"/>
                <w:kern w:val="0"/>
                <w:szCs w:val="20"/>
              </w:rPr>
            </w:pPr>
            <w:r>
              <w:rPr>
                <w:rFonts w:hint="eastAsia" w:cs="Times New Roman"/>
                <w:kern w:val="0"/>
                <w:szCs w:val="20"/>
              </w:rPr>
              <w:t>大洋街道梅岙村</w:t>
            </w:r>
          </w:p>
        </w:tc>
        <w:tc>
          <w:tcPr>
            <w:tcW w:w="1276" w:type="dxa"/>
            <w:noWrap/>
            <w:vAlign w:val="center"/>
          </w:tcPr>
          <w:p>
            <w:pPr>
              <w:pStyle w:val="38"/>
              <w:widowControl w:val="0"/>
              <w:rPr>
                <w:rFonts w:cs="Times New Roman"/>
                <w:kern w:val="0"/>
                <w:szCs w:val="20"/>
              </w:rPr>
            </w:pP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cs="Times New Roman"/>
                <w:kern w:val="0"/>
                <w:szCs w:val="20"/>
              </w:rPr>
              <w:t>20.7</w:t>
            </w:r>
            <w:r>
              <w:rPr>
                <w:rFonts w:hint="eastAsia" w:cs="Times New Roman"/>
                <w:kern w:val="0"/>
                <w:szCs w:val="20"/>
              </w:rPr>
              <w:t>亩</w:t>
            </w:r>
          </w:p>
        </w:tc>
        <w:tc>
          <w:tcPr>
            <w:tcW w:w="1276" w:type="dxa"/>
            <w:noWrap/>
            <w:vAlign w:val="center"/>
          </w:tcPr>
          <w:p>
            <w:pPr>
              <w:pStyle w:val="38"/>
              <w:widowControl w:val="0"/>
              <w:rPr>
                <w:rFonts w:cs="Times New Roman"/>
                <w:kern w:val="0"/>
                <w:szCs w:val="20"/>
              </w:rPr>
            </w:pPr>
          </w:p>
        </w:tc>
        <w:tc>
          <w:tcPr>
            <w:tcW w:w="1984" w:type="dxa"/>
            <w:noWrap/>
            <w:vAlign w:val="center"/>
          </w:tcPr>
          <w:p>
            <w:pPr>
              <w:pStyle w:val="38"/>
              <w:widowControl w:val="0"/>
              <w:rPr>
                <w:rFonts w:cs="Times New Roman"/>
                <w:kern w:val="0"/>
                <w:szCs w:val="20"/>
              </w:rPr>
            </w:pPr>
            <w:r>
              <w:rPr>
                <w:rFonts w:hint="eastAsia" w:cs="Times New Roman"/>
                <w:kern w:val="0"/>
                <w:szCs w:val="20"/>
              </w:rPr>
              <w:t>装修垃圾、工程垃圾、拆除垃圾</w:t>
            </w:r>
          </w:p>
        </w:tc>
        <w:tc>
          <w:tcPr>
            <w:tcW w:w="709" w:type="dxa"/>
            <w:noWrap/>
            <w:vAlign w:val="center"/>
          </w:tcPr>
          <w:p>
            <w:pPr>
              <w:pStyle w:val="38"/>
              <w:widowControl w:val="0"/>
              <w:rPr>
                <w:rFonts w:cs="Times New Roman"/>
                <w:kern w:val="0"/>
                <w:szCs w:val="20"/>
              </w:rPr>
            </w:pPr>
          </w:p>
        </w:tc>
        <w:tc>
          <w:tcPr>
            <w:tcW w:w="709" w:type="dxa"/>
            <w:noWrap/>
            <w:vAlign w:val="center"/>
          </w:tcPr>
          <w:p>
            <w:pPr>
              <w:pStyle w:val="38"/>
              <w:widowControl w:val="0"/>
              <w:rPr>
                <w:rFonts w:cs="Times New Roman"/>
                <w:kern w:val="0"/>
                <w:szCs w:val="20"/>
              </w:rPr>
            </w:pPr>
          </w:p>
        </w:tc>
        <w:tc>
          <w:tcPr>
            <w:tcW w:w="854" w:type="dxa"/>
            <w:noWrap/>
            <w:vAlign w:val="center"/>
          </w:tcPr>
          <w:p>
            <w:pPr>
              <w:pStyle w:val="38"/>
              <w:widowControl w:val="0"/>
              <w:rPr>
                <w:rFonts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dxa"/>
            <w:noWrap/>
            <w:vAlign w:val="center"/>
          </w:tcPr>
          <w:p>
            <w:pPr>
              <w:pStyle w:val="38"/>
              <w:widowControl w:val="0"/>
              <w:rPr>
                <w:rFonts w:cs="Times New Roman"/>
                <w:kern w:val="0"/>
                <w:szCs w:val="20"/>
              </w:rPr>
            </w:pPr>
            <w:r>
              <w:rPr>
                <w:rFonts w:hint="eastAsia" w:cs="Times New Roman"/>
                <w:kern w:val="0"/>
                <w:szCs w:val="20"/>
              </w:rPr>
              <w:t>10</w:t>
            </w:r>
          </w:p>
        </w:tc>
        <w:tc>
          <w:tcPr>
            <w:tcW w:w="2552" w:type="dxa"/>
            <w:noWrap/>
            <w:vAlign w:val="center"/>
          </w:tcPr>
          <w:p>
            <w:pPr>
              <w:pStyle w:val="38"/>
              <w:widowControl w:val="0"/>
              <w:rPr>
                <w:rFonts w:cs="Times New Roman"/>
                <w:kern w:val="0"/>
                <w:szCs w:val="20"/>
              </w:rPr>
            </w:pPr>
            <w:r>
              <w:rPr>
                <w:rFonts w:hint="eastAsia" w:cs="Times New Roman"/>
                <w:kern w:val="0"/>
                <w:szCs w:val="20"/>
              </w:rPr>
              <w:t>古楼装修大件垃圾分拣中心</w:t>
            </w:r>
          </w:p>
        </w:tc>
        <w:tc>
          <w:tcPr>
            <w:tcW w:w="1701" w:type="dxa"/>
            <w:noWrap/>
            <w:vAlign w:val="center"/>
          </w:tcPr>
          <w:p>
            <w:pPr>
              <w:pStyle w:val="38"/>
              <w:widowControl w:val="0"/>
              <w:rPr>
                <w:rFonts w:cs="Times New Roman"/>
                <w:kern w:val="0"/>
                <w:szCs w:val="20"/>
              </w:rPr>
            </w:pPr>
            <w:r>
              <w:rPr>
                <w:rFonts w:hint="eastAsia" w:cs="Times New Roman"/>
                <w:kern w:val="0"/>
                <w:szCs w:val="20"/>
              </w:rPr>
              <w:t>古楼街道</w:t>
            </w:r>
          </w:p>
        </w:tc>
        <w:tc>
          <w:tcPr>
            <w:tcW w:w="1276" w:type="dxa"/>
            <w:noWrap/>
            <w:vAlign w:val="center"/>
          </w:tcPr>
          <w:p>
            <w:pPr>
              <w:pStyle w:val="38"/>
              <w:widowControl w:val="0"/>
              <w:rPr>
                <w:rFonts w:cs="Times New Roman"/>
                <w:kern w:val="0"/>
                <w:szCs w:val="20"/>
              </w:rPr>
            </w:pPr>
            <w:r>
              <w:rPr>
                <w:rFonts w:hint="eastAsia" w:cs="Times New Roman"/>
                <w:kern w:val="0"/>
                <w:szCs w:val="20"/>
              </w:rPr>
              <w:t>10万</w:t>
            </w:r>
          </w:p>
        </w:tc>
        <w:tc>
          <w:tcPr>
            <w:tcW w:w="1275" w:type="dxa"/>
            <w:noWrap/>
            <w:vAlign w:val="center"/>
          </w:tcPr>
          <w:p>
            <w:pPr>
              <w:pStyle w:val="38"/>
              <w:widowControl w:val="0"/>
              <w:rPr>
                <w:rFonts w:cs="Times New Roman"/>
                <w:kern w:val="0"/>
                <w:szCs w:val="20"/>
              </w:rPr>
            </w:pPr>
          </w:p>
        </w:tc>
        <w:tc>
          <w:tcPr>
            <w:tcW w:w="1276" w:type="dxa"/>
            <w:noWrap/>
            <w:vAlign w:val="center"/>
          </w:tcPr>
          <w:p>
            <w:pPr>
              <w:pStyle w:val="38"/>
              <w:widowControl w:val="0"/>
              <w:rPr>
                <w:rFonts w:cs="Times New Roman"/>
                <w:kern w:val="0"/>
                <w:szCs w:val="20"/>
              </w:rPr>
            </w:pPr>
            <w:r>
              <w:rPr>
                <w:rFonts w:cs="Times New Roman"/>
                <w:kern w:val="0"/>
                <w:szCs w:val="20"/>
              </w:rPr>
              <w:t>27.6</w:t>
            </w:r>
            <w:r>
              <w:rPr>
                <w:rFonts w:hint="eastAsia" w:cs="Times New Roman"/>
                <w:kern w:val="0"/>
                <w:szCs w:val="20"/>
              </w:rPr>
              <w:t>亩</w:t>
            </w:r>
          </w:p>
        </w:tc>
        <w:tc>
          <w:tcPr>
            <w:tcW w:w="1276" w:type="dxa"/>
            <w:noWrap/>
            <w:vAlign w:val="center"/>
          </w:tcPr>
          <w:p>
            <w:pPr>
              <w:pStyle w:val="38"/>
              <w:widowControl w:val="0"/>
              <w:rPr>
                <w:rFonts w:cs="Times New Roman"/>
                <w:kern w:val="0"/>
                <w:szCs w:val="20"/>
              </w:rPr>
            </w:pPr>
          </w:p>
        </w:tc>
        <w:tc>
          <w:tcPr>
            <w:tcW w:w="1984" w:type="dxa"/>
            <w:noWrap/>
            <w:vAlign w:val="center"/>
          </w:tcPr>
          <w:p>
            <w:pPr>
              <w:pStyle w:val="38"/>
              <w:widowControl w:val="0"/>
              <w:rPr>
                <w:rFonts w:cs="Times New Roman"/>
                <w:kern w:val="0"/>
                <w:szCs w:val="20"/>
              </w:rPr>
            </w:pPr>
            <w:r>
              <w:rPr>
                <w:rFonts w:hint="eastAsia" w:cs="Times New Roman"/>
                <w:kern w:val="0"/>
                <w:szCs w:val="20"/>
              </w:rPr>
              <w:t>装修垃圾、工程垃圾、拆除垃圾</w:t>
            </w:r>
          </w:p>
        </w:tc>
        <w:tc>
          <w:tcPr>
            <w:tcW w:w="709" w:type="dxa"/>
            <w:noWrap/>
            <w:vAlign w:val="center"/>
          </w:tcPr>
          <w:p>
            <w:pPr>
              <w:pStyle w:val="38"/>
              <w:widowControl w:val="0"/>
              <w:rPr>
                <w:rFonts w:cs="Times New Roman"/>
                <w:kern w:val="0"/>
                <w:szCs w:val="20"/>
              </w:rPr>
            </w:pPr>
          </w:p>
        </w:tc>
        <w:tc>
          <w:tcPr>
            <w:tcW w:w="709" w:type="dxa"/>
            <w:noWrap/>
            <w:vAlign w:val="center"/>
          </w:tcPr>
          <w:p>
            <w:pPr>
              <w:pStyle w:val="38"/>
              <w:widowControl w:val="0"/>
              <w:rPr>
                <w:rFonts w:cs="Times New Roman"/>
                <w:kern w:val="0"/>
                <w:szCs w:val="20"/>
              </w:rPr>
            </w:pPr>
          </w:p>
        </w:tc>
        <w:tc>
          <w:tcPr>
            <w:tcW w:w="854" w:type="dxa"/>
            <w:noWrap/>
            <w:vAlign w:val="center"/>
          </w:tcPr>
          <w:p>
            <w:pPr>
              <w:pStyle w:val="38"/>
              <w:widowControl w:val="0"/>
              <w:rPr>
                <w:rFonts w:cs="Times New Roman"/>
                <w:kern w:val="0"/>
                <w:szCs w:val="20"/>
              </w:rPr>
            </w:pPr>
          </w:p>
        </w:tc>
      </w:tr>
    </w:tbl>
    <w:p>
      <w:pPr>
        <w:ind w:firstLine="640"/>
      </w:pPr>
      <w:r>
        <w:br w:type="page"/>
      </w:r>
    </w:p>
    <w:p>
      <w:pPr>
        <w:pStyle w:val="3"/>
        <w:numPr>
          <w:ilvl w:val="0"/>
          <w:numId w:val="0"/>
        </w:numPr>
        <w:rPr>
          <w:sz w:val="28"/>
          <w:szCs w:val="28"/>
        </w:rPr>
      </w:pPr>
      <w:bookmarkStart w:id="301" w:name="_Toc167461425"/>
      <w:bookmarkStart w:id="302" w:name="_Toc168062434"/>
      <w:r>
        <w:rPr>
          <w:rFonts w:hint="eastAsia"/>
          <w:sz w:val="28"/>
          <w:szCs w:val="28"/>
        </w:rPr>
        <w:t>建筑垃圾消纳场所规划表</w:t>
      </w:r>
      <w:bookmarkEnd w:id="301"/>
      <w:bookmarkEnd w:id="302"/>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98"/>
        <w:gridCol w:w="1157"/>
        <w:gridCol w:w="1303"/>
        <w:gridCol w:w="1300"/>
        <w:gridCol w:w="2022"/>
        <w:gridCol w:w="1735"/>
        <w:gridCol w:w="1735"/>
        <w:gridCol w:w="1589"/>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47" w:type="pct"/>
            <w:vAlign w:val="center"/>
          </w:tcPr>
          <w:p>
            <w:pPr>
              <w:pStyle w:val="38"/>
            </w:pPr>
            <w:r>
              <w:rPr>
                <w:rFonts w:hint="eastAsia"/>
              </w:rPr>
              <w:t>编号</w:t>
            </w:r>
          </w:p>
        </w:tc>
        <w:tc>
          <w:tcPr>
            <w:tcW w:w="562" w:type="pct"/>
            <w:shd w:val="clear" w:color="auto" w:fill="auto"/>
            <w:noWrap/>
            <w:vAlign w:val="center"/>
          </w:tcPr>
          <w:p>
            <w:pPr>
              <w:pStyle w:val="38"/>
            </w:pPr>
            <w:r>
              <w:rPr>
                <w:rFonts w:hint="eastAsia"/>
              </w:rPr>
              <w:t>名称</w:t>
            </w:r>
          </w:p>
        </w:tc>
        <w:tc>
          <w:tcPr>
            <w:tcW w:w="407" w:type="pct"/>
            <w:vAlign w:val="center"/>
          </w:tcPr>
          <w:p>
            <w:pPr>
              <w:pStyle w:val="38"/>
            </w:pPr>
            <w:r>
              <w:rPr>
                <w:rFonts w:hint="eastAsia"/>
              </w:rPr>
              <w:t>位置</w:t>
            </w:r>
          </w:p>
        </w:tc>
        <w:tc>
          <w:tcPr>
            <w:tcW w:w="458" w:type="pct"/>
            <w:vAlign w:val="center"/>
          </w:tcPr>
          <w:p>
            <w:pPr>
              <w:pStyle w:val="38"/>
            </w:pPr>
            <w:r>
              <w:rPr>
                <w:rFonts w:hint="eastAsia"/>
              </w:rPr>
              <w:t>处理能力</w:t>
            </w:r>
          </w:p>
        </w:tc>
        <w:tc>
          <w:tcPr>
            <w:tcW w:w="457" w:type="pct"/>
            <w:vAlign w:val="center"/>
          </w:tcPr>
          <w:p>
            <w:pPr>
              <w:pStyle w:val="38"/>
            </w:pPr>
            <w:r>
              <w:rPr>
                <w:rFonts w:hint="eastAsia"/>
              </w:rPr>
              <w:t>用地面积</w:t>
            </w:r>
          </w:p>
        </w:tc>
        <w:tc>
          <w:tcPr>
            <w:tcW w:w="711" w:type="pct"/>
            <w:shd w:val="clear" w:color="auto" w:fill="auto"/>
            <w:noWrap/>
            <w:vAlign w:val="center"/>
          </w:tcPr>
          <w:p>
            <w:pPr>
              <w:pStyle w:val="38"/>
            </w:pPr>
            <w:r>
              <w:rPr>
                <w:rFonts w:hint="eastAsia"/>
              </w:rPr>
              <w:t>建筑垃圾消纳场所类型</w:t>
            </w:r>
          </w:p>
        </w:tc>
        <w:tc>
          <w:tcPr>
            <w:tcW w:w="610" w:type="pct"/>
            <w:vAlign w:val="center"/>
          </w:tcPr>
          <w:p>
            <w:pPr>
              <w:pStyle w:val="38"/>
            </w:pPr>
            <w:r>
              <w:rPr>
                <w:rFonts w:hint="eastAsia"/>
              </w:rPr>
              <w:t>建筑垃圾种类</w:t>
            </w:r>
          </w:p>
        </w:tc>
        <w:tc>
          <w:tcPr>
            <w:tcW w:w="610" w:type="pct"/>
            <w:vAlign w:val="center"/>
          </w:tcPr>
          <w:p>
            <w:pPr>
              <w:pStyle w:val="38"/>
            </w:pPr>
            <w:r>
              <w:rPr>
                <w:rFonts w:hint="eastAsia"/>
              </w:rPr>
              <w:t>规划建设时序</w:t>
            </w:r>
          </w:p>
        </w:tc>
        <w:tc>
          <w:tcPr>
            <w:tcW w:w="559" w:type="pct"/>
            <w:vAlign w:val="center"/>
          </w:tcPr>
          <w:p>
            <w:pPr>
              <w:pStyle w:val="38"/>
            </w:pPr>
            <w:r>
              <w:rPr>
                <w:rFonts w:hint="eastAsia"/>
              </w:rPr>
              <w:t>责任单位</w:t>
            </w:r>
          </w:p>
        </w:tc>
        <w:tc>
          <w:tcPr>
            <w:tcW w:w="479" w:type="pct"/>
            <w:vAlign w:val="center"/>
          </w:tcPr>
          <w:p>
            <w:pPr>
              <w:pStyle w:val="38"/>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 w:type="pct"/>
            <w:vAlign w:val="center"/>
          </w:tcPr>
          <w:p>
            <w:pPr>
              <w:pStyle w:val="38"/>
            </w:pPr>
            <w:r>
              <w:rPr>
                <w:rFonts w:hint="eastAsia"/>
              </w:rPr>
              <w:t>1</w:t>
            </w:r>
          </w:p>
        </w:tc>
        <w:tc>
          <w:tcPr>
            <w:tcW w:w="562" w:type="pct"/>
            <w:shd w:val="clear" w:color="auto" w:fill="auto"/>
            <w:noWrap/>
            <w:vAlign w:val="center"/>
          </w:tcPr>
          <w:p>
            <w:pPr>
              <w:pStyle w:val="38"/>
            </w:pPr>
            <w:r>
              <w:rPr>
                <w:rFonts w:hint="eastAsia"/>
              </w:rPr>
              <w:t>邵家渡建筑渣土资源化利用项目</w:t>
            </w:r>
          </w:p>
        </w:tc>
        <w:tc>
          <w:tcPr>
            <w:tcW w:w="407" w:type="pct"/>
            <w:vAlign w:val="center"/>
          </w:tcPr>
          <w:p>
            <w:pPr>
              <w:pStyle w:val="38"/>
            </w:pPr>
            <w:r>
              <w:rPr>
                <w:rFonts w:hint="eastAsia"/>
              </w:rPr>
              <w:t>邵家渡街道</w:t>
            </w:r>
          </w:p>
        </w:tc>
        <w:tc>
          <w:tcPr>
            <w:tcW w:w="458" w:type="pct"/>
            <w:vAlign w:val="center"/>
          </w:tcPr>
          <w:p>
            <w:pPr>
              <w:pStyle w:val="38"/>
            </w:pPr>
            <w:r>
              <w:rPr>
                <w:rFonts w:hint="eastAsia"/>
              </w:rPr>
              <w:t>25万吨/年</w:t>
            </w:r>
          </w:p>
        </w:tc>
        <w:tc>
          <w:tcPr>
            <w:tcW w:w="457" w:type="pct"/>
            <w:vAlign w:val="center"/>
          </w:tcPr>
          <w:p>
            <w:pPr>
              <w:pStyle w:val="38"/>
            </w:pPr>
            <w:r>
              <w:rPr>
                <w:rFonts w:hint="eastAsia"/>
              </w:rPr>
              <w:t>62.8亩</w:t>
            </w:r>
          </w:p>
        </w:tc>
        <w:tc>
          <w:tcPr>
            <w:tcW w:w="711" w:type="pct"/>
            <w:shd w:val="clear" w:color="auto" w:fill="auto"/>
            <w:noWrap/>
            <w:vAlign w:val="center"/>
          </w:tcPr>
          <w:p>
            <w:pPr>
              <w:pStyle w:val="38"/>
            </w:pPr>
            <w:r>
              <w:rPr>
                <w:rFonts w:hint="eastAsia"/>
              </w:rPr>
              <w:t>资源化利用</w:t>
            </w:r>
          </w:p>
        </w:tc>
        <w:tc>
          <w:tcPr>
            <w:tcW w:w="610" w:type="pct"/>
            <w:vAlign w:val="center"/>
          </w:tcPr>
          <w:p>
            <w:pPr>
              <w:pStyle w:val="38"/>
            </w:pPr>
            <w:r>
              <w:rPr>
                <w:rFonts w:hint="eastAsia"/>
              </w:rPr>
              <w:t>工程渣土</w:t>
            </w:r>
          </w:p>
        </w:tc>
        <w:tc>
          <w:tcPr>
            <w:tcW w:w="610" w:type="pct"/>
            <w:vAlign w:val="center"/>
          </w:tcPr>
          <w:p>
            <w:pPr>
              <w:pStyle w:val="38"/>
            </w:pPr>
            <w:r>
              <w:rPr>
                <w:rFonts w:hint="eastAsia"/>
              </w:rPr>
              <w:t>近期</w:t>
            </w:r>
          </w:p>
        </w:tc>
        <w:tc>
          <w:tcPr>
            <w:tcW w:w="559" w:type="pct"/>
            <w:vAlign w:val="center"/>
          </w:tcPr>
          <w:p>
            <w:pPr>
              <w:pStyle w:val="38"/>
            </w:pPr>
            <w:r>
              <w:rPr>
                <w:rFonts w:hint="eastAsia"/>
              </w:rPr>
              <w:t>邵家渡街道人民政府</w:t>
            </w:r>
          </w:p>
        </w:tc>
        <w:tc>
          <w:tcPr>
            <w:tcW w:w="479" w:type="pct"/>
            <w:vAlign w:val="center"/>
          </w:tcPr>
          <w:p>
            <w:pPr>
              <w:pStyle w:val="3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 w:type="pct"/>
            <w:vAlign w:val="center"/>
          </w:tcPr>
          <w:p>
            <w:pPr>
              <w:pStyle w:val="38"/>
            </w:pPr>
            <w:r>
              <w:rPr>
                <w:rFonts w:hint="eastAsia"/>
              </w:rPr>
              <w:t>2</w:t>
            </w:r>
          </w:p>
        </w:tc>
        <w:tc>
          <w:tcPr>
            <w:tcW w:w="562" w:type="pct"/>
            <w:shd w:val="clear" w:color="auto" w:fill="auto"/>
            <w:noWrap/>
          </w:tcPr>
          <w:p>
            <w:pPr>
              <w:pStyle w:val="38"/>
            </w:pPr>
            <w:r>
              <w:rPr>
                <w:rFonts w:hint="eastAsia"/>
              </w:rPr>
              <w:t>杜桥工程渣土消纳场</w:t>
            </w:r>
          </w:p>
        </w:tc>
        <w:tc>
          <w:tcPr>
            <w:tcW w:w="407" w:type="pct"/>
            <w:vAlign w:val="center"/>
          </w:tcPr>
          <w:p>
            <w:pPr>
              <w:pStyle w:val="38"/>
            </w:pPr>
            <w:r>
              <w:rPr>
                <w:rFonts w:hint="eastAsia"/>
              </w:rPr>
              <w:t>杜桥镇</w:t>
            </w:r>
          </w:p>
        </w:tc>
        <w:tc>
          <w:tcPr>
            <w:tcW w:w="458" w:type="pct"/>
            <w:vAlign w:val="center"/>
          </w:tcPr>
          <w:p>
            <w:pPr>
              <w:pStyle w:val="38"/>
            </w:pPr>
            <w:r>
              <w:rPr>
                <w:rFonts w:hint="eastAsia"/>
              </w:rPr>
              <w:t>150万吨</w:t>
            </w:r>
          </w:p>
        </w:tc>
        <w:tc>
          <w:tcPr>
            <w:tcW w:w="457" w:type="pct"/>
            <w:vAlign w:val="center"/>
          </w:tcPr>
          <w:p>
            <w:pPr>
              <w:pStyle w:val="38"/>
            </w:pPr>
            <w:r>
              <w:rPr>
                <w:rFonts w:hint="eastAsia"/>
              </w:rPr>
              <w:t>—</w:t>
            </w:r>
          </w:p>
        </w:tc>
        <w:tc>
          <w:tcPr>
            <w:tcW w:w="711" w:type="pct"/>
            <w:shd w:val="clear" w:color="auto" w:fill="auto"/>
            <w:noWrap/>
            <w:vAlign w:val="center"/>
          </w:tcPr>
          <w:p>
            <w:pPr>
              <w:pStyle w:val="38"/>
            </w:pPr>
            <w:r>
              <w:rPr>
                <w:rFonts w:hint="eastAsia"/>
              </w:rPr>
              <w:t>渣土消纳</w:t>
            </w:r>
          </w:p>
        </w:tc>
        <w:tc>
          <w:tcPr>
            <w:tcW w:w="610" w:type="pct"/>
            <w:vAlign w:val="center"/>
          </w:tcPr>
          <w:p>
            <w:pPr>
              <w:pStyle w:val="38"/>
            </w:pPr>
            <w:r>
              <w:rPr>
                <w:rFonts w:hint="eastAsia"/>
              </w:rPr>
              <w:t>工程渣土</w:t>
            </w:r>
          </w:p>
        </w:tc>
        <w:tc>
          <w:tcPr>
            <w:tcW w:w="610" w:type="pct"/>
            <w:vAlign w:val="center"/>
          </w:tcPr>
          <w:p>
            <w:pPr>
              <w:pStyle w:val="38"/>
            </w:pPr>
            <w:r>
              <w:rPr>
                <w:rFonts w:hint="eastAsia"/>
              </w:rPr>
              <w:t>远期</w:t>
            </w:r>
          </w:p>
        </w:tc>
        <w:tc>
          <w:tcPr>
            <w:tcW w:w="559" w:type="pct"/>
            <w:vAlign w:val="center"/>
          </w:tcPr>
          <w:p>
            <w:pPr>
              <w:pStyle w:val="38"/>
            </w:pPr>
            <w:r>
              <w:rPr>
                <w:rFonts w:hint="eastAsia"/>
              </w:rPr>
              <w:t>杜桥镇人民政府</w:t>
            </w:r>
          </w:p>
        </w:tc>
        <w:tc>
          <w:tcPr>
            <w:tcW w:w="479" w:type="pct"/>
            <w:vAlign w:val="center"/>
          </w:tcPr>
          <w:p>
            <w:pPr>
              <w:pStyle w:val="38"/>
            </w:pPr>
            <w:r>
              <w:rPr>
                <w:rFonts w:hint="eastAsia"/>
              </w:rPr>
              <w:t>远期预留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 w:type="pct"/>
            <w:vAlign w:val="center"/>
          </w:tcPr>
          <w:p>
            <w:pPr>
              <w:pStyle w:val="38"/>
            </w:pPr>
            <w:r>
              <w:rPr>
                <w:rFonts w:hint="eastAsia"/>
              </w:rPr>
              <w:t>3</w:t>
            </w:r>
          </w:p>
        </w:tc>
        <w:tc>
          <w:tcPr>
            <w:tcW w:w="562" w:type="pct"/>
            <w:shd w:val="clear" w:color="auto" w:fill="auto"/>
            <w:noWrap/>
          </w:tcPr>
          <w:p>
            <w:pPr>
              <w:pStyle w:val="38"/>
            </w:pPr>
            <w:r>
              <w:rPr>
                <w:rFonts w:hint="eastAsia"/>
              </w:rPr>
              <w:t>白水洋工程渣土消纳场</w:t>
            </w:r>
          </w:p>
        </w:tc>
        <w:tc>
          <w:tcPr>
            <w:tcW w:w="407" w:type="pct"/>
            <w:vAlign w:val="center"/>
          </w:tcPr>
          <w:p>
            <w:pPr>
              <w:pStyle w:val="38"/>
            </w:pPr>
            <w:r>
              <w:rPr>
                <w:rFonts w:hint="eastAsia"/>
              </w:rPr>
              <w:t>白水洋镇</w:t>
            </w:r>
          </w:p>
        </w:tc>
        <w:tc>
          <w:tcPr>
            <w:tcW w:w="458" w:type="pct"/>
            <w:vAlign w:val="center"/>
          </w:tcPr>
          <w:p>
            <w:pPr>
              <w:pStyle w:val="38"/>
            </w:pPr>
            <w:r>
              <w:rPr>
                <w:rFonts w:hint="eastAsia"/>
              </w:rPr>
              <w:t>100万吨</w:t>
            </w:r>
          </w:p>
        </w:tc>
        <w:tc>
          <w:tcPr>
            <w:tcW w:w="457" w:type="pct"/>
            <w:vAlign w:val="center"/>
          </w:tcPr>
          <w:p>
            <w:pPr>
              <w:pStyle w:val="38"/>
            </w:pPr>
            <w:r>
              <w:rPr>
                <w:rFonts w:hint="eastAsia"/>
              </w:rPr>
              <w:t>—</w:t>
            </w:r>
          </w:p>
        </w:tc>
        <w:tc>
          <w:tcPr>
            <w:tcW w:w="711" w:type="pct"/>
            <w:shd w:val="clear" w:color="auto" w:fill="auto"/>
            <w:noWrap/>
            <w:vAlign w:val="center"/>
          </w:tcPr>
          <w:p>
            <w:pPr>
              <w:pStyle w:val="38"/>
            </w:pPr>
            <w:r>
              <w:rPr>
                <w:rFonts w:hint="eastAsia"/>
              </w:rPr>
              <w:t>渣土消纳</w:t>
            </w:r>
          </w:p>
        </w:tc>
        <w:tc>
          <w:tcPr>
            <w:tcW w:w="610" w:type="pct"/>
            <w:vAlign w:val="center"/>
          </w:tcPr>
          <w:p>
            <w:pPr>
              <w:pStyle w:val="38"/>
            </w:pPr>
            <w:r>
              <w:rPr>
                <w:rFonts w:hint="eastAsia"/>
              </w:rPr>
              <w:t>工程渣土</w:t>
            </w:r>
          </w:p>
        </w:tc>
        <w:tc>
          <w:tcPr>
            <w:tcW w:w="610" w:type="pct"/>
            <w:vAlign w:val="center"/>
          </w:tcPr>
          <w:p>
            <w:pPr>
              <w:pStyle w:val="38"/>
            </w:pPr>
            <w:r>
              <w:rPr>
                <w:rFonts w:hint="eastAsia"/>
              </w:rPr>
              <w:t>远期</w:t>
            </w:r>
          </w:p>
        </w:tc>
        <w:tc>
          <w:tcPr>
            <w:tcW w:w="559" w:type="pct"/>
            <w:vAlign w:val="center"/>
          </w:tcPr>
          <w:p>
            <w:pPr>
              <w:pStyle w:val="38"/>
            </w:pPr>
            <w:r>
              <w:rPr>
                <w:rFonts w:hint="eastAsia"/>
              </w:rPr>
              <w:t>白水洋镇人民政府</w:t>
            </w:r>
          </w:p>
        </w:tc>
        <w:tc>
          <w:tcPr>
            <w:tcW w:w="479" w:type="pct"/>
            <w:vAlign w:val="center"/>
          </w:tcPr>
          <w:p>
            <w:pPr>
              <w:pStyle w:val="38"/>
            </w:pPr>
            <w:r>
              <w:rPr>
                <w:rFonts w:hint="eastAsia"/>
              </w:rPr>
              <w:t>远期预留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 w:type="pct"/>
            <w:vAlign w:val="center"/>
          </w:tcPr>
          <w:p>
            <w:pPr>
              <w:pStyle w:val="38"/>
            </w:pPr>
            <w:r>
              <w:rPr>
                <w:rFonts w:hint="eastAsia"/>
              </w:rPr>
              <w:t>4</w:t>
            </w:r>
          </w:p>
        </w:tc>
        <w:tc>
          <w:tcPr>
            <w:tcW w:w="562" w:type="pct"/>
            <w:shd w:val="clear" w:color="auto" w:fill="auto"/>
            <w:noWrap/>
            <w:vAlign w:val="center"/>
          </w:tcPr>
          <w:p>
            <w:pPr>
              <w:pStyle w:val="38"/>
            </w:pPr>
            <w:r>
              <w:rPr>
                <w:rFonts w:hint="eastAsia"/>
              </w:rPr>
              <w:t>临海市工程渣土消纳场</w:t>
            </w:r>
          </w:p>
        </w:tc>
        <w:tc>
          <w:tcPr>
            <w:tcW w:w="407" w:type="pct"/>
            <w:vAlign w:val="center"/>
          </w:tcPr>
          <w:p>
            <w:pPr>
              <w:pStyle w:val="38"/>
            </w:pPr>
            <w:r>
              <w:rPr>
                <w:rFonts w:hint="eastAsia"/>
              </w:rPr>
              <w:t>杜桥镇</w:t>
            </w:r>
          </w:p>
        </w:tc>
        <w:tc>
          <w:tcPr>
            <w:tcW w:w="458" w:type="pct"/>
            <w:vAlign w:val="center"/>
          </w:tcPr>
          <w:p>
            <w:pPr>
              <w:pStyle w:val="38"/>
            </w:pPr>
            <w:r>
              <w:rPr>
                <w:rFonts w:hint="eastAsia"/>
              </w:rPr>
              <w:t>250万吨</w:t>
            </w:r>
          </w:p>
        </w:tc>
        <w:tc>
          <w:tcPr>
            <w:tcW w:w="457" w:type="pct"/>
            <w:vAlign w:val="center"/>
          </w:tcPr>
          <w:p>
            <w:pPr>
              <w:pStyle w:val="38"/>
            </w:pPr>
            <w:r>
              <w:rPr>
                <w:rFonts w:hint="eastAsia"/>
              </w:rPr>
              <w:t>—</w:t>
            </w:r>
          </w:p>
        </w:tc>
        <w:tc>
          <w:tcPr>
            <w:tcW w:w="711" w:type="pct"/>
            <w:shd w:val="clear" w:color="auto" w:fill="auto"/>
            <w:noWrap/>
            <w:vAlign w:val="center"/>
          </w:tcPr>
          <w:p>
            <w:pPr>
              <w:pStyle w:val="38"/>
            </w:pPr>
            <w:r>
              <w:rPr>
                <w:rFonts w:hint="eastAsia"/>
              </w:rPr>
              <w:t>渣土消纳</w:t>
            </w:r>
          </w:p>
        </w:tc>
        <w:tc>
          <w:tcPr>
            <w:tcW w:w="610" w:type="pct"/>
            <w:vAlign w:val="center"/>
          </w:tcPr>
          <w:p>
            <w:pPr>
              <w:pStyle w:val="38"/>
            </w:pPr>
            <w:r>
              <w:rPr>
                <w:rFonts w:hint="eastAsia"/>
              </w:rPr>
              <w:t>工程渣土</w:t>
            </w:r>
          </w:p>
        </w:tc>
        <w:tc>
          <w:tcPr>
            <w:tcW w:w="610" w:type="pct"/>
            <w:vAlign w:val="center"/>
          </w:tcPr>
          <w:p>
            <w:pPr>
              <w:pStyle w:val="38"/>
            </w:pPr>
            <w:r>
              <w:rPr>
                <w:rFonts w:hint="eastAsia"/>
              </w:rPr>
              <w:t>近期</w:t>
            </w:r>
          </w:p>
        </w:tc>
        <w:tc>
          <w:tcPr>
            <w:tcW w:w="559" w:type="pct"/>
            <w:vAlign w:val="center"/>
          </w:tcPr>
          <w:p>
            <w:pPr>
              <w:pStyle w:val="38"/>
            </w:pPr>
            <w:r>
              <w:rPr>
                <w:rFonts w:hint="eastAsia"/>
              </w:rPr>
              <w:t>杜桥镇人民政府</w:t>
            </w:r>
          </w:p>
        </w:tc>
        <w:tc>
          <w:tcPr>
            <w:tcW w:w="479" w:type="pct"/>
            <w:vAlign w:val="center"/>
          </w:tcPr>
          <w:p>
            <w:pPr>
              <w:pStyle w:val="38"/>
            </w:pPr>
            <w:r>
              <w:rPr>
                <w:rFonts w:hint="eastAsia"/>
              </w:rPr>
              <w:t>初步选址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 w:type="pct"/>
            <w:vAlign w:val="center"/>
          </w:tcPr>
          <w:p>
            <w:pPr>
              <w:pStyle w:val="38"/>
            </w:pPr>
            <w:r>
              <w:rPr>
                <w:rFonts w:hint="eastAsia"/>
              </w:rPr>
              <w:t>5</w:t>
            </w:r>
          </w:p>
        </w:tc>
        <w:tc>
          <w:tcPr>
            <w:tcW w:w="562" w:type="pct"/>
            <w:shd w:val="clear" w:color="auto" w:fill="auto"/>
            <w:noWrap/>
            <w:vAlign w:val="center"/>
          </w:tcPr>
          <w:p>
            <w:pPr>
              <w:pStyle w:val="38"/>
              <w:rPr>
                <w:highlight w:val="cyan"/>
              </w:rPr>
            </w:pPr>
            <w:r>
              <w:rPr>
                <w:rFonts w:hint="eastAsia"/>
                <w:highlight w:val="cyan"/>
              </w:rPr>
              <w:t>白水洋镇大件垃圾及建筑垃圾处理中心</w:t>
            </w:r>
          </w:p>
        </w:tc>
        <w:tc>
          <w:tcPr>
            <w:tcW w:w="407" w:type="pct"/>
            <w:vAlign w:val="center"/>
          </w:tcPr>
          <w:p>
            <w:pPr>
              <w:pStyle w:val="38"/>
              <w:rPr>
                <w:highlight w:val="cyan"/>
              </w:rPr>
            </w:pPr>
            <w:r>
              <w:rPr>
                <w:rFonts w:hint="eastAsia"/>
                <w:highlight w:val="cyan"/>
              </w:rPr>
              <w:t>白水洋镇</w:t>
            </w:r>
          </w:p>
        </w:tc>
        <w:tc>
          <w:tcPr>
            <w:tcW w:w="458" w:type="pct"/>
            <w:vAlign w:val="center"/>
          </w:tcPr>
          <w:p>
            <w:pPr>
              <w:pStyle w:val="38"/>
              <w:rPr>
                <w:highlight w:val="cyan"/>
              </w:rPr>
            </w:pPr>
            <w:r>
              <w:rPr>
                <w:rFonts w:hint="eastAsia"/>
                <w:highlight w:val="cyan"/>
              </w:rPr>
              <w:t>10万吨/年</w:t>
            </w:r>
          </w:p>
        </w:tc>
        <w:tc>
          <w:tcPr>
            <w:tcW w:w="457" w:type="pct"/>
            <w:vAlign w:val="center"/>
          </w:tcPr>
          <w:p>
            <w:pPr>
              <w:pStyle w:val="38"/>
              <w:rPr>
                <w:highlight w:val="cyan"/>
              </w:rPr>
            </w:pPr>
            <w:r>
              <w:rPr>
                <w:rFonts w:hint="eastAsia"/>
              </w:rPr>
              <w:t>—</w:t>
            </w:r>
          </w:p>
        </w:tc>
        <w:tc>
          <w:tcPr>
            <w:tcW w:w="711" w:type="pct"/>
            <w:shd w:val="clear" w:color="auto" w:fill="auto"/>
            <w:noWrap/>
            <w:vAlign w:val="center"/>
          </w:tcPr>
          <w:p>
            <w:pPr>
              <w:pStyle w:val="38"/>
              <w:rPr>
                <w:highlight w:val="cyan"/>
              </w:rPr>
            </w:pPr>
            <w:r>
              <w:rPr>
                <w:rFonts w:hint="eastAsia"/>
                <w:highlight w:val="cyan"/>
              </w:rPr>
              <w:t>资源化利用</w:t>
            </w:r>
          </w:p>
        </w:tc>
        <w:tc>
          <w:tcPr>
            <w:tcW w:w="610" w:type="pct"/>
            <w:vAlign w:val="center"/>
          </w:tcPr>
          <w:p>
            <w:pPr>
              <w:pStyle w:val="38"/>
              <w:rPr>
                <w:highlight w:val="cyan"/>
              </w:rPr>
            </w:pPr>
            <w:r>
              <w:rPr>
                <w:rFonts w:hint="eastAsia"/>
                <w:highlight w:val="cyan"/>
              </w:rPr>
              <w:t>装修垃圾、工程垃圾、拆除垃圾</w:t>
            </w:r>
          </w:p>
        </w:tc>
        <w:tc>
          <w:tcPr>
            <w:tcW w:w="610" w:type="pct"/>
            <w:vAlign w:val="center"/>
          </w:tcPr>
          <w:p>
            <w:pPr>
              <w:pStyle w:val="38"/>
              <w:rPr>
                <w:highlight w:val="cyan"/>
              </w:rPr>
            </w:pPr>
            <w:r>
              <w:rPr>
                <w:rFonts w:hint="eastAsia"/>
                <w:highlight w:val="cyan"/>
              </w:rPr>
              <w:t>近期</w:t>
            </w:r>
          </w:p>
        </w:tc>
        <w:tc>
          <w:tcPr>
            <w:tcW w:w="559" w:type="pct"/>
            <w:vAlign w:val="center"/>
          </w:tcPr>
          <w:p>
            <w:pPr>
              <w:pStyle w:val="38"/>
              <w:rPr>
                <w:highlight w:val="cyan"/>
              </w:rPr>
            </w:pPr>
            <w:r>
              <w:rPr>
                <w:rFonts w:hint="eastAsia"/>
              </w:rPr>
              <w:t>白水洋镇人民政府</w:t>
            </w:r>
          </w:p>
        </w:tc>
        <w:tc>
          <w:tcPr>
            <w:tcW w:w="479" w:type="pct"/>
            <w:vAlign w:val="center"/>
          </w:tcPr>
          <w:p>
            <w:pPr>
              <w:pStyle w:val="38"/>
              <w:rPr>
                <w:highlight w:val="cyan"/>
              </w:rPr>
            </w:pPr>
            <w:r>
              <w:rPr>
                <w:rFonts w:hint="eastAsia"/>
                <w:highlight w:val="cyan"/>
              </w:rPr>
              <w:t>初步选址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 w:type="pct"/>
            <w:vAlign w:val="center"/>
          </w:tcPr>
          <w:p>
            <w:pPr>
              <w:pStyle w:val="38"/>
            </w:pPr>
            <w:r>
              <w:rPr>
                <w:rFonts w:hint="eastAsia"/>
              </w:rPr>
              <w:t>6</w:t>
            </w:r>
          </w:p>
        </w:tc>
        <w:tc>
          <w:tcPr>
            <w:tcW w:w="562" w:type="pct"/>
            <w:shd w:val="clear" w:color="auto" w:fill="auto"/>
            <w:noWrap/>
            <w:vAlign w:val="center"/>
          </w:tcPr>
          <w:p>
            <w:pPr>
              <w:pStyle w:val="38"/>
              <w:rPr>
                <w:highlight w:val="cyan"/>
              </w:rPr>
            </w:pPr>
            <w:r>
              <w:rPr>
                <w:rFonts w:hint="eastAsia"/>
                <w:highlight w:val="cyan"/>
              </w:rPr>
              <w:t>头门港建筑垃圾资源化利用项目</w:t>
            </w:r>
          </w:p>
        </w:tc>
        <w:tc>
          <w:tcPr>
            <w:tcW w:w="407" w:type="pct"/>
            <w:vAlign w:val="center"/>
          </w:tcPr>
          <w:p>
            <w:pPr>
              <w:pStyle w:val="38"/>
              <w:rPr>
                <w:highlight w:val="cyan"/>
              </w:rPr>
            </w:pPr>
            <w:r>
              <w:rPr>
                <w:rFonts w:hint="eastAsia"/>
                <w:highlight w:val="cyan"/>
              </w:rPr>
              <w:t>台州湾经济技术开发区</w:t>
            </w:r>
          </w:p>
        </w:tc>
        <w:tc>
          <w:tcPr>
            <w:tcW w:w="458" w:type="pct"/>
            <w:vAlign w:val="center"/>
          </w:tcPr>
          <w:p>
            <w:pPr>
              <w:pStyle w:val="38"/>
              <w:rPr>
                <w:highlight w:val="cyan"/>
              </w:rPr>
            </w:pPr>
            <w:r>
              <w:rPr>
                <w:rFonts w:hint="eastAsia"/>
                <w:highlight w:val="cyan"/>
              </w:rPr>
              <w:t>10万吨/年</w:t>
            </w:r>
          </w:p>
        </w:tc>
        <w:tc>
          <w:tcPr>
            <w:tcW w:w="457" w:type="pct"/>
            <w:vAlign w:val="center"/>
          </w:tcPr>
          <w:p>
            <w:pPr>
              <w:pStyle w:val="38"/>
              <w:rPr>
                <w:highlight w:val="cyan"/>
              </w:rPr>
            </w:pPr>
            <w:r>
              <w:rPr>
                <w:rFonts w:hint="eastAsia"/>
              </w:rPr>
              <w:t>—</w:t>
            </w:r>
          </w:p>
        </w:tc>
        <w:tc>
          <w:tcPr>
            <w:tcW w:w="711" w:type="pct"/>
            <w:shd w:val="clear" w:color="auto" w:fill="auto"/>
            <w:noWrap/>
            <w:vAlign w:val="center"/>
          </w:tcPr>
          <w:p>
            <w:pPr>
              <w:pStyle w:val="38"/>
              <w:rPr>
                <w:highlight w:val="cyan"/>
              </w:rPr>
            </w:pPr>
            <w:r>
              <w:rPr>
                <w:rFonts w:hint="eastAsia"/>
                <w:highlight w:val="cyan"/>
              </w:rPr>
              <w:t>资源化利用</w:t>
            </w:r>
          </w:p>
        </w:tc>
        <w:tc>
          <w:tcPr>
            <w:tcW w:w="610" w:type="pct"/>
            <w:vAlign w:val="center"/>
          </w:tcPr>
          <w:p>
            <w:pPr>
              <w:pStyle w:val="38"/>
              <w:rPr>
                <w:highlight w:val="cyan"/>
              </w:rPr>
            </w:pPr>
            <w:r>
              <w:rPr>
                <w:rFonts w:hint="eastAsia"/>
                <w:highlight w:val="cyan"/>
              </w:rPr>
              <w:t>装修垃圾为主</w:t>
            </w:r>
          </w:p>
        </w:tc>
        <w:tc>
          <w:tcPr>
            <w:tcW w:w="610" w:type="pct"/>
            <w:vAlign w:val="center"/>
          </w:tcPr>
          <w:p>
            <w:pPr>
              <w:pStyle w:val="38"/>
              <w:rPr>
                <w:highlight w:val="cyan"/>
              </w:rPr>
            </w:pPr>
            <w:r>
              <w:rPr>
                <w:rFonts w:hint="eastAsia"/>
                <w:highlight w:val="cyan"/>
              </w:rPr>
              <w:t>近期</w:t>
            </w:r>
          </w:p>
        </w:tc>
        <w:tc>
          <w:tcPr>
            <w:tcW w:w="559" w:type="pct"/>
            <w:vAlign w:val="center"/>
          </w:tcPr>
          <w:p>
            <w:pPr>
              <w:pStyle w:val="38"/>
              <w:rPr>
                <w:highlight w:val="cyan"/>
              </w:rPr>
            </w:pPr>
            <w:r>
              <w:rPr>
                <w:rFonts w:hint="eastAsia"/>
              </w:rPr>
              <w:t>台州湾经济技术开发区</w:t>
            </w:r>
          </w:p>
        </w:tc>
        <w:tc>
          <w:tcPr>
            <w:tcW w:w="479" w:type="pct"/>
            <w:vAlign w:val="center"/>
          </w:tcPr>
          <w:p>
            <w:pPr>
              <w:pStyle w:val="38"/>
              <w:rPr>
                <w:highlight w:val="cyan"/>
              </w:rPr>
            </w:pPr>
            <w:r>
              <w:rPr>
                <w:rFonts w:hint="eastAsia"/>
                <w:highlight w:val="cyan"/>
              </w:rPr>
              <w:t>初步选址</w:t>
            </w:r>
          </w:p>
        </w:tc>
      </w:tr>
    </w:tbl>
    <w:p>
      <w:pPr>
        <w:pStyle w:val="3"/>
        <w:numPr>
          <w:ilvl w:val="0"/>
          <w:numId w:val="0"/>
        </w:numPr>
        <w:rPr>
          <w:sz w:val="28"/>
          <w:szCs w:val="28"/>
        </w:rPr>
      </w:pPr>
      <w:bookmarkStart w:id="303" w:name="_Toc167461426"/>
      <w:bookmarkStart w:id="304" w:name="_Toc168062435"/>
      <w:r>
        <w:rPr>
          <w:rFonts w:hint="eastAsia"/>
          <w:sz w:val="28"/>
          <w:szCs w:val="28"/>
        </w:rPr>
        <w:t>规划近期建设项目统计表</w:t>
      </w:r>
      <w:bookmarkEnd w:id="303"/>
      <w:bookmarkEnd w:id="304"/>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2525"/>
        <w:gridCol w:w="1726"/>
        <w:gridCol w:w="2161"/>
        <w:gridCol w:w="2016"/>
        <w:gridCol w:w="1587"/>
        <w:gridCol w:w="2593"/>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pPr>
              <w:pStyle w:val="38"/>
            </w:pPr>
            <w:r>
              <w:rPr>
                <w:rFonts w:hint="eastAsia"/>
              </w:rPr>
              <w:t>编号</w:t>
            </w:r>
          </w:p>
        </w:tc>
        <w:tc>
          <w:tcPr>
            <w:tcW w:w="888" w:type="pct"/>
            <w:vAlign w:val="center"/>
          </w:tcPr>
          <w:p>
            <w:pPr>
              <w:pStyle w:val="38"/>
            </w:pPr>
            <w:r>
              <w:rPr>
                <w:rFonts w:hint="eastAsia"/>
              </w:rPr>
              <w:t>名称</w:t>
            </w:r>
          </w:p>
        </w:tc>
        <w:tc>
          <w:tcPr>
            <w:tcW w:w="607" w:type="pct"/>
            <w:vAlign w:val="center"/>
          </w:tcPr>
          <w:p>
            <w:pPr>
              <w:pStyle w:val="38"/>
            </w:pPr>
            <w:r>
              <w:rPr>
                <w:rFonts w:hint="eastAsia"/>
              </w:rPr>
              <w:t>处理能力</w:t>
            </w:r>
          </w:p>
        </w:tc>
        <w:tc>
          <w:tcPr>
            <w:tcW w:w="760" w:type="pct"/>
            <w:vAlign w:val="center"/>
          </w:tcPr>
          <w:p>
            <w:pPr>
              <w:pStyle w:val="38"/>
            </w:pPr>
            <w:r>
              <w:rPr>
                <w:rFonts w:hint="eastAsia"/>
              </w:rPr>
              <w:t>用地面积</w:t>
            </w:r>
          </w:p>
        </w:tc>
        <w:tc>
          <w:tcPr>
            <w:tcW w:w="709" w:type="pct"/>
            <w:vAlign w:val="center"/>
          </w:tcPr>
          <w:p>
            <w:pPr>
              <w:pStyle w:val="38"/>
            </w:pPr>
            <w:r>
              <w:rPr>
                <w:rFonts w:hint="eastAsia"/>
              </w:rPr>
              <w:t>投资估算/万元</w:t>
            </w:r>
          </w:p>
        </w:tc>
        <w:tc>
          <w:tcPr>
            <w:tcW w:w="558" w:type="pct"/>
            <w:vAlign w:val="center"/>
          </w:tcPr>
          <w:p>
            <w:pPr>
              <w:pStyle w:val="38"/>
            </w:pPr>
            <w:r>
              <w:rPr>
                <w:rFonts w:hint="eastAsia"/>
              </w:rPr>
              <w:t>建设时序</w:t>
            </w:r>
          </w:p>
        </w:tc>
        <w:tc>
          <w:tcPr>
            <w:tcW w:w="912" w:type="pct"/>
            <w:vAlign w:val="center"/>
          </w:tcPr>
          <w:p>
            <w:pPr>
              <w:pStyle w:val="38"/>
            </w:pPr>
            <w:r>
              <w:rPr>
                <w:rFonts w:hint="eastAsia"/>
              </w:rPr>
              <w:t>责任单位</w:t>
            </w:r>
          </w:p>
        </w:tc>
        <w:tc>
          <w:tcPr>
            <w:tcW w:w="290" w:type="pct"/>
            <w:vAlign w:val="center"/>
          </w:tcPr>
          <w:p>
            <w:pPr>
              <w:pStyle w:val="38"/>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pPr>
              <w:pStyle w:val="38"/>
            </w:pPr>
            <w:r>
              <w:rPr>
                <w:rFonts w:hint="eastAsia"/>
              </w:rPr>
              <w:t>1</w:t>
            </w:r>
          </w:p>
        </w:tc>
        <w:tc>
          <w:tcPr>
            <w:tcW w:w="888" w:type="pct"/>
            <w:vAlign w:val="center"/>
          </w:tcPr>
          <w:p>
            <w:pPr>
              <w:pStyle w:val="38"/>
            </w:pPr>
            <w:r>
              <w:rPr>
                <w:rFonts w:hint="eastAsia"/>
              </w:rPr>
              <w:t>邵家渡建筑渣土资源化利用项目</w:t>
            </w:r>
          </w:p>
        </w:tc>
        <w:tc>
          <w:tcPr>
            <w:tcW w:w="607" w:type="pct"/>
            <w:vAlign w:val="center"/>
          </w:tcPr>
          <w:p>
            <w:pPr>
              <w:pStyle w:val="38"/>
            </w:pPr>
            <w:r>
              <w:rPr>
                <w:rFonts w:hint="eastAsia"/>
              </w:rPr>
              <w:t>25万吨/年</w:t>
            </w:r>
          </w:p>
        </w:tc>
        <w:tc>
          <w:tcPr>
            <w:tcW w:w="760" w:type="pct"/>
            <w:vAlign w:val="center"/>
          </w:tcPr>
          <w:p>
            <w:pPr>
              <w:pStyle w:val="38"/>
            </w:pPr>
            <w:r>
              <w:rPr>
                <w:rFonts w:hint="eastAsia"/>
              </w:rPr>
              <w:t>62.8亩</w:t>
            </w:r>
          </w:p>
        </w:tc>
        <w:tc>
          <w:tcPr>
            <w:tcW w:w="709" w:type="pct"/>
            <w:vAlign w:val="center"/>
          </w:tcPr>
          <w:p>
            <w:pPr>
              <w:pStyle w:val="38"/>
            </w:pPr>
            <w:r>
              <w:rPr>
                <w:rFonts w:hint="eastAsia"/>
              </w:rPr>
              <w:t>4000</w:t>
            </w:r>
          </w:p>
        </w:tc>
        <w:tc>
          <w:tcPr>
            <w:tcW w:w="558" w:type="pct"/>
            <w:vAlign w:val="center"/>
          </w:tcPr>
          <w:p>
            <w:pPr>
              <w:pStyle w:val="38"/>
            </w:pPr>
            <w:r>
              <w:rPr>
                <w:rFonts w:hint="eastAsia"/>
              </w:rPr>
              <w:t>2024-2030</w:t>
            </w:r>
          </w:p>
        </w:tc>
        <w:tc>
          <w:tcPr>
            <w:tcW w:w="912" w:type="pct"/>
            <w:vAlign w:val="center"/>
          </w:tcPr>
          <w:p>
            <w:pPr>
              <w:pStyle w:val="38"/>
            </w:pPr>
            <w:r>
              <w:rPr>
                <w:rFonts w:hint="eastAsia"/>
              </w:rPr>
              <w:t>邵家渡街道人民政府</w:t>
            </w:r>
          </w:p>
        </w:tc>
        <w:tc>
          <w:tcPr>
            <w:tcW w:w="290" w:type="pct"/>
            <w:vAlign w:val="center"/>
          </w:tcPr>
          <w:p>
            <w:pPr>
              <w:pStyle w:val="3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pPr>
              <w:pStyle w:val="38"/>
            </w:pPr>
            <w:r>
              <w:rPr>
                <w:rFonts w:hint="eastAsia"/>
              </w:rPr>
              <w:t>2</w:t>
            </w:r>
          </w:p>
        </w:tc>
        <w:tc>
          <w:tcPr>
            <w:tcW w:w="888" w:type="pct"/>
            <w:vAlign w:val="center"/>
          </w:tcPr>
          <w:p>
            <w:pPr>
              <w:pStyle w:val="38"/>
            </w:pPr>
            <w:r>
              <w:rPr>
                <w:rFonts w:hint="eastAsia"/>
              </w:rPr>
              <w:t>20处建筑垃圾转运站</w:t>
            </w:r>
          </w:p>
        </w:tc>
        <w:tc>
          <w:tcPr>
            <w:tcW w:w="607" w:type="pct"/>
            <w:vAlign w:val="center"/>
          </w:tcPr>
          <w:p>
            <w:pPr>
              <w:pStyle w:val="38"/>
            </w:pPr>
            <w:r>
              <w:rPr>
                <w:rFonts w:hint="eastAsia"/>
              </w:rPr>
              <w:t>—</w:t>
            </w:r>
          </w:p>
        </w:tc>
        <w:tc>
          <w:tcPr>
            <w:tcW w:w="760" w:type="pct"/>
            <w:vAlign w:val="center"/>
          </w:tcPr>
          <w:p>
            <w:pPr>
              <w:pStyle w:val="38"/>
            </w:pPr>
            <w:r>
              <w:rPr>
                <w:rFonts w:hint="eastAsia"/>
              </w:rPr>
              <w:t>≥3000平方米/处</w:t>
            </w:r>
          </w:p>
        </w:tc>
        <w:tc>
          <w:tcPr>
            <w:tcW w:w="709" w:type="pct"/>
            <w:vAlign w:val="center"/>
          </w:tcPr>
          <w:p>
            <w:pPr>
              <w:pStyle w:val="38"/>
            </w:pPr>
            <w:r>
              <w:rPr>
                <w:rFonts w:hint="eastAsia"/>
              </w:rPr>
              <w:t>2000</w:t>
            </w:r>
          </w:p>
        </w:tc>
        <w:tc>
          <w:tcPr>
            <w:tcW w:w="558" w:type="pct"/>
            <w:vAlign w:val="center"/>
          </w:tcPr>
          <w:p>
            <w:pPr>
              <w:pStyle w:val="38"/>
            </w:pPr>
            <w:r>
              <w:rPr>
                <w:rFonts w:hint="eastAsia"/>
              </w:rPr>
              <w:t>2024-2030</w:t>
            </w:r>
          </w:p>
        </w:tc>
        <w:tc>
          <w:tcPr>
            <w:tcW w:w="912" w:type="pct"/>
            <w:vAlign w:val="center"/>
          </w:tcPr>
          <w:p>
            <w:pPr>
              <w:pStyle w:val="38"/>
            </w:pPr>
            <w:r>
              <w:rPr>
                <w:rFonts w:hint="eastAsia"/>
              </w:rPr>
              <w:t>属地镇街</w:t>
            </w:r>
          </w:p>
        </w:tc>
        <w:tc>
          <w:tcPr>
            <w:tcW w:w="290" w:type="pct"/>
            <w:vAlign w:val="center"/>
          </w:tcPr>
          <w:p>
            <w:pPr>
              <w:pStyle w:val="3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pPr>
              <w:pStyle w:val="38"/>
            </w:pPr>
            <w:r>
              <w:rPr>
                <w:rFonts w:hint="eastAsia"/>
              </w:rPr>
              <w:t>3</w:t>
            </w:r>
          </w:p>
        </w:tc>
        <w:tc>
          <w:tcPr>
            <w:tcW w:w="888" w:type="pct"/>
            <w:vAlign w:val="center"/>
          </w:tcPr>
          <w:p>
            <w:pPr>
              <w:pStyle w:val="38"/>
            </w:pPr>
            <w:r>
              <w:rPr>
                <w:rFonts w:hint="eastAsia"/>
              </w:rPr>
              <w:t>临海市工程渣土消纳场选址及建设项目</w:t>
            </w:r>
          </w:p>
        </w:tc>
        <w:tc>
          <w:tcPr>
            <w:tcW w:w="607" w:type="pct"/>
            <w:vAlign w:val="center"/>
          </w:tcPr>
          <w:p>
            <w:pPr>
              <w:pStyle w:val="38"/>
            </w:pPr>
            <w:r>
              <w:rPr>
                <w:rFonts w:hint="eastAsia"/>
              </w:rPr>
              <w:t>250万吨</w:t>
            </w:r>
          </w:p>
        </w:tc>
        <w:tc>
          <w:tcPr>
            <w:tcW w:w="760" w:type="pct"/>
            <w:vAlign w:val="center"/>
          </w:tcPr>
          <w:p>
            <w:pPr>
              <w:pStyle w:val="38"/>
            </w:pPr>
            <w:r>
              <w:rPr>
                <w:rFonts w:hint="eastAsia"/>
              </w:rPr>
              <w:t>—</w:t>
            </w:r>
          </w:p>
        </w:tc>
        <w:tc>
          <w:tcPr>
            <w:tcW w:w="709" w:type="pct"/>
            <w:vAlign w:val="center"/>
          </w:tcPr>
          <w:p>
            <w:pPr>
              <w:pStyle w:val="38"/>
            </w:pPr>
            <w:r>
              <w:rPr>
                <w:rFonts w:hint="eastAsia"/>
              </w:rPr>
              <w:t>2500</w:t>
            </w:r>
          </w:p>
        </w:tc>
        <w:tc>
          <w:tcPr>
            <w:tcW w:w="558" w:type="pct"/>
            <w:vAlign w:val="center"/>
          </w:tcPr>
          <w:p>
            <w:pPr>
              <w:pStyle w:val="38"/>
            </w:pPr>
            <w:r>
              <w:rPr>
                <w:rFonts w:hint="eastAsia"/>
              </w:rPr>
              <w:t>2024-2030</w:t>
            </w:r>
          </w:p>
        </w:tc>
        <w:tc>
          <w:tcPr>
            <w:tcW w:w="912" w:type="pct"/>
            <w:vAlign w:val="center"/>
          </w:tcPr>
          <w:p>
            <w:pPr>
              <w:pStyle w:val="38"/>
            </w:pPr>
            <w:r>
              <w:rPr>
                <w:rFonts w:hint="eastAsia"/>
              </w:rPr>
              <w:t>杜桥镇人民政府</w:t>
            </w:r>
          </w:p>
        </w:tc>
        <w:tc>
          <w:tcPr>
            <w:tcW w:w="290" w:type="pct"/>
            <w:vAlign w:val="center"/>
          </w:tcPr>
          <w:p>
            <w:pPr>
              <w:pStyle w:val="3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pPr>
              <w:pStyle w:val="38"/>
              <w:rPr>
                <w:highlight w:val="cyan"/>
              </w:rPr>
            </w:pPr>
            <w:r>
              <w:rPr>
                <w:rFonts w:hint="eastAsia"/>
                <w:highlight w:val="cyan"/>
              </w:rPr>
              <w:t>4</w:t>
            </w:r>
          </w:p>
        </w:tc>
        <w:tc>
          <w:tcPr>
            <w:tcW w:w="888" w:type="pct"/>
            <w:vAlign w:val="center"/>
          </w:tcPr>
          <w:p>
            <w:pPr>
              <w:pStyle w:val="38"/>
              <w:rPr>
                <w:highlight w:val="cyan"/>
              </w:rPr>
            </w:pPr>
            <w:r>
              <w:rPr>
                <w:rFonts w:hint="eastAsia"/>
                <w:highlight w:val="cyan"/>
              </w:rPr>
              <w:t>白水洋镇大件垃圾及建筑垃圾处理中心</w:t>
            </w:r>
          </w:p>
        </w:tc>
        <w:tc>
          <w:tcPr>
            <w:tcW w:w="607" w:type="pct"/>
            <w:vAlign w:val="center"/>
          </w:tcPr>
          <w:p>
            <w:pPr>
              <w:pStyle w:val="38"/>
              <w:rPr>
                <w:highlight w:val="cyan"/>
              </w:rPr>
            </w:pPr>
            <w:r>
              <w:rPr>
                <w:rFonts w:hint="eastAsia"/>
                <w:highlight w:val="cyan"/>
              </w:rPr>
              <w:t>10万吨/年</w:t>
            </w:r>
          </w:p>
        </w:tc>
        <w:tc>
          <w:tcPr>
            <w:tcW w:w="760" w:type="pct"/>
            <w:vAlign w:val="center"/>
          </w:tcPr>
          <w:p>
            <w:pPr>
              <w:pStyle w:val="38"/>
              <w:rPr>
                <w:highlight w:val="cyan"/>
              </w:rPr>
            </w:pPr>
            <w:r>
              <w:rPr>
                <w:rFonts w:hint="eastAsia"/>
                <w:highlight w:val="cyan"/>
              </w:rPr>
              <w:t>—</w:t>
            </w:r>
          </w:p>
        </w:tc>
        <w:tc>
          <w:tcPr>
            <w:tcW w:w="709" w:type="pct"/>
            <w:vAlign w:val="center"/>
          </w:tcPr>
          <w:p>
            <w:pPr>
              <w:pStyle w:val="38"/>
              <w:rPr>
                <w:highlight w:val="cyan"/>
              </w:rPr>
            </w:pPr>
            <w:r>
              <w:rPr>
                <w:rFonts w:hint="eastAsia"/>
                <w:highlight w:val="cyan"/>
              </w:rPr>
              <w:t>2000</w:t>
            </w:r>
          </w:p>
        </w:tc>
        <w:tc>
          <w:tcPr>
            <w:tcW w:w="558" w:type="pct"/>
            <w:vAlign w:val="center"/>
          </w:tcPr>
          <w:p>
            <w:pPr>
              <w:pStyle w:val="38"/>
              <w:rPr>
                <w:highlight w:val="cyan"/>
              </w:rPr>
            </w:pPr>
            <w:r>
              <w:rPr>
                <w:rFonts w:hint="eastAsia"/>
                <w:highlight w:val="cyan"/>
              </w:rPr>
              <w:t>2024-2030</w:t>
            </w:r>
          </w:p>
        </w:tc>
        <w:tc>
          <w:tcPr>
            <w:tcW w:w="912" w:type="pct"/>
            <w:vAlign w:val="center"/>
          </w:tcPr>
          <w:p>
            <w:pPr>
              <w:pStyle w:val="38"/>
              <w:rPr>
                <w:highlight w:val="cyan"/>
              </w:rPr>
            </w:pPr>
            <w:r>
              <w:rPr>
                <w:rFonts w:hint="eastAsia"/>
              </w:rPr>
              <w:t>白水洋镇人民政府</w:t>
            </w:r>
          </w:p>
        </w:tc>
        <w:tc>
          <w:tcPr>
            <w:tcW w:w="290" w:type="pct"/>
            <w:vAlign w:val="center"/>
          </w:tcPr>
          <w:p>
            <w:pPr>
              <w:pStyle w:val="38"/>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pPr>
              <w:pStyle w:val="38"/>
              <w:rPr>
                <w:highlight w:val="cyan"/>
              </w:rPr>
            </w:pPr>
            <w:r>
              <w:rPr>
                <w:rFonts w:hint="eastAsia"/>
                <w:highlight w:val="cyan"/>
              </w:rPr>
              <w:t>5</w:t>
            </w:r>
          </w:p>
        </w:tc>
        <w:tc>
          <w:tcPr>
            <w:tcW w:w="888" w:type="pct"/>
            <w:vAlign w:val="center"/>
          </w:tcPr>
          <w:p>
            <w:pPr>
              <w:pStyle w:val="38"/>
              <w:rPr>
                <w:highlight w:val="cyan"/>
              </w:rPr>
            </w:pPr>
            <w:r>
              <w:rPr>
                <w:rFonts w:hint="eastAsia"/>
                <w:highlight w:val="cyan"/>
              </w:rPr>
              <w:t>头门港建筑垃圾资源化利用项目</w:t>
            </w:r>
          </w:p>
        </w:tc>
        <w:tc>
          <w:tcPr>
            <w:tcW w:w="607" w:type="pct"/>
            <w:vAlign w:val="center"/>
          </w:tcPr>
          <w:p>
            <w:pPr>
              <w:pStyle w:val="38"/>
              <w:rPr>
                <w:highlight w:val="cyan"/>
              </w:rPr>
            </w:pPr>
            <w:r>
              <w:rPr>
                <w:rFonts w:hint="eastAsia"/>
                <w:highlight w:val="cyan"/>
              </w:rPr>
              <w:t>10万吨/年</w:t>
            </w:r>
          </w:p>
        </w:tc>
        <w:tc>
          <w:tcPr>
            <w:tcW w:w="760" w:type="pct"/>
            <w:vAlign w:val="center"/>
          </w:tcPr>
          <w:p>
            <w:pPr>
              <w:pStyle w:val="38"/>
              <w:rPr>
                <w:highlight w:val="cyan"/>
              </w:rPr>
            </w:pPr>
            <w:r>
              <w:rPr>
                <w:rFonts w:hint="eastAsia"/>
                <w:highlight w:val="cyan"/>
              </w:rPr>
              <w:t>—</w:t>
            </w:r>
          </w:p>
        </w:tc>
        <w:tc>
          <w:tcPr>
            <w:tcW w:w="709" w:type="pct"/>
            <w:vAlign w:val="center"/>
          </w:tcPr>
          <w:p>
            <w:pPr>
              <w:pStyle w:val="38"/>
              <w:rPr>
                <w:highlight w:val="cyan"/>
              </w:rPr>
            </w:pPr>
            <w:r>
              <w:rPr>
                <w:rFonts w:hint="eastAsia"/>
                <w:highlight w:val="cyan"/>
              </w:rPr>
              <w:t>2000</w:t>
            </w:r>
          </w:p>
        </w:tc>
        <w:tc>
          <w:tcPr>
            <w:tcW w:w="558" w:type="pct"/>
            <w:vAlign w:val="center"/>
          </w:tcPr>
          <w:p>
            <w:pPr>
              <w:pStyle w:val="38"/>
              <w:rPr>
                <w:highlight w:val="cyan"/>
              </w:rPr>
            </w:pPr>
            <w:r>
              <w:rPr>
                <w:rFonts w:hint="eastAsia"/>
                <w:highlight w:val="cyan"/>
              </w:rPr>
              <w:t>2024-2030</w:t>
            </w:r>
          </w:p>
        </w:tc>
        <w:tc>
          <w:tcPr>
            <w:tcW w:w="912" w:type="pct"/>
            <w:vAlign w:val="center"/>
          </w:tcPr>
          <w:p>
            <w:pPr>
              <w:pStyle w:val="38"/>
              <w:rPr>
                <w:highlight w:val="cyan"/>
              </w:rPr>
            </w:pPr>
            <w:r>
              <w:rPr>
                <w:rFonts w:hint="eastAsia"/>
              </w:rPr>
              <w:t>台州湾经济技术开发区</w:t>
            </w:r>
          </w:p>
        </w:tc>
        <w:tc>
          <w:tcPr>
            <w:tcW w:w="290" w:type="pct"/>
            <w:vAlign w:val="center"/>
          </w:tcPr>
          <w:p>
            <w:pPr>
              <w:pStyle w:val="38"/>
              <w:rPr>
                <w:highlight w:val="cyan"/>
              </w:rPr>
            </w:pPr>
          </w:p>
        </w:tc>
      </w:tr>
    </w:tbl>
    <w:p>
      <w:pPr>
        <w:ind w:firstLine="0" w:firstLineChars="0"/>
      </w:pPr>
    </w:p>
    <w:sectPr>
      <w:pgSz w:w="16838" w:h="11906" w:orient="landscape"/>
      <w:pgMar w:top="1418" w:right="1418" w:bottom="1418" w:left="1418"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5715111"/>
      <w:docPartObj>
        <w:docPartGallery w:val="AutoText"/>
      </w:docPartObj>
    </w:sdtPr>
    <w:sdtEndPr>
      <w:rPr>
        <w:rFonts w:cs="Times New Roman"/>
        <w:sz w:val="21"/>
        <w:szCs w:val="21"/>
      </w:rPr>
    </w:sdtEndPr>
    <w:sdtContent>
      <w:p>
        <w:pPr>
          <w:pStyle w:val="12"/>
          <w:ind w:firstLine="360"/>
          <w:jc w:val="center"/>
          <w:rPr>
            <w:rFonts w:cs="Times New Roman"/>
            <w:sz w:val="21"/>
            <w:szCs w:val="21"/>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1404638"/>
      <w:docPartObj>
        <w:docPartGallery w:val="AutoText"/>
      </w:docPartObj>
    </w:sdtPr>
    <w:sdtEndPr>
      <w:rPr>
        <w:rFonts w:cs="Times New Roman"/>
        <w:sz w:val="21"/>
        <w:szCs w:val="21"/>
      </w:rPr>
    </w:sdtEndPr>
    <w:sdtContent>
      <w:p>
        <w:pPr>
          <w:pStyle w:val="12"/>
          <w:ind w:firstLine="360"/>
          <w:jc w:val="center"/>
          <w:rPr>
            <w:rFonts w:cs="Times New Roman"/>
            <w:sz w:val="21"/>
            <w:szCs w:val="21"/>
          </w:rPr>
        </w:pPr>
        <w:r>
          <w:rPr>
            <w:rFonts w:cs="Times New Roman"/>
            <w:sz w:val="21"/>
            <w:szCs w:val="21"/>
          </w:rPr>
          <w:fldChar w:fldCharType="begin"/>
        </w:r>
        <w:r>
          <w:rPr>
            <w:rFonts w:cs="Times New Roman"/>
            <w:sz w:val="21"/>
            <w:szCs w:val="21"/>
          </w:rPr>
          <w:instrText xml:space="preserve">PAGE   \* MERGEFORMAT</w:instrText>
        </w:r>
        <w:r>
          <w:rPr>
            <w:rFonts w:cs="Times New Roman"/>
            <w:sz w:val="21"/>
            <w:szCs w:val="21"/>
          </w:rPr>
          <w:fldChar w:fldCharType="separate"/>
        </w:r>
        <w:r>
          <w:rPr>
            <w:rFonts w:cs="Times New Roman"/>
            <w:sz w:val="21"/>
            <w:szCs w:val="21"/>
            <w:lang w:val="zh-CN"/>
          </w:rPr>
          <w:t>2</w:t>
        </w:r>
        <w:r>
          <w:rPr>
            <w:rFonts w:cs="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2B7BF0"/>
    <w:multiLevelType w:val="multilevel"/>
    <w:tmpl w:val="082B7BF0"/>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8A64DBA"/>
    <w:multiLevelType w:val="multilevel"/>
    <w:tmpl w:val="18A64DBA"/>
    <w:lvl w:ilvl="0" w:tentative="0">
      <w:start w:val="1"/>
      <w:numFmt w:val="decimal"/>
      <w:lvlText w:val="（%1）"/>
      <w:lvlJc w:val="left"/>
      <w:pPr>
        <w:ind w:left="1080" w:hanging="440"/>
      </w:pPr>
      <w:rPr>
        <w:rFonts w:hint="eastAsia"/>
      </w:rPr>
    </w:lvl>
    <w:lvl w:ilvl="1" w:tentative="0">
      <w:start w:val="1"/>
      <w:numFmt w:val="decimal"/>
      <w:suff w:val="nothing"/>
      <w:lvlText w:val="（%2）"/>
      <w:lvlJc w:val="left"/>
      <w:pPr>
        <w:ind w:left="0" w:firstLine="44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94C6EC8"/>
    <w:multiLevelType w:val="multilevel"/>
    <w:tmpl w:val="594C6EC8"/>
    <w:lvl w:ilvl="0" w:tentative="0">
      <w:start w:val="1"/>
      <w:numFmt w:val="decimal"/>
      <w:pStyle w:val="2"/>
      <w:suff w:val="space"/>
      <w:lvlText w:val="%1"/>
      <w:lvlJc w:val="left"/>
      <w:pPr>
        <w:ind w:left="0" w:firstLine="0"/>
      </w:pPr>
      <w:rPr>
        <w:rFonts w:hint="eastAsia"/>
      </w:rPr>
    </w:lvl>
    <w:lvl w:ilvl="1" w:tentative="0">
      <w:start w:val="1"/>
      <w:numFmt w:val="decimal"/>
      <w:pStyle w:val="3"/>
      <w:suff w:val="space"/>
      <w:lvlText w:val="%1.%2"/>
      <w:lvlJc w:val="left"/>
      <w:pPr>
        <w:ind w:left="0" w:firstLine="0"/>
      </w:pPr>
      <w:rPr>
        <w:rFonts w:hint="eastAsia"/>
      </w:rPr>
    </w:lvl>
    <w:lvl w:ilvl="2" w:tentative="0">
      <w:start w:val="1"/>
      <w:numFmt w:val="decimal"/>
      <w:pStyle w:val="30"/>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77B22C60"/>
    <w:multiLevelType w:val="multilevel"/>
    <w:tmpl w:val="77B22C60"/>
    <w:lvl w:ilvl="0" w:tentative="0">
      <w:start w:val="1"/>
      <w:numFmt w:val="decimal"/>
      <w:suff w:val="nothing"/>
      <w:lvlText w:val="（%1）"/>
      <w:lvlJc w:val="left"/>
      <w:pPr>
        <w:ind w:left="0" w:firstLine="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iYTM4NWVkMjM4OTg1OGM1NTQzNDAzYWU4NDAwYTQifQ=="/>
  </w:docVars>
  <w:rsids>
    <w:rsidRoot w:val="00E17252"/>
    <w:rsid w:val="0000370B"/>
    <w:rsid w:val="00004786"/>
    <w:rsid w:val="00007AFA"/>
    <w:rsid w:val="0001029C"/>
    <w:rsid w:val="00011E65"/>
    <w:rsid w:val="000122FD"/>
    <w:rsid w:val="00012F08"/>
    <w:rsid w:val="00015F99"/>
    <w:rsid w:val="000238F9"/>
    <w:rsid w:val="00024DCC"/>
    <w:rsid w:val="00031ADB"/>
    <w:rsid w:val="000346E6"/>
    <w:rsid w:val="00035260"/>
    <w:rsid w:val="00036259"/>
    <w:rsid w:val="00041973"/>
    <w:rsid w:val="00041AC9"/>
    <w:rsid w:val="0005754C"/>
    <w:rsid w:val="00063E52"/>
    <w:rsid w:val="000651F6"/>
    <w:rsid w:val="00066BF1"/>
    <w:rsid w:val="00074BBF"/>
    <w:rsid w:val="00083D91"/>
    <w:rsid w:val="00093930"/>
    <w:rsid w:val="000A0B66"/>
    <w:rsid w:val="000A7970"/>
    <w:rsid w:val="000C356F"/>
    <w:rsid w:val="000C5C63"/>
    <w:rsid w:val="000C6B53"/>
    <w:rsid w:val="000C7904"/>
    <w:rsid w:val="000D2551"/>
    <w:rsid w:val="000D643D"/>
    <w:rsid w:val="000E201F"/>
    <w:rsid w:val="000E6814"/>
    <w:rsid w:val="000E6FE1"/>
    <w:rsid w:val="000E7B22"/>
    <w:rsid w:val="000E7C59"/>
    <w:rsid w:val="000F0DE7"/>
    <w:rsid w:val="000F1A37"/>
    <w:rsid w:val="00102E99"/>
    <w:rsid w:val="00107DE9"/>
    <w:rsid w:val="00110545"/>
    <w:rsid w:val="001135C7"/>
    <w:rsid w:val="0011491D"/>
    <w:rsid w:val="00114E4E"/>
    <w:rsid w:val="00131FB4"/>
    <w:rsid w:val="00136394"/>
    <w:rsid w:val="001366E9"/>
    <w:rsid w:val="00143888"/>
    <w:rsid w:val="00143B1F"/>
    <w:rsid w:val="00143F40"/>
    <w:rsid w:val="0014565D"/>
    <w:rsid w:val="00145DE3"/>
    <w:rsid w:val="00157CE5"/>
    <w:rsid w:val="001601F0"/>
    <w:rsid w:val="001618BE"/>
    <w:rsid w:val="001622BD"/>
    <w:rsid w:val="0016638A"/>
    <w:rsid w:val="0017181F"/>
    <w:rsid w:val="001822B4"/>
    <w:rsid w:val="00186EB6"/>
    <w:rsid w:val="001870E3"/>
    <w:rsid w:val="001938AB"/>
    <w:rsid w:val="00194407"/>
    <w:rsid w:val="00195C7A"/>
    <w:rsid w:val="00196ACA"/>
    <w:rsid w:val="00197265"/>
    <w:rsid w:val="00197372"/>
    <w:rsid w:val="001A3234"/>
    <w:rsid w:val="001A6447"/>
    <w:rsid w:val="001B4091"/>
    <w:rsid w:val="001C6FC7"/>
    <w:rsid w:val="001D582E"/>
    <w:rsid w:val="001E1844"/>
    <w:rsid w:val="001E229C"/>
    <w:rsid w:val="001E44A1"/>
    <w:rsid w:val="001E4DE8"/>
    <w:rsid w:val="001F1EB1"/>
    <w:rsid w:val="001F36D3"/>
    <w:rsid w:val="00200157"/>
    <w:rsid w:val="00202996"/>
    <w:rsid w:val="00207B49"/>
    <w:rsid w:val="00210EE1"/>
    <w:rsid w:val="002122DC"/>
    <w:rsid w:val="00213F11"/>
    <w:rsid w:val="00214CA8"/>
    <w:rsid w:val="00220237"/>
    <w:rsid w:val="00243110"/>
    <w:rsid w:val="00244D16"/>
    <w:rsid w:val="00247E8B"/>
    <w:rsid w:val="00253165"/>
    <w:rsid w:val="002545FF"/>
    <w:rsid w:val="0026545B"/>
    <w:rsid w:val="00270536"/>
    <w:rsid w:val="002708CC"/>
    <w:rsid w:val="00271CCA"/>
    <w:rsid w:val="002754FA"/>
    <w:rsid w:val="002823FB"/>
    <w:rsid w:val="002829DD"/>
    <w:rsid w:val="00295DF8"/>
    <w:rsid w:val="002A760B"/>
    <w:rsid w:val="002B43F4"/>
    <w:rsid w:val="002B5D62"/>
    <w:rsid w:val="002B65E6"/>
    <w:rsid w:val="002B75CC"/>
    <w:rsid w:val="002C316A"/>
    <w:rsid w:val="002C350A"/>
    <w:rsid w:val="002C4831"/>
    <w:rsid w:val="002C5A37"/>
    <w:rsid w:val="002C6E0F"/>
    <w:rsid w:val="002C7031"/>
    <w:rsid w:val="002D2215"/>
    <w:rsid w:val="002F0FBB"/>
    <w:rsid w:val="002F1C69"/>
    <w:rsid w:val="002F1F08"/>
    <w:rsid w:val="002F3F36"/>
    <w:rsid w:val="002F7F54"/>
    <w:rsid w:val="0030789E"/>
    <w:rsid w:val="00310C23"/>
    <w:rsid w:val="00310F81"/>
    <w:rsid w:val="00312131"/>
    <w:rsid w:val="00317579"/>
    <w:rsid w:val="00320763"/>
    <w:rsid w:val="00320988"/>
    <w:rsid w:val="0033211A"/>
    <w:rsid w:val="0033466B"/>
    <w:rsid w:val="0033526C"/>
    <w:rsid w:val="00337C29"/>
    <w:rsid w:val="00341D13"/>
    <w:rsid w:val="003469EA"/>
    <w:rsid w:val="00347CF1"/>
    <w:rsid w:val="00350F83"/>
    <w:rsid w:val="00357E65"/>
    <w:rsid w:val="00363BFA"/>
    <w:rsid w:val="003807C7"/>
    <w:rsid w:val="0038764A"/>
    <w:rsid w:val="00396480"/>
    <w:rsid w:val="003A6D98"/>
    <w:rsid w:val="003B000B"/>
    <w:rsid w:val="003B3EA3"/>
    <w:rsid w:val="003B43BB"/>
    <w:rsid w:val="003D34B9"/>
    <w:rsid w:val="003E18A9"/>
    <w:rsid w:val="003E1FA7"/>
    <w:rsid w:val="003F00D1"/>
    <w:rsid w:val="003F557B"/>
    <w:rsid w:val="003F69CC"/>
    <w:rsid w:val="003F7796"/>
    <w:rsid w:val="00401B45"/>
    <w:rsid w:val="004062B7"/>
    <w:rsid w:val="004071CE"/>
    <w:rsid w:val="004127B5"/>
    <w:rsid w:val="004129CF"/>
    <w:rsid w:val="0041437F"/>
    <w:rsid w:val="00414CC3"/>
    <w:rsid w:val="00415F98"/>
    <w:rsid w:val="00420810"/>
    <w:rsid w:val="00421025"/>
    <w:rsid w:val="00421CA4"/>
    <w:rsid w:val="00427FD1"/>
    <w:rsid w:val="00430459"/>
    <w:rsid w:val="0043275E"/>
    <w:rsid w:val="004349DE"/>
    <w:rsid w:val="004376D6"/>
    <w:rsid w:val="00437925"/>
    <w:rsid w:val="00442020"/>
    <w:rsid w:val="00446F38"/>
    <w:rsid w:val="004520DD"/>
    <w:rsid w:val="004546C7"/>
    <w:rsid w:val="00455D0B"/>
    <w:rsid w:val="0046759E"/>
    <w:rsid w:val="00470C32"/>
    <w:rsid w:val="00471BAB"/>
    <w:rsid w:val="004728E8"/>
    <w:rsid w:val="00474396"/>
    <w:rsid w:val="00476514"/>
    <w:rsid w:val="00481A16"/>
    <w:rsid w:val="00481E5C"/>
    <w:rsid w:val="00482779"/>
    <w:rsid w:val="00490CE0"/>
    <w:rsid w:val="0049196F"/>
    <w:rsid w:val="00492703"/>
    <w:rsid w:val="004A0045"/>
    <w:rsid w:val="004A296C"/>
    <w:rsid w:val="004A6D0D"/>
    <w:rsid w:val="004B3FAA"/>
    <w:rsid w:val="004B6AC3"/>
    <w:rsid w:val="004C74C6"/>
    <w:rsid w:val="004C7D8B"/>
    <w:rsid w:val="004D584F"/>
    <w:rsid w:val="004D5B12"/>
    <w:rsid w:val="004D6A1C"/>
    <w:rsid w:val="004E0408"/>
    <w:rsid w:val="004E04C4"/>
    <w:rsid w:val="004F0B90"/>
    <w:rsid w:val="004F5EA4"/>
    <w:rsid w:val="00501B21"/>
    <w:rsid w:val="00507A31"/>
    <w:rsid w:val="00512F91"/>
    <w:rsid w:val="00515F36"/>
    <w:rsid w:val="00517BB0"/>
    <w:rsid w:val="005228D8"/>
    <w:rsid w:val="00526502"/>
    <w:rsid w:val="005276E9"/>
    <w:rsid w:val="00531FAF"/>
    <w:rsid w:val="00533C0B"/>
    <w:rsid w:val="00551EBB"/>
    <w:rsid w:val="00555BEE"/>
    <w:rsid w:val="0056207F"/>
    <w:rsid w:val="005631D8"/>
    <w:rsid w:val="00566820"/>
    <w:rsid w:val="005677ED"/>
    <w:rsid w:val="0057200C"/>
    <w:rsid w:val="00573000"/>
    <w:rsid w:val="0059241C"/>
    <w:rsid w:val="005A3C43"/>
    <w:rsid w:val="005A5EB7"/>
    <w:rsid w:val="005A66F3"/>
    <w:rsid w:val="005B7D72"/>
    <w:rsid w:val="005C52DA"/>
    <w:rsid w:val="005C6185"/>
    <w:rsid w:val="005C79E0"/>
    <w:rsid w:val="005C7F6E"/>
    <w:rsid w:val="005E03BE"/>
    <w:rsid w:val="005E0622"/>
    <w:rsid w:val="005E6709"/>
    <w:rsid w:val="005F36D5"/>
    <w:rsid w:val="005F54FB"/>
    <w:rsid w:val="005F72A4"/>
    <w:rsid w:val="00600E4C"/>
    <w:rsid w:val="00620C2B"/>
    <w:rsid w:val="00630916"/>
    <w:rsid w:val="006335BF"/>
    <w:rsid w:val="0064131C"/>
    <w:rsid w:val="00642A9E"/>
    <w:rsid w:val="0064512D"/>
    <w:rsid w:val="00647995"/>
    <w:rsid w:val="00647DF1"/>
    <w:rsid w:val="00655E57"/>
    <w:rsid w:val="00664F19"/>
    <w:rsid w:val="00665818"/>
    <w:rsid w:val="00671EE5"/>
    <w:rsid w:val="0067505C"/>
    <w:rsid w:val="006750EB"/>
    <w:rsid w:val="006755AE"/>
    <w:rsid w:val="0068109A"/>
    <w:rsid w:val="00683BE9"/>
    <w:rsid w:val="006935B0"/>
    <w:rsid w:val="0069429D"/>
    <w:rsid w:val="00696A64"/>
    <w:rsid w:val="006A4F31"/>
    <w:rsid w:val="006B171A"/>
    <w:rsid w:val="006B3C3A"/>
    <w:rsid w:val="006C7C3B"/>
    <w:rsid w:val="006D10B4"/>
    <w:rsid w:val="006D2067"/>
    <w:rsid w:val="006E1245"/>
    <w:rsid w:val="006E39E2"/>
    <w:rsid w:val="006E5A07"/>
    <w:rsid w:val="006E7848"/>
    <w:rsid w:val="006F0DBC"/>
    <w:rsid w:val="006F2542"/>
    <w:rsid w:val="006F44C4"/>
    <w:rsid w:val="006F5950"/>
    <w:rsid w:val="007002DB"/>
    <w:rsid w:val="007016B8"/>
    <w:rsid w:val="00710E54"/>
    <w:rsid w:val="007308F8"/>
    <w:rsid w:val="00733F42"/>
    <w:rsid w:val="00735D16"/>
    <w:rsid w:val="00740B3E"/>
    <w:rsid w:val="0074357B"/>
    <w:rsid w:val="0075160E"/>
    <w:rsid w:val="00754B22"/>
    <w:rsid w:val="00754C9A"/>
    <w:rsid w:val="00763A01"/>
    <w:rsid w:val="0076511F"/>
    <w:rsid w:val="00765DBA"/>
    <w:rsid w:val="007739DD"/>
    <w:rsid w:val="00777D40"/>
    <w:rsid w:val="00781725"/>
    <w:rsid w:val="00781D9E"/>
    <w:rsid w:val="00782BA1"/>
    <w:rsid w:val="007839C4"/>
    <w:rsid w:val="007A1F3E"/>
    <w:rsid w:val="007B0DD4"/>
    <w:rsid w:val="007B4522"/>
    <w:rsid w:val="007B4B69"/>
    <w:rsid w:val="007C44A2"/>
    <w:rsid w:val="007C6988"/>
    <w:rsid w:val="007D2EBC"/>
    <w:rsid w:val="007D3720"/>
    <w:rsid w:val="007D5CCF"/>
    <w:rsid w:val="007D7923"/>
    <w:rsid w:val="007E4443"/>
    <w:rsid w:val="007F1926"/>
    <w:rsid w:val="007F4257"/>
    <w:rsid w:val="007F5C77"/>
    <w:rsid w:val="00803042"/>
    <w:rsid w:val="00806CC6"/>
    <w:rsid w:val="00813A75"/>
    <w:rsid w:val="00814524"/>
    <w:rsid w:val="00814B13"/>
    <w:rsid w:val="00817A24"/>
    <w:rsid w:val="00817D67"/>
    <w:rsid w:val="00826DD2"/>
    <w:rsid w:val="00832549"/>
    <w:rsid w:val="0084061E"/>
    <w:rsid w:val="00840758"/>
    <w:rsid w:val="0084317D"/>
    <w:rsid w:val="00850152"/>
    <w:rsid w:val="008535A1"/>
    <w:rsid w:val="00867D94"/>
    <w:rsid w:val="0087277E"/>
    <w:rsid w:val="00874952"/>
    <w:rsid w:val="0088767E"/>
    <w:rsid w:val="0089338F"/>
    <w:rsid w:val="008936BB"/>
    <w:rsid w:val="008B3FAB"/>
    <w:rsid w:val="008D40F2"/>
    <w:rsid w:val="008D7BEC"/>
    <w:rsid w:val="008E10E5"/>
    <w:rsid w:val="008E2C3E"/>
    <w:rsid w:val="008E5DD5"/>
    <w:rsid w:val="008F719F"/>
    <w:rsid w:val="009043BB"/>
    <w:rsid w:val="00904A32"/>
    <w:rsid w:val="00904CEE"/>
    <w:rsid w:val="009070AF"/>
    <w:rsid w:val="009071F5"/>
    <w:rsid w:val="00911B71"/>
    <w:rsid w:val="00924AB6"/>
    <w:rsid w:val="00924B8D"/>
    <w:rsid w:val="0093330E"/>
    <w:rsid w:val="00933F7A"/>
    <w:rsid w:val="00937199"/>
    <w:rsid w:val="009450B3"/>
    <w:rsid w:val="00950BE3"/>
    <w:rsid w:val="009556C6"/>
    <w:rsid w:val="0095646E"/>
    <w:rsid w:val="00960669"/>
    <w:rsid w:val="00961B95"/>
    <w:rsid w:val="00963E98"/>
    <w:rsid w:val="00965226"/>
    <w:rsid w:val="009661C2"/>
    <w:rsid w:val="00973415"/>
    <w:rsid w:val="00977C52"/>
    <w:rsid w:val="009827C5"/>
    <w:rsid w:val="00990F61"/>
    <w:rsid w:val="009944DD"/>
    <w:rsid w:val="009A1263"/>
    <w:rsid w:val="009A213A"/>
    <w:rsid w:val="009B56A5"/>
    <w:rsid w:val="009C015C"/>
    <w:rsid w:val="009C3348"/>
    <w:rsid w:val="009C4ABC"/>
    <w:rsid w:val="009C5A1F"/>
    <w:rsid w:val="009D3407"/>
    <w:rsid w:val="009D3B8B"/>
    <w:rsid w:val="009D57A2"/>
    <w:rsid w:val="009E1C66"/>
    <w:rsid w:val="009E3240"/>
    <w:rsid w:val="009E64D7"/>
    <w:rsid w:val="009E744D"/>
    <w:rsid w:val="009F08DB"/>
    <w:rsid w:val="009F1FAB"/>
    <w:rsid w:val="00A00E1E"/>
    <w:rsid w:val="00A104FA"/>
    <w:rsid w:val="00A121B5"/>
    <w:rsid w:val="00A2095E"/>
    <w:rsid w:val="00A243C0"/>
    <w:rsid w:val="00A30C8F"/>
    <w:rsid w:val="00A31EDB"/>
    <w:rsid w:val="00A34F3C"/>
    <w:rsid w:val="00A441CF"/>
    <w:rsid w:val="00A5415F"/>
    <w:rsid w:val="00A64A94"/>
    <w:rsid w:val="00A67E72"/>
    <w:rsid w:val="00A67FA6"/>
    <w:rsid w:val="00A81E9C"/>
    <w:rsid w:val="00A84E2C"/>
    <w:rsid w:val="00AA6640"/>
    <w:rsid w:val="00AC0B2A"/>
    <w:rsid w:val="00AC2806"/>
    <w:rsid w:val="00AC6FB9"/>
    <w:rsid w:val="00AD0B8B"/>
    <w:rsid w:val="00AE360E"/>
    <w:rsid w:val="00AE70CD"/>
    <w:rsid w:val="00AE7214"/>
    <w:rsid w:val="00AF0ECB"/>
    <w:rsid w:val="00B07D21"/>
    <w:rsid w:val="00B102E6"/>
    <w:rsid w:val="00B14E54"/>
    <w:rsid w:val="00B20FB2"/>
    <w:rsid w:val="00B23264"/>
    <w:rsid w:val="00B248ED"/>
    <w:rsid w:val="00B3759F"/>
    <w:rsid w:val="00B402A6"/>
    <w:rsid w:val="00B414A4"/>
    <w:rsid w:val="00B47DA5"/>
    <w:rsid w:val="00B54E4C"/>
    <w:rsid w:val="00B5798A"/>
    <w:rsid w:val="00B650E4"/>
    <w:rsid w:val="00B65840"/>
    <w:rsid w:val="00B71B12"/>
    <w:rsid w:val="00B7258F"/>
    <w:rsid w:val="00B73903"/>
    <w:rsid w:val="00B85CE4"/>
    <w:rsid w:val="00B86624"/>
    <w:rsid w:val="00B97702"/>
    <w:rsid w:val="00BA6F39"/>
    <w:rsid w:val="00BA7C2E"/>
    <w:rsid w:val="00BB264F"/>
    <w:rsid w:val="00BB2FEC"/>
    <w:rsid w:val="00BB5FDC"/>
    <w:rsid w:val="00BB6BDB"/>
    <w:rsid w:val="00BC13AE"/>
    <w:rsid w:val="00BC1CAC"/>
    <w:rsid w:val="00BC586B"/>
    <w:rsid w:val="00BC6CE1"/>
    <w:rsid w:val="00BD1A5C"/>
    <w:rsid w:val="00BD3EDD"/>
    <w:rsid w:val="00BD57EE"/>
    <w:rsid w:val="00BE1E66"/>
    <w:rsid w:val="00BE1EEF"/>
    <w:rsid w:val="00BE27B7"/>
    <w:rsid w:val="00BF1A14"/>
    <w:rsid w:val="00BF22EF"/>
    <w:rsid w:val="00BF4EC5"/>
    <w:rsid w:val="00C00FB8"/>
    <w:rsid w:val="00C016A9"/>
    <w:rsid w:val="00C02C72"/>
    <w:rsid w:val="00C040C1"/>
    <w:rsid w:val="00C066F8"/>
    <w:rsid w:val="00C06E9A"/>
    <w:rsid w:val="00C15657"/>
    <w:rsid w:val="00C22CDD"/>
    <w:rsid w:val="00C279B4"/>
    <w:rsid w:val="00C35605"/>
    <w:rsid w:val="00C366FD"/>
    <w:rsid w:val="00C37B8C"/>
    <w:rsid w:val="00C427A5"/>
    <w:rsid w:val="00C44A34"/>
    <w:rsid w:val="00C457CD"/>
    <w:rsid w:val="00C52AEB"/>
    <w:rsid w:val="00C53A7A"/>
    <w:rsid w:val="00C55D3E"/>
    <w:rsid w:val="00C57F37"/>
    <w:rsid w:val="00C65BF8"/>
    <w:rsid w:val="00C7215E"/>
    <w:rsid w:val="00C72CB6"/>
    <w:rsid w:val="00C76039"/>
    <w:rsid w:val="00C77293"/>
    <w:rsid w:val="00C82820"/>
    <w:rsid w:val="00C85C7C"/>
    <w:rsid w:val="00C92EA9"/>
    <w:rsid w:val="00C95A57"/>
    <w:rsid w:val="00CA0F95"/>
    <w:rsid w:val="00CB59DC"/>
    <w:rsid w:val="00CB5CB0"/>
    <w:rsid w:val="00CB6307"/>
    <w:rsid w:val="00CB6E10"/>
    <w:rsid w:val="00CC54AD"/>
    <w:rsid w:val="00CC671A"/>
    <w:rsid w:val="00CD12F6"/>
    <w:rsid w:val="00CE2174"/>
    <w:rsid w:val="00CE2BD7"/>
    <w:rsid w:val="00CE3F62"/>
    <w:rsid w:val="00CE4955"/>
    <w:rsid w:val="00CF165D"/>
    <w:rsid w:val="00CF3099"/>
    <w:rsid w:val="00CF3238"/>
    <w:rsid w:val="00CF4F12"/>
    <w:rsid w:val="00D015FE"/>
    <w:rsid w:val="00D11386"/>
    <w:rsid w:val="00D16F77"/>
    <w:rsid w:val="00D1770E"/>
    <w:rsid w:val="00D213C5"/>
    <w:rsid w:val="00D22FA3"/>
    <w:rsid w:val="00D24906"/>
    <w:rsid w:val="00D24D4D"/>
    <w:rsid w:val="00D306E1"/>
    <w:rsid w:val="00D355A5"/>
    <w:rsid w:val="00D37FDE"/>
    <w:rsid w:val="00D4072D"/>
    <w:rsid w:val="00D4419A"/>
    <w:rsid w:val="00D511DD"/>
    <w:rsid w:val="00D54F8C"/>
    <w:rsid w:val="00D55122"/>
    <w:rsid w:val="00D56AD9"/>
    <w:rsid w:val="00D64297"/>
    <w:rsid w:val="00D86D90"/>
    <w:rsid w:val="00D90044"/>
    <w:rsid w:val="00D92B0F"/>
    <w:rsid w:val="00D93479"/>
    <w:rsid w:val="00DA3AB7"/>
    <w:rsid w:val="00DA45C4"/>
    <w:rsid w:val="00DA4A97"/>
    <w:rsid w:val="00DB148C"/>
    <w:rsid w:val="00DB463C"/>
    <w:rsid w:val="00DB58FA"/>
    <w:rsid w:val="00DB71BF"/>
    <w:rsid w:val="00DC28CC"/>
    <w:rsid w:val="00DC378C"/>
    <w:rsid w:val="00DD4214"/>
    <w:rsid w:val="00DD5685"/>
    <w:rsid w:val="00DE3B48"/>
    <w:rsid w:val="00DE52E4"/>
    <w:rsid w:val="00DE74C1"/>
    <w:rsid w:val="00E05306"/>
    <w:rsid w:val="00E10322"/>
    <w:rsid w:val="00E17252"/>
    <w:rsid w:val="00E17900"/>
    <w:rsid w:val="00E21E9C"/>
    <w:rsid w:val="00E22553"/>
    <w:rsid w:val="00E25637"/>
    <w:rsid w:val="00E257C4"/>
    <w:rsid w:val="00E26267"/>
    <w:rsid w:val="00E30939"/>
    <w:rsid w:val="00E347A0"/>
    <w:rsid w:val="00E414CD"/>
    <w:rsid w:val="00E471AE"/>
    <w:rsid w:val="00E4756D"/>
    <w:rsid w:val="00E50B02"/>
    <w:rsid w:val="00E527F8"/>
    <w:rsid w:val="00E52ED2"/>
    <w:rsid w:val="00E53D75"/>
    <w:rsid w:val="00E57F55"/>
    <w:rsid w:val="00E60587"/>
    <w:rsid w:val="00E60F9E"/>
    <w:rsid w:val="00E646C1"/>
    <w:rsid w:val="00E74EE4"/>
    <w:rsid w:val="00E82F30"/>
    <w:rsid w:val="00E872CC"/>
    <w:rsid w:val="00E927BF"/>
    <w:rsid w:val="00E9388A"/>
    <w:rsid w:val="00E95C48"/>
    <w:rsid w:val="00EA236F"/>
    <w:rsid w:val="00EA5FBE"/>
    <w:rsid w:val="00EA658D"/>
    <w:rsid w:val="00EA72EC"/>
    <w:rsid w:val="00EB4A61"/>
    <w:rsid w:val="00EB55E9"/>
    <w:rsid w:val="00EC59A2"/>
    <w:rsid w:val="00ED3F79"/>
    <w:rsid w:val="00ED4305"/>
    <w:rsid w:val="00EE0AA7"/>
    <w:rsid w:val="00EE56D8"/>
    <w:rsid w:val="00EF2FA2"/>
    <w:rsid w:val="00EF74A1"/>
    <w:rsid w:val="00F04605"/>
    <w:rsid w:val="00F05B36"/>
    <w:rsid w:val="00F20C32"/>
    <w:rsid w:val="00F23359"/>
    <w:rsid w:val="00F36D80"/>
    <w:rsid w:val="00F37502"/>
    <w:rsid w:val="00F40EF1"/>
    <w:rsid w:val="00F41242"/>
    <w:rsid w:val="00F43613"/>
    <w:rsid w:val="00F459BF"/>
    <w:rsid w:val="00F45DCF"/>
    <w:rsid w:val="00F50120"/>
    <w:rsid w:val="00F50C73"/>
    <w:rsid w:val="00F54FDC"/>
    <w:rsid w:val="00F57611"/>
    <w:rsid w:val="00F62A3B"/>
    <w:rsid w:val="00F643BC"/>
    <w:rsid w:val="00F672CD"/>
    <w:rsid w:val="00F73D83"/>
    <w:rsid w:val="00F811DB"/>
    <w:rsid w:val="00F82532"/>
    <w:rsid w:val="00F83091"/>
    <w:rsid w:val="00F84C8D"/>
    <w:rsid w:val="00F87CA1"/>
    <w:rsid w:val="00F95C47"/>
    <w:rsid w:val="00F967DA"/>
    <w:rsid w:val="00F968C3"/>
    <w:rsid w:val="00FB09B8"/>
    <w:rsid w:val="00FB1DE5"/>
    <w:rsid w:val="00FB4A75"/>
    <w:rsid w:val="00FB6F34"/>
    <w:rsid w:val="00FB7067"/>
    <w:rsid w:val="00FC1207"/>
    <w:rsid w:val="00FC1D28"/>
    <w:rsid w:val="00FC20F5"/>
    <w:rsid w:val="00FC29AF"/>
    <w:rsid w:val="00FC61F7"/>
    <w:rsid w:val="00FD6642"/>
    <w:rsid w:val="00FE2DF4"/>
    <w:rsid w:val="00FE37C9"/>
    <w:rsid w:val="00FF3059"/>
    <w:rsid w:val="00FF6319"/>
    <w:rsid w:val="3B5E1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8" w:semiHidden="0" w:name="heading 1"/>
    <w:lsdException w:qFormat="1" w:uiPriority="8" w:semiHidden="0" w:name="heading 2"/>
    <w:lsdException w:qFormat="1" w:uiPriority="9" w:semiHidden="0" w:name="heading 3"/>
    <w:lsdException w:qFormat="1" w:uiPriority="8"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26"/>
    <w:qFormat/>
    <w:uiPriority w:val="8"/>
    <w:pPr>
      <w:keepNext/>
      <w:keepLines/>
      <w:numPr>
        <w:ilvl w:val="0"/>
        <w:numId w:val="1"/>
      </w:numPr>
      <w:ind w:firstLineChars="0"/>
      <w:outlineLvl w:val="0"/>
    </w:pPr>
    <w:rPr>
      <w:rFonts w:eastAsia="黑体"/>
      <w:b/>
      <w:bCs/>
      <w:kern w:val="44"/>
      <w:szCs w:val="44"/>
    </w:rPr>
  </w:style>
  <w:style w:type="paragraph" w:styleId="3">
    <w:name w:val="heading 2"/>
    <w:basedOn w:val="1"/>
    <w:next w:val="1"/>
    <w:link w:val="27"/>
    <w:unhideWhenUsed/>
    <w:qFormat/>
    <w:uiPriority w:val="8"/>
    <w:pPr>
      <w:keepNext/>
      <w:keepLines/>
      <w:numPr>
        <w:ilvl w:val="1"/>
        <w:numId w:val="1"/>
      </w:numPr>
      <w:ind w:firstLineChars="0"/>
      <w:outlineLvl w:val="1"/>
    </w:pPr>
    <w:rPr>
      <w:rFonts w:eastAsia="黑体" w:cstheme="majorBidi"/>
      <w:b/>
      <w:bCs/>
      <w:szCs w:val="32"/>
    </w:rPr>
  </w:style>
  <w:style w:type="paragraph" w:styleId="4">
    <w:name w:val="heading 3"/>
    <w:basedOn w:val="1"/>
    <w:next w:val="1"/>
    <w:link w:val="28"/>
    <w:unhideWhenUsed/>
    <w:qFormat/>
    <w:uiPriority w:val="9"/>
    <w:pPr>
      <w:keepNext/>
      <w:keepLines/>
      <w:numPr>
        <w:ilvl w:val="2"/>
        <w:numId w:val="2"/>
      </w:numPr>
      <w:spacing w:before="260" w:after="260" w:line="416" w:lineRule="auto"/>
      <w:outlineLvl w:val="2"/>
    </w:pPr>
    <w:rPr>
      <w:b/>
      <w:bCs/>
      <w:szCs w:val="32"/>
    </w:rPr>
  </w:style>
  <w:style w:type="paragraph" w:styleId="5">
    <w:name w:val="heading 4"/>
    <w:basedOn w:val="1"/>
    <w:next w:val="1"/>
    <w:link w:val="29"/>
    <w:unhideWhenUsed/>
    <w:qFormat/>
    <w:uiPriority w:val="8"/>
    <w:pPr>
      <w:keepNext/>
      <w:keepLines/>
      <w:numPr>
        <w:ilvl w:val="3"/>
        <w:numId w:val="1"/>
      </w:numPr>
      <w:ind w:firstLineChars="0"/>
      <w:outlineLvl w:val="3"/>
    </w:pPr>
    <w:rPr>
      <w:rFonts w:eastAsia="黑体" w:cstheme="majorBidi"/>
      <w:b/>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spacing w:after="160" w:line="278" w:lineRule="auto"/>
      <w:ind w:left="2520" w:leftChars="1200" w:firstLine="0" w:firstLineChars="0"/>
      <w:jc w:val="left"/>
    </w:pPr>
    <w:rPr>
      <w:rFonts w:asciiTheme="minorHAnsi" w:hAnsiTheme="minorHAnsi" w:eastAsiaTheme="minorEastAsia"/>
      <w:sz w:val="22"/>
      <w:szCs w:val="24"/>
      <w14:ligatures w14:val="standardContextual"/>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40"/>
    <w:unhideWhenUsed/>
    <w:qFormat/>
    <w:uiPriority w:val="99"/>
    <w:pPr>
      <w:jc w:val="left"/>
    </w:pPr>
  </w:style>
  <w:style w:type="paragraph" w:styleId="9">
    <w:name w:val="toc 5"/>
    <w:basedOn w:val="1"/>
    <w:next w:val="1"/>
    <w:autoRedefine/>
    <w:unhideWhenUsed/>
    <w:qFormat/>
    <w:uiPriority w:val="39"/>
    <w:pPr>
      <w:spacing w:after="160" w:line="278" w:lineRule="auto"/>
      <w:ind w:left="1680" w:leftChars="800" w:firstLine="0" w:firstLineChars="0"/>
      <w:jc w:val="left"/>
    </w:pPr>
    <w:rPr>
      <w:rFonts w:asciiTheme="minorHAnsi" w:hAnsiTheme="minorHAnsi" w:eastAsiaTheme="minorEastAsia"/>
      <w:sz w:val="22"/>
      <w:szCs w:val="24"/>
      <w14:ligatures w14:val="standardContextual"/>
    </w:rPr>
  </w:style>
  <w:style w:type="paragraph" w:styleId="10">
    <w:name w:val="toc 3"/>
    <w:basedOn w:val="1"/>
    <w:next w:val="1"/>
    <w:autoRedefine/>
    <w:unhideWhenUsed/>
    <w:qFormat/>
    <w:uiPriority w:val="39"/>
    <w:pPr>
      <w:tabs>
        <w:tab w:val="right" w:leader="dot" w:pos="8296"/>
      </w:tabs>
      <w:ind w:left="1280" w:leftChars="400" w:firstLine="0" w:firstLineChars="0"/>
    </w:pPr>
  </w:style>
  <w:style w:type="paragraph" w:styleId="11">
    <w:name w:val="toc 8"/>
    <w:basedOn w:val="1"/>
    <w:next w:val="1"/>
    <w:autoRedefine/>
    <w:unhideWhenUsed/>
    <w:qFormat/>
    <w:uiPriority w:val="39"/>
    <w:pPr>
      <w:spacing w:after="160" w:line="278" w:lineRule="auto"/>
      <w:ind w:left="2940" w:leftChars="1400" w:firstLine="0" w:firstLineChars="0"/>
      <w:jc w:val="left"/>
    </w:pPr>
    <w:rPr>
      <w:rFonts w:asciiTheme="minorHAnsi" w:hAnsiTheme="minorHAnsi" w:eastAsiaTheme="minorEastAsia"/>
      <w:sz w:val="22"/>
      <w:szCs w:val="24"/>
      <w14:ligatures w14:val="standardContextual"/>
    </w:rPr>
  </w:style>
  <w:style w:type="paragraph" w:styleId="12">
    <w:name w:val="footer"/>
    <w:basedOn w:val="1"/>
    <w:link w:val="35"/>
    <w:unhideWhenUsed/>
    <w:uiPriority w:val="99"/>
    <w:pPr>
      <w:tabs>
        <w:tab w:val="center" w:pos="4153"/>
        <w:tab w:val="right" w:pos="8306"/>
      </w:tabs>
      <w:snapToGrid w:val="0"/>
      <w:spacing w:line="240" w:lineRule="auto"/>
      <w:jc w:val="left"/>
    </w:pPr>
    <w:rPr>
      <w:sz w:val="18"/>
      <w:szCs w:val="18"/>
    </w:rPr>
  </w:style>
  <w:style w:type="paragraph" w:styleId="13">
    <w:name w:val="header"/>
    <w:basedOn w:val="1"/>
    <w:link w:val="34"/>
    <w:unhideWhenUsed/>
    <w:qFormat/>
    <w:uiPriority w:val="99"/>
    <w:pPr>
      <w:tabs>
        <w:tab w:val="center" w:pos="4153"/>
        <w:tab w:val="right" w:pos="8306"/>
      </w:tabs>
      <w:snapToGrid w:val="0"/>
      <w:spacing w:line="240" w:lineRule="auto"/>
      <w:jc w:val="center"/>
    </w:pPr>
    <w:rPr>
      <w:sz w:val="18"/>
      <w:szCs w:val="18"/>
    </w:rPr>
  </w:style>
  <w:style w:type="paragraph" w:styleId="14">
    <w:name w:val="toc 1"/>
    <w:basedOn w:val="1"/>
    <w:next w:val="1"/>
    <w:autoRedefine/>
    <w:unhideWhenUsed/>
    <w:uiPriority w:val="39"/>
    <w:pPr>
      <w:tabs>
        <w:tab w:val="right" w:leader="dot" w:pos="8296"/>
      </w:tabs>
      <w:ind w:firstLine="0" w:firstLineChars="0"/>
    </w:pPr>
  </w:style>
  <w:style w:type="paragraph" w:styleId="15">
    <w:name w:val="toc 4"/>
    <w:basedOn w:val="1"/>
    <w:next w:val="1"/>
    <w:autoRedefine/>
    <w:unhideWhenUsed/>
    <w:qFormat/>
    <w:uiPriority w:val="39"/>
    <w:pPr>
      <w:spacing w:after="160" w:line="278" w:lineRule="auto"/>
      <w:ind w:left="1260" w:leftChars="600" w:firstLine="0" w:firstLineChars="0"/>
      <w:jc w:val="left"/>
    </w:pPr>
    <w:rPr>
      <w:rFonts w:asciiTheme="minorHAnsi" w:hAnsiTheme="minorHAnsi" w:eastAsiaTheme="minorEastAsia"/>
      <w:sz w:val="22"/>
      <w:szCs w:val="24"/>
      <w14:ligatures w14:val="standardContextual"/>
    </w:rPr>
  </w:style>
  <w:style w:type="paragraph" w:styleId="16">
    <w:name w:val="toc 6"/>
    <w:basedOn w:val="1"/>
    <w:next w:val="1"/>
    <w:autoRedefine/>
    <w:unhideWhenUsed/>
    <w:qFormat/>
    <w:uiPriority w:val="39"/>
    <w:pPr>
      <w:spacing w:after="160" w:line="278" w:lineRule="auto"/>
      <w:ind w:left="2100" w:leftChars="1000" w:firstLine="0" w:firstLineChars="0"/>
      <w:jc w:val="left"/>
    </w:pPr>
    <w:rPr>
      <w:rFonts w:asciiTheme="minorHAnsi" w:hAnsiTheme="minorHAnsi" w:eastAsiaTheme="minorEastAsia"/>
      <w:sz w:val="22"/>
      <w:szCs w:val="24"/>
      <w14:ligatures w14:val="standardContextual"/>
    </w:rPr>
  </w:style>
  <w:style w:type="paragraph" w:styleId="17">
    <w:name w:val="toc 2"/>
    <w:basedOn w:val="1"/>
    <w:next w:val="1"/>
    <w:autoRedefine/>
    <w:unhideWhenUsed/>
    <w:uiPriority w:val="39"/>
    <w:pPr>
      <w:tabs>
        <w:tab w:val="right" w:leader="dot" w:pos="8296"/>
      </w:tabs>
      <w:ind w:left="640" w:leftChars="200" w:firstLine="0" w:firstLineChars="0"/>
    </w:pPr>
  </w:style>
  <w:style w:type="paragraph" w:styleId="18">
    <w:name w:val="toc 9"/>
    <w:basedOn w:val="1"/>
    <w:next w:val="1"/>
    <w:autoRedefine/>
    <w:unhideWhenUsed/>
    <w:qFormat/>
    <w:uiPriority w:val="39"/>
    <w:pPr>
      <w:spacing w:after="160" w:line="278" w:lineRule="auto"/>
      <w:ind w:left="3360" w:leftChars="1600" w:firstLine="0" w:firstLineChars="0"/>
      <w:jc w:val="left"/>
    </w:pPr>
    <w:rPr>
      <w:rFonts w:asciiTheme="minorHAnsi" w:hAnsiTheme="minorHAnsi" w:eastAsiaTheme="minorEastAsia"/>
      <w:sz w:val="22"/>
      <w:szCs w:val="24"/>
      <w14:ligatures w14:val="standardContextual"/>
    </w:rPr>
  </w:style>
  <w:style w:type="paragraph" w:styleId="19">
    <w:name w:val="annotation subject"/>
    <w:basedOn w:val="8"/>
    <w:next w:val="8"/>
    <w:link w:val="41"/>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954F72" w:themeColor="followedHyperlink"/>
      <w:u w:val="single"/>
      <w14:textFill>
        <w14:solidFill>
          <w14:schemeClr w14:val="folHlink"/>
        </w14:solidFill>
      </w14:textFill>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character" w:customStyle="1" w:styleId="26">
    <w:name w:val="标题 1 字符"/>
    <w:basedOn w:val="22"/>
    <w:link w:val="2"/>
    <w:qFormat/>
    <w:uiPriority w:val="8"/>
    <w:rPr>
      <w:rFonts w:ascii="Times New Roman" w:hAnsi="Times New Roman" w:eastAsia="黑体"/>
      <w:b/>
      <w:bCs/>
      <w:kern w:val="44"/>
      <w:sz w:val="32"/>
      <w:szCs w:val="44"/>
    </w:rPr>
  </w:style>
  <w:style w:type="character" w:customStyle="1" w:styleId="27">
    <w:name w:val="标题 2 字符"/>
    <w:basedOn w:val="22"/>
    <w:link w:val="3"/>
    <w:qFormat/>
    <w:uiPriority w:val="8"/>
    <w:rPr>
      <w:rFonts w:ascii="Times New Roman" w:hAnsi="Times New Roman" w:eastAsia="黑体" w:cstheme="majorBidi"/>
      <w:b/>
      <w:bCs/>
      <w:sz w:val="32"/>
      <w:szCs w:val="32"/>
    </w:rPr>
  </w:style>
  <w:style w:type="character" w:customStyle="1" w:styleId="28">
    <w:name w:val="标题 3 字符"/>
    <w:basedOn w:val="22"/>
    <w:link w:val="4"/>
    <w:semiHidden/>
    <w:qFormat/>
    <w:uiPriority w:val="9"/>
    <w:rPr>
      <w:rFonts w:ascii="Times New Roman" w:hAnsi="Times New Roman" w:eastAsia="宋体"/>
      <w:b/>
      <w:bCs/>
      <w:sz w:val="32"/>
      <w:szCs w:val="32"/>
    </w:rPr>
  </w:style>
  <w:style w:type="character" w:customStyle="1" w:styleId="29">
    <w:name w:val="标题 4 字符"/>
    <w:basedOn w:val="22"/>
    <w:link w:val="5"/>
    <w:qFormat/>
    <w:uiPriority w:val="8"/>
    <w:rPr>
      <w:rFonts w:ascii="Times New Roman" w:hAnsi="Times New Roman" w:eastAsia="黑体" w:cstheme="majorBidi"/>
      <w:b/>
      <w:bCs/>
      <w:sz w:val="32"/>
      <w:szCs w:val="28"/>
    </w:rPr>
  </w:style>
  <w:style w:type="paragraph" w:customStyle="1" w:styleId="30">
    <w:name w:val="标题3"/>
    <w:next w:val="1"/>
    <w:link w:val="31"/>
    <w:qFormat/>
    <w:uiPriority w:val="0"/>
    <w:pPr>
      <w:numPr>
        <w:ilvl w:val="2"/>
        <w:numId w:val="1"/>
      </w:numPr>
      <w:spacing w:line="360" w:lineRule="auto"/>
      <w:outlineLvl w:val="2"/>
    </w:pPr>
    <w:rPr>
      <w:rFonts w:ascii="Times New Roman" w:hAnsi="Times New Roman" w:eastAsia="黑体" w:cstheme="majorBidi"/>
      <w:b/>
      <w:bCs/>
      <w:kern w:val="2"/>
      <w:sz w:val="32"/>
      <w:szCs w:val="28"/>
      <w:lang w:val="en-US" w:eastAsia="zh-CN" w:bidi="ar-SA"/>
    </w:rPr>
  </w:style>
  <w:style w:type="character" w:customStyle="1" w:styleId="31">
    <w:name w:val="标题3 字符"/>
    <w:basedOn w:val="29"/>
    <w:link w:val="30"/>
    <w:qFormat/>
    <w:uiPriority w:val="0"/>
    <w:rPr>
      <w:rFonts w:ascii="Times New Roman" w:hAnsi="Times New Roman" w:eastAsia="黑体" w:cstheme="majorBidi"/>
      <w:sz w:val="32"/>
      <w:szCs w:val="28"/>
    </w:rPr>
  </w:style>
  <w:style w:type="paragraph" w:styleId="32">
    <w:name w:val="List Paragraph"/>
    <w:basedOn w:val="1"/>
    <w:qFormat/>
    <w:uiPriority w:val="34"/>
    <w:pPr>
      <w:ind w:firstLine="420"/>
    </w:pPr>
  </w:style>
  <w:style w:type="character" w:customStyle="1" w:styleId="33">
    <w:name w:val="Unresolved Mention"/>
    <w:basedOn w:val="22"/>
    <w:semiHidden/>
    <w:unhideWhenUsed/>
    <w:qFormat/>
    <w:uiPriority w:val="99"/>
    <w:rPr>
      <w:color w:val="605E5C"/>
      <w:shd w:val="clear" w:color="auto" w:fill="E1DFDD"/>
    </w:rPr>
  </w:style>
  <w:style w:type="character" w:customStyle="1" w:styleId="34">
    <w:name w:val="页眉 字符"/>
    <w:basedOn w:val="22"/>
    <w:link w:val="13"/>
    <w:qFormat/>
    <w:uiPriority w:val="99"/>
    <w:rPr>
      <w:rFonts w:ascii="Times New Roman" w:hAnsi="Times New Roman" w:eastAsia="宋体"/>
      <w:sz w:val="18"/>
      <w:szCs w:val="18"/>
    </w:rPr>
  </w:style>
  <w:style w:type="character" w:customStyle="1" w:styleId="35">
    <w:name w:val="页脚 字符"/>
    <w:basedOn w:val="22"/>
    <w:link w:val="12"/>
    <w:uiPriority w:val="99"/>
    <w:rPr>
      <w:rFonts w:ascii="Times New Roman" w:hAnsi="Times New Roman" w:eastAsia="宋体"/>
      <w:sz w:val="18"/>
      <w:szCs w:val="18"/>
    </w:rPr>
  </w:style>
  <w:style w:type="paragraph" w:customStyle="1" w:styleId="36">
    <w:name w:val="图表居中"/>
    <w:next w:val="1"/>
    <w:link w:val="37"/>
    <w:qFormat/>
    <w:uiPriority w:val="0"/>
    <w:pPr>
      <w:spacing w:line="360" w:lineRule="auto"/>
      <w:jc w:val="center"/>
    </w:pPr>
    <w:rPr>
      <w:rFonts w:ascii="Times New Roman" w:hAnsi="Times New Roman" w:eastAsia="黑体" w:cstheme="minorBidi"/>
      <w:kern w:val="2"/>
      <w:sz w:val="24"/>
      <w:szCs w:val="22"/>
      <w:lang w:val="en-US" w:eastAsia="zh-CN" w:bidi="ar-SA"/>
    </w:rPr>
  </w:style>
  <w:style w:type="character" w:customStyle="1" w:styleId="37">
    <w:name w:val="图表居中 字符"/>
    <w:basedOn w:val="22"/>
    <w:link w:val="36"/>
    <w:qFormat/>
    <w:uiPriority w:val="0"/>
    <w:rPr>
      <w:rFonts w:ascii="Times New Roman" w:hAnsi="Times New Roman" w:eastAsia="黑体"/>
      <w:sz w:val="24"/>
    </w:rPr>
  </w:style>
  <w:style w:type="paragraph" w:customStyle="1" w:styleId="38">
    <w:name w:val="表格文字"/>
    <w:basedOn w:val="36"/>
    <w:next w:val="1"/>
    <w:link w:val="39"/>
    <w:qFormat/>
    <w:uiPriority w:val="0"/>
    <w:pPr>
      <w:spacing w:line="240" w:lineRule="auto"/>
    </w:pPr>
    <w:rPr>
      <w:rFonts w:eastAsia="仿宋_GB2312"/>
    </w:rPr>
  </w:style>
  <w:style w:type="character" w:customStyle="1" w:styleId="39">
    <w:name w:val="表格文字 字符"/>
    <w:basedOn w:val="37"/>
    <w:link w:val="38"/>
    <w:uiPriority w:val="0"/>
    <w:rPr>
      <w:rFonts w:ascii="Times New Roman" w:hAnsi="Times New Roman" w:eastAsia="仿宋_GB2312"/>
      <w:sz w:val="24"/>
    </w:rPr>
  </w:style>
  <w:style w:type="character" w:customStyle="1" w:styleId="40">
    <w:name w:val="批注文字 字符"/>
    <w:basedOn w:val="22"/>
    <w:link w:val="8"/>
    <w:qFormat/>
    <w:uiPriority w:val="99"/>
    <w:rPr>
      <w:rFonts w:ascii="Times New Roman" w:hAnsi="Times New Roman" w:eastAsia="宋体"/>
      <w:sz w:val="28"/>
    </w:rPr>
  </w:style>
  <w:style w:type="character" w:customStyle="1" w:styleId="41">
    <w:name w:val="批注主题 字符"/>
    <w:basedOn w:val="40"/>
    <w:link w:val="19"/>
    <w:semiHidden/>
    <w:uiPriority w:val="99"/>
    <w:rPr>
      <w:rFonts w:ascii="Times New Roman" w:hAnsi="Times New Roman" w:eastAsia="宋体"/>
      <w:b/>
      <w:bCs/>
      <w:sz w:val="28"/>
    </w:rPr>
  </w:style>
  <w:style w:type="paragraph" w:customStyle="1" w:styleId="42">
    <w:name w:val="TOC Heading"/>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paragraph" w:customStyle="1" w:styleId="43">
    <w:name w:val="Revision"/>
    <w:hidden/>
    <w:semiHidden/>
    <w:qFormat/>
    <w:uiPriority w:val="99"/>
    <w:rPr>
      <w:rFonts w:ascii="Times New Roman" w:hAnsi="Times New Roman" w:eastAsia="宋体" w:cstheme="minorBidi"/>
      <w:kern w:val="2"/>
      <w:sz w:val="28"/>
      <w:szCs w:val="22"/>
      <w:lang w:val="en-US" w:eastAsia="zh-CN" w:bidi="ar-SA"/>
    </w:rPr>
  </w:style>
  <w:style w:type="table" w:customStyle="1" w:styleId="44">
    <w:name w:val="网格型1"/>
    <w:basedOn w:val="2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
    <w:name w:val="样式 首行缩进:  3 字符"/>
    <w:basedOn w:val="1"/>
    <w:qFormat/>
    <w:uiPriority w:val="0"/>
    <w:pPr>
      <w:spacing w:line="240" w:lineRule="auto"/>
    </w:pPr>
    <w:rPr>
      <w:rFonts w:eastAsia="宋体" w:cs="宋体"/>
      <w:sz w:val="21"/>
      <w:szCs w:val="20"/>
    </w:rPr>
  </w:style>
  <w:style w:type="character" w:customStyle="1" w:styleId="46">
    <w:name w:val="表格文字 Char"/>
    <w:qFormat/>
    <w:uiPriority w:val="0"/>
    <w:rPr>
      <w:rFonts w:ascii="Times New Roman" w:hAnsi="Times New Roman" w:eastAsia="黑体"/>
      <w:kern w:val="24"/>
      <w:sz w:val="24"/>
      <w:szCs w:val="21"/>
    </w:rPr>
  </w:style>
  <w:style w:type="paragraph" w:customStyle="1" w:styleId="47">
    <w:name w:val="表名"/>
    <w:basedOn w:val="1"/>
    <w:qFormat/>
    <w:uiPriority w:val="0"/>
    <w:pPr>
      <w:spacing w:before="20" w:beforeLines="20" w:after="30" w:afterLines="30" w:line="240" w:lineRule="auto"/>
      <w:ind w:firstLine="0" w:firstLineChars="0"/>
      <w:jc w:val="center"/>
    </w:pPr>
    <w:rPr>
      <w:rFonts w:eastAsia="黑体" w:cs="Times New Roman"/>
      <w:b/>
      <w:sz w:val="24"/>
      <w:szCs w:val="21"/>
    </w:rPr>
  </w:style>
  <w:style w:type="table" w:customStyle="1" w:styleId="48">
    <w:name w:val="表格主题1"/>
    <w:basedOn w:val="2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2"/>
    <w:basedOn w:val="2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image" Target="media/image47.jpe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jpe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15B63-3D8E-4095-A4DD-5437FFFAA159}">
  <ds:schemaRefs/>
</ds:datastoreItem>
</file>

<file path=docProps/app.xml><?xml version="1.0" encoding="utf-8"?>
<Properties xmlns="http://schemas.openxmlformats.org/officeDocument/2006/extended-properties" xmlns:vt="http://schemas.openxmlformats.org/officeDocument/2006/docPropsVTypes">
  <Template>Normal</Template>
  <Pages>108</Pages>
  <Words>45010</Words>
  <Characters>47632</Characters>
  <Lines>399</Lines>
  <Paragraphs>112</Paragraphs>
  <TotalTime>80</TotalTime>
  <ScaleCrop>false</ScaleCrop>
  <LinksUpToDate>false</LinksUpToDate>
  <CharactersWithSpaces>48011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2024-06-14T09:37:00Z</dcterms:created>
  <dc:creator>文辉 杨</dc:creator>
  <cp:lastModifiedBy>是阿潘呀~</cp:lastModifiedBy>
  <cp:lastPrinted>2023-12-07T08:42:00Z</cp:lastPrinted>
  <dcterms:modified xsi:type="dcterms:W3CDTF">2024-06-18T00:51:24Z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A513238AB4A5465BBDA97015F50F8120_12</vt:lpwstr>
  </property>
</Properties>
</file>