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东阳市偏远山区异地搬迁工作实施方案（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3月10日通过市十六届政府第二十七次常务会议审议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为有效改善全市偏远山区农民的生产生活条件，缩小城乡差距、优化人口布局，推动山区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农民共同富裕，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提升县城承载能力，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助力我市共同富裕先行市建设。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根据《浙江省人民政府关于规范异地搬迁工作的通知》（浙政发〔2019〕28号）、《浙江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乡村振兴局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部门关于印发浙江省异地搬迁项目管理办法的通知》（浙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实施范围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全市基础条件较差的偏远山区村，特别是未通公路居住点。搬迁点原则上实施整体搬迁，即居住点内农户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100%实施异地搬迁。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二、基本原则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按照“政府引导、农户自愿，整体规划、分类实施，灵活安置、有序推进”的原则，有计划、有步骤地组织实施异地搬迁，确保农民“搬得出、稳得住、富得起”。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、安置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对象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偏远山区异地搬迁以村级集体经济组织为单位，安置对象包括：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在居住点有房屋的房屋所有权人；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在居住点符合农村宅基地建房审批的无房户、缺房户。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安置对象以《东阳市偏远山区异地搬迁工作实施方案》印发之日实有登记在册的户籍人口为依据，以农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村宅基地建房审批户为基数，经公示后由所在镇乡街道会同有关部门核实确认。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 xml:space="preserve">四、可安置宅基地面积的确定 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合法宅基地面积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</w:rPr>
        <w:t>按权属证书或登记簿记载的所有权人确认（权属证书与登记簿记载不一致的，原则上以登记簿记载为准）。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《房屋所有权证》、《土地使用证》、《不动产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权属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》记载的内容不一致的，安置对象对权属证书记载的内容有异议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申请复核的，或未经产权登记的房屋，由相关部门联合调查、审核、认定。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对涉及宅基地历史遗留问题的，根据《东阳市农村宅基地及住房确权登记历史遗留问题处理指导意见》（东政办发〔2019〕46 号）规定进行相应处理后予以认定。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安置对象以户为单位确定基数面积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，其中集体经济组织成员以合法住宅建筑占地面积为基数面积，住宅面积不足限额的，按可批准面积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定基数面积；非集体经济组织成员以合法住宅建筑占地面积为基数面积，超过最高限额的扣至最高限额。对于拆除建筑占地面积和可审批面积均不足一个规划间的、超“一户一宅”宅基地限额部分、平面式安置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剩余权益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面积，原则上以货币回购方式进行安置。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（三）立户年龄为19虚岁（按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《东阳市偏远山区异地搬迁工作实施方案》印发之年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（四）宅基地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安置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的规划间按村庄规划执行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，其他安置方式安置的以36平方米每间执行。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（五）其它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未尽事宜，按照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现行宅基地建房审批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安置方式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安置方式分为宅基地安置、平面式安置、调剂置换和货币回购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、房票安置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（一）宅基地安置。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在可落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实用地指标的前提下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，搬迁农户可选择所在行政村进行宅基地安置。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（二）平面式安置。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有条件的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原则上在搬迁点所在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镇乡街道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</w:rPr>
        <w:t>建设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eastAsia="zh-CN"/>
        </w:rPr>
        <w:t>安置小区，确需跨乡镇安置的，一般安置在巍山镇。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安置标准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选择所在镇乡街道安置的，按照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基数面积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1:2的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比例进行置换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；选择跨乡镇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安置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的，按照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基数面积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1:1.5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的比例进行置换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安置价格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平面式安置置换价格原则上以项目综合成本价格〔包括建安成本、小区内各项配套费、工程前期其他费用（代建费、勘察设计费、监理费、政府规费等）、基本预备费、资金成本（利息）、其他费用〕为基数。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综合成本价和市场评估价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由实施主体委托具有相应资质的评估单位评估后确定并公布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。因户型关系超出安置标准面积10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（含）以内的，超出部分按公布的综合成本价收取；超出10－20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（含）的，超出部分按公布的市场评估价80%收取；超出20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的，超出部分按公布的市场评估价收取。车库（车位）、附房、阁楼等不计入安置面积，按公布的市场评估价收取。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相关规定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（1）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每套平面式安置房指定搭配一个车库（车位）。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平面式安置小区采取物业化管理，按市场价收取物业费。物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业维修基金在房屋交付时统一收取。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平面式安置房土地性质为国有出让，安置对象选择安置房后应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及时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出让金并办理不动产权证，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申请保障性住房且确有困难的农户，可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由本人申请，经乡镇审核通过后，可暂缓缴纳出让金。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土地出让金以交房当年的基准地价来计算。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安置房可以上市交易（抵押），但应至少保留一套房屋不得上市交易（抵押）；安置对象除安置房外另有其他房产的，在出具相关证明后，于不动产权证首次登记之日起满五年后可将房屋上市交易（抵押）。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（三）调剂置换。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以搬迁所在的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"/>
        </w:rPr>
        <w:t>行政村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置换为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原则，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搬迁农户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，置换其他非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危房类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房屋，审批程序按农村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宅基地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调剂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置换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办理。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搬迁所在行政村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</w:rPr>
        <w:t>内登记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eastAsia="zh-CN"/>
        </w:rPr>
        <w:t>为村集体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</w:rPr>
        <w:t>的公房，可按规定处置给村集体用于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eastAsia="zh-CN"/>
        </w:rPr>
        <w:t>搬迁农户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</w:rPr>
        <w:t>安置。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（四）货币回购。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对于拆除建筑占地面积和可审批面积均不足一个规划间的、超“一户一宅”宅基地限额部分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1000元/㎡标准进行回购，对于平面式安置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剩余权益面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积，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700元/㎡标准进行回购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default"/>
          <w:u w:val="none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五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Times New Roman" w:hAnsi="Times New Roman" w:eastAsia="楷体_GB2312" w:cs="Times New Roman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房票安置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选择房票安置的，按照安置房面积计算货币价格，货币计价单价=巍山镇市场评估价-综合成本价。房票面值</w:t>
      </w:r>
      <w:r>
        <w:rPr>
          <w:rFonts w:hint="eastAsia" w:ascii="Times New Roman" w:hAnsi="Times New Roman" w:eastAsia="楷体_GB2312" w:cs="Times New Roman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=（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搬迁补助+房屋补助</w:t>
      </w:r>
      <w:r>
        <w:rPr>
          <w:rFonts w:hint="eastAsia" w:ascii="Times New Roman" w:hAnsi="Times New Roman" w:eastAsia="楷体_GB2312" w:cs="Times New Roman"/>
          <w:snapToGrid w:val="0"/>
          <w:color w:val="auto"/>
          <w:kern w:val="0"/>
          <w:sz w:val="32"/>
          <w:szCs w:val="32"/>
          <w:u w:val="none"/>
          <w:lang w:val="en-US" w:eastAsia="zh-CN" w:bidi="ar-SA"/>
        </w:rPr>
        <w:t>+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货币计价单价×安置房面积）×（1+25%）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。25%为房票安置奖励金。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房票使用参照《东阳市房票使用管理办法（试行）》（东建局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〕3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）执行。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六、奖补政策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（一）搬迁补助：低收入农户搬迁享受3万元/人补助，非低收入农户搬迁享受1.5万元/人补助。补助适用于宅基地安置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、平面式安置、调剂置换、货币回购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、房票安置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类安置方式。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（二）房屋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补助：具体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参照东阳市人民政府关于印发《东阳市征收集体土地地上附着物和青苗补偿标准》的通知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东政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1《东阳市征收农村村民住宅补偿标准》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第1条款《东阳市农村村民住宅重置价格》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执行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详见附件2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补助适用于宅基地安置、平面式安置、调剂置换（房屋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补助分给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房屋调出方）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货币回购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、房票安置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类安置方式。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（三）对于低收入农户或经济收入薄弱的家庭困难户等，由本人申请，经乡镇审核通过后，可申请小户型住房。小户型住房户型面积不得超过80平方米，剩余面积由市政府以单价（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巍山镇市场评估价-综合成本价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>进行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回购，此类农户不硬性搭配一个车位（车库）。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选择房票安置的农户，搬迁补助及房屋补助均以房票形式予以发放。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）为了推动偏远山区异地搬迁工作顺利进行，给予镇乡街道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搬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迁工作经费。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）支持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镇乡街道和村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综合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利用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搬迁点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土地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资源，有保护利用价值的，经市政府同意后可予以保留，剩余的原则上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实施农村土地综合整治，项目资金和工作经费补助以及土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地指标奖补按照市相关政策执行。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七、实施程序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（一）意向排摸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根据市政府统一部署，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镇乡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街道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牵头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以行政村为单位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认真排摸，全面掌握村情民意，不得以偏概全，忽略或隐瞒农户的真实意见。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项目申请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搬迁点农户形成统一意见后，由所在镇乡街道主持召开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村民代表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大会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全体拟搬迁农户户主大会讨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论并通过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，并以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镇乡街道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名义上报市偏远山区异地搬迁工作领导小组办公室。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现场调研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收到项目申请后，市偏远山区异地搬迁工作领导小组办公室组织人员进行现场调研，了解搬迁点生产生活现状、搬迁农户搬迁意愿、安置意向，并提出初审意见。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（四）审核公示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经市偏远山区异地搬迁工作领导小组办公室审核通过后，报市政府审批同意。审批同意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后，镇乡街道组织对搬迁对象资格条件、安置人口、户籍类别、宅基地面积等内容进行审核，并在村内进行公示。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（五）签订协议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择宅基地安置、调剂置换和货币回购的，搬迁农户与所在村、镇乡街道签订搬迁协议；选择平面式安置的，搬迁农户与建设单位主体签订搬迁协议，具体签订由搬迁对象所在镇乡街道负责。明确安置人口、安置方式、奖补金额等内容，并在村内进行公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房屋腾空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选择宅基地安置的，在宅基地地块确定后将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原有房屋腾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空；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选择平面式安置的，在交房日前腾空；选择房票安置的，在房票发放前将房屋腾空。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）房屋拆除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房屋及构筑物拆除工作由镇乡街道组织所在村统一实施。拆除前，镇乡街道应审查相关资料及材料。审核无误后，方可实施拆除工作。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原住房拆除后，自然资源和规划局应及时注销相关权证。房屋装修装潢、其他地面构筑物及附属物、苗木等附着物，由搬迁对象限期自主清理，逾期视为放弃，由所在村统处置。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）资金拨付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搬迁对象在完成原住宅拆除、依法注销原有相关权证等程序后，按进度拨付各项补助奖励资金。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九</w:t>
      </w: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）禁止事项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列为搬迁点后，原则上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不再原村址安排宅基地建房和拆建住房，不再安排道路、供电、供水、通讯、广播、电视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、卫生等公共设施建设项目补助。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《东阳市偏远山区异地搬迁工作实施方案》印发之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日起，市自然资源和规划局暂停办理搬迁点的不动产买卖、交换、新建、扩建、改建、分割、赠与、抵押、租赁、典当等手续；公安部门暂停办理搬迁点的相关户口迁入、迁出、分户手续。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后续帮扶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相关政策性银行要加大对搬迁安置小区的贷款支持力度，鼓励商业金融机构面向低收入农户提供建房贷款和购房按揭贷款，减轻搬迁农户资金压力。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（二）支持搬迁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安置小区周边建设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小微园、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开发区、特色产业园区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引进龙头企业，实现搬迁农户就近就业。通过建立强村公司等形式，盘活迁出地的土地、山林等闲置资源，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增加搬迁农户财产性收入，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促进一二三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（三）加强搬迁农户后续教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育培训服务，多形式开展创业就业培训，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提升搬迁农户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产业发展能力、经济组织创办能力和市场经营素质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结合迁入地企业的就业岗位要求，开展针对性、菜单式培训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安置小区所在镇乡街道每年应提供一定数量的公益岗位，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优先吸纳半劳动力、弱劳动力搬迁农户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（四）创新安置小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社会管理模式，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探索完善行政村撤并融合，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合理设置党组织，优化基层治理，提高管理水平，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提升文化服务质量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九、强化工作保障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成立由市政府主要领导任组长、分管领导任副组长的偏远山区异地搬迁工作领导小组，办公室设在市乡村振兴局。根据工作需要，抽调相关部门负责同志组建工作专班，实行实体化办公。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（二）形成部门合力。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市发改、教育、公安、民政、财政、人力社保、自然资源和规划、住建、交通、水务、农业农村、文广旅体、审计、税务、国资、供电等部门各司其职，分工协作，形成合力，共同推动全市偏远山区异地搬迁工作。  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（三）加大宣传引导。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加大宣传发动力度，做好群众工作，积极宣传搬迁政策对经济社会发展、人民生活品质提升等方面的重大意义，增强群众对搬迁的认同感、参与感，不断扩大搬迁的影响力，营造浓厚气氛。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、本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2023年3月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日起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实施，有效期至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2026年3月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以前出台的有关政策与本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不一致的，以本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全市排摸出的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个偏远山区拟搬迁居住点名单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《东阳市征收农村村民住宅补偿标准》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>全市排摸出的</w:t>
      </w:r>
      <w:r>
        <w:rPr>
          <w:rFonts w:hint="eastAsia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>28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4"/>
          <w:szCs w:val="44"/>
          <w:lang w:val="en-US" w:eastAsia="zh-CN"/>
        </w:rPr>
        <w:t>个偏远山区拟搬迁点名单</w:t>
      </w:r>
    </w:p>
    <w:tbl>
      <w:tblPr>
        <w:tblStyle w:val="6"/>
        <w:tblpPr w:leftFromText="180" w:rightFromText="180" w:vertAnchor="text" w:horzAnchor="page" w:tblpX="1360" w:tblpY="106"/>
        <w:tblOverlap w:val="never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239"/>
        <w:gridCol w:w="2118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  <w:hidden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  <w:t>镇乡街道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  <w:t>行政村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  <w:t>居住点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湖溪镇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蛟塘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坑头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湖溪镇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蛟塘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青山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湖溪镇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蛟塘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下马岭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马宅镇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  <w:t>宅溪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  <w:t>东坑（自然村）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马宅镇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  <w:t>宅溪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  <w:t>岩坞口镜岩脚下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马宅镇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  <w:t>宅溪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anish w:val="0"/>
                <w:color w:val="auto"/>
                <w:kern w:val="2"/>
                <w:sz w:val="32"/>
                <w:szCs w:val="32"/>
                <w:lang w:eastAsia="zh-CN"/>
              </w:rPr>
              <w:t>柏里村高头坪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佐村镇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桑梓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镜岩自然村西山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佐村镇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桑梓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镜岩自然村山岗头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佐村镇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桑梓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镜岩自然村朱坑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佐村镇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厦城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岱溪自然村老鸦窝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佐村镇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宅口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u w:val="none" w:color="auto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宅口自然村新南坑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佐村镇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俞家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国道坑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佐村镇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赵楼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野猪岭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佐村镇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赵楼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三望岭头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大蟠溪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甘竹山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大蟠溪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敏坑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华孙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王大山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华孙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朝六尖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华孙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上孙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华孙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金树坞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玉溪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葛滕坞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玉溪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龙潭背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玉溪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考坑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玉溪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高丘六十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华阳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下阳自然村桐树岭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华阳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时华自然村岭外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阁溪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黄粟沟岭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eastAsia="zh-CN"/>
              </w:rPr>
              <w:t>三单乡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阁溪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136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庙后自然村竹园岭</w:t>
            </w:r>
          </w:p>
        </w:tc>
      </w:tr>
    </w:tbl>
    <w:p>
      <w:pPr>
        <w:pStyle w:val="2"/>
        <w:ind w:left="0" w:leftChars="0" w:firstLine="0" w:firstLineChars="0"/>
        <w:rPr>
          <w:color w:val="auto"/>
        </w:rPr>
      </w:pPr>
    </w:p>
    <w:p>
      <w:pPr>
        <w:pStyle w:val="3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3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44185" cy="6122035"/>
            <wp:effectExtent l="0" t="0" r="18415" b="12065"/>
            <wp:docPr id="2" name="图片 2" descr="d0015242bf2a1b7c3894327b2d8d8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015242bf2a1b7c3894327b2d8d8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612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3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3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3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3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3"/>
        <w:rPr>
          <w:rFonts w:hint="eastAsia" w:eastAsia="宋体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544185" cy="7437120"/>
            <wp:effectExtent l="0" t="0" r="18415" b="11430"/>
            <wp:docPr id="4" name="图片 4" descr="78cb3f32d82ffa2faacf8b922e53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8cb3f32d82ffa2faacf8b922e5390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firstLine="420" w:firstLineChars="200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59A29"/>
    <w:multiLevelType w:val="singleLevel"/>
    <w:tmpl w:val="92A59A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E3C8D9"/>
    <w:multiLevelType w:val="singleLevel"/>
    <w:tmpl w:val="22E3C8D9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EAB9356"/>
    <w:multiLevelType w:val="singleLevel"/>
    <w:tmpl w:val="2EAB935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209773E"/>
    <w:multiLevelType w:val="singleLevel"/>
    <w:tmpl w:val="7209773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NTg0NzEwOThhZmM2Mjk2NTVjNGY4ZTRlYzQ5MDQifQ=="/>
  </w:docVars>
  <w:rsids>
    <w:rsidRoot w:val="6EE013DE"/>
    <w:rsid w:val="03861DF1"/>
    <w:rsid w:val="0405748B"/>
    <w:rsid w:val="0B4B5BCD"/>
    <w:rsid w:val="0BC1638D"/>
    <w:rsid w:val="0C4F3A2B"/>
    <w:rsid w:val="0C570D77"/>
    <w:rsid w:val="0CE936B4"/>
    <w:rsid w:val="0E211365"/>
    <w:rsid w:val="0F78253F"/>
    <w:rsid w:val="0F930041"/>
    <w:rsid w:val="12FB03D7"/>
    <w:rsid w:val="16946A00"/>
    <w:rsid w:val="1883469D"/>
    <w:rsid w:val="1BBD093E"/>
    <w:rsid w:val="1F442604"/>
    <w:rsid w:val="1FAD5F6B"/>
    <w:rsid w:val="22797D99"/>
    <w:rsid w:val="2293685D"/>
    <w:rsid w:val="22EE5862"/>
    <w:rsid w:val="291B1B11"/>
    <w:rsid w:val="2DFD49FA"/>
    <w:rsid w:val="30AA74DD"/>
    <w:rsid w:val="31625492"/>
    <w:rsid w:val="338125C8"/>
    <w:rsid w:val="34C81DC7"/>
    <w:rsid w:val="35C26D58"/>
    <w:rsid w:val="38312768"/>
    <w:rsid w:val="40C04576"/>
    <w:rsid w:val="428A2C3D"/>
    <w:rsid w:val="42D54EEA"/>
    <w:rsid w:val="43812E42"/>
    <w:rsid w:val="46143A19"/>
    <w:rsid w:val="48640C14"/>
    <w:rsid w:val="49594251"/>
    <w:rsid w:val="496315F2"/>
    <w:rsid w:val="496F3047"/>
    <w:rsid w:val="4BEE08DC"/>
    <w:rsid w:val="4D157650"/>
    <w:rsid w:val="4EDE5D6B"/>
    <w:rsid w:val="4F4718AF"/>
    <w:rsid w:val="517E5729"/>
    <w:rsid w:val="52C47EE4"/>
    <w:rsid w:val="54257830"/>
    <w:rsid w:val="562E6EFE"/>
    <w:rsid w:val="583B7DE1"/>
    <w:rsid w:val="59050C34"/>
    <w:rsid w:val="5CC91EE8"/>
    <w:rsid w:val="5DB4741D"/>
    <w:rsid w:val="5F813417"/>
    <w:rsid w:val="624B2CB9"/>
    <w:rsid w:val="65177E79"/>
    <w:rsid w:val="6A4678FE"/>
    <w:rsid w:val="6B841E8D"/>
    <w:rsid w:val="6BCA42A4"/>
    <w:rsid w:val="6C263492"/>
    <w:rsid w:val="6EC77512"/>
    <w:rsid w:val="6EE013DE"/>
    <w:rsid w:val="76CE6A5C"/>
    <w:rsid w:val="7B305D0A"/>
    <w:rsid w:val="7CE4111E"/>
    <w:rsid w:val="7F0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600" w:lineRule="exact"/>
      <w:ind w:firstLine="884" w:firstLineChars="200"/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4512</Words>
  <Characters>4599</Characters>
  <Lines>0</Lines>
  <Paragraphs>0</Paragraphs>
  <TotalTime>48</TotalTime>
  <ScaleCrop>false</ScaleCrop>
  <LinksUpToDate>false</LinksUpToDate>
  <CharactersWithSpaces>4610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2023-03-07T01:21:00Z</dcterms:created>
  <dc:creator>Prelude</dc:creator>
  <cp:lastModifiedBy>hailan</cp:lastModifiedBy>
  <cp:lastPrinted>2023-06-27T00:55:00Z</cp:lastPrinted>
  <dcterms:modified xsi:type="dcterms:W3CDTF">2023-08-30T09:12:39Z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5B4991DA91C44BACBBA30243ECBEBA89</vt:lpwstr>
  </property>
</Properties>
</file>