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33"/>
          <w:szCs w:val="33"/>
          <w:shd w:val="clear" w:fill="FFFFFF"/>
          <w:lang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33"/>
          <w:szCs w:val="33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33"/>
          <w:szCs w:val="33"/>
          <w:shd w:val="clear" w:fill="FFFFFF"/>
          <w:lang w:val="en-US" w:eastAsia="zh-CN"/>
        </w:rPr>
        <w:t>4</w:t>
      </w:r>
      <w:r>
        <w:rPr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33"/>
          <w:szCs w:val="33"/>
          <w:shd w:val="clear" w:fill="FFFFFF"/>
        </w:rPr>
        <w:t>年临海市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33"/>
          <w:szCs w:val="33"/>
          <w:shd w:val="clear" w:fill="FFFFFF"/>
          <w:lang w:eastAsia="zh-CN"/>
        </w:rPr>
        <w:t>杜桥</w:t>
      </w:r>
      <w:r>
        <w:rPr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33"/>
          <w:szCs w:val="33"/>
          <w:shd w:val="clear" w:fill="FFFFFF"/>
        </w:rPr>
        <w:t>镇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33"/>
          <w:szCs w:val="33"/>
          <w:shd w:val="clear" w:fill="FFFFFF"/>
          <w:lang w:eastAsia="zh-CN"/>
        </w:rPr>
        <w:t>杜桥宝龙广场周边道路人行道铺及</w:t>
      </w:r>
    </w:p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33"/>
          <w:szCs w:val="33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33"/>
          <w:szCs w:val="33"/>
          <w:shd w:val="clear" w:fill="FFFFFF"/>
          <w:lang w:eastAsia="zh-CN"/>
        </w:rPr>
        <w:t>景观提升工程</w:t>
      </w:r>
      <w:r>
        <w:rPr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33"/>
          <w:szCs w:val="33"/>
          <w:shd w:val="clear" w:fill="FFFFFF"/>
        </w:rPr>
        <w:t>项目重大行政决策（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33"/>
          <w:szCs w:val="33"/>
          <w:shd w:val="clear" w:fill="FFFFFF"/>
          <w:lang w:eastAsia="zh-CN"/>
        </w:rPr>
        <w:t>草案</w:t>
      </w:r>
      <w:r>
        <w:rPr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33"/>
          <w:szCs w:val="33"/>
          <w:shd w:val="clear" w:fill="FFFFFF"/>
        </w:rPr>
        <w:t>）</w:t>
      </w:r>
    </w:p>
    <w:bookmarkEnd w:id="0"/>
    <w:p>
      <w:pPr>
        <w:numPr>
          <w:ilvl w:val="0"/>
          <w:numId w:val="1"/>
        </w:numPr>
        <w:ind w:left="320" w:hanging="320" w:hangingChars="100"/>
        <w:rPr>
          <w:rStyle w:val="4"/>
        </w:rPr>
      </w:pPr>
      <w:r>
        <w:rPr>
          <w:rStyle w:val="4"/>
        </w:rPr>
        <w:t>项目建设的必要性</w:t>
      </w:r>
    </w:p>
    <w:p>
      <w:pPr>
        <w:numPr>
          <w:numId w:val="0"/>
        </w:numPr>
        <w:ind w:leftChars="-100" w:firstLine="640" w:firstLineChars="200"/>
        <w:rPr>
          <w:rStyle w:val="4"/>
        </w:rPr>
      </w:pPr>
      <w:r>
        <w:rPr>
          <w:rStyle w:val="5"/>
        </w:rPr>
        <w:t>为完善道路网功能布局和杜桥宝龙广场沿线基础设施，提升片区形象，美化城市环境，该项目的实施是必要的。</w:t>
      </w:r>
      <w:r>
        <w:rPr>
          <w:rStyle w:val="5"/>
        </w:rPr>
        <w:br w:type="textWrapping"/>
      </w:r>
      <w:r>
        <w:rPr>
          <w:rStyle w:val="4"/>
        </w:rPr>
        <w:t>二、项目选址及建设用地</w:t>
      </w:r>
    </w:p>
    <w:p>
      <w:pPr>
        <w:numPr>
          <w:numId w:val="0"/>
        </w:numPr>
        <w:ind w:leftChars="-100" w:firstLine="640" w:firstLineChars="200"/>
        <w:rPr>
          <w:rStyle w:val="4"/>
        </w:rPr>
      </w:pPr>
      <w:r>
        <w:rPr>
          <w:rStyle w:val="5"/>
        </w:rPr>
        <w:t>本项目位于临海市杜桥镇，不新增建设用地。</w:t>
      </w:r>
      <w:r>
        <w:rPr>
          <w:rStyle w:val="5"/>
        </w:rPr>
        <w:br w:type="textWrapping"/>
      </w:r>
      <w:r>
        <w:rPr>
          <w:rStyle w:val="4"/>
        </w:rPr>
        <w:t>三、建设内容和规模</w:t>
      </w:r>
    </w:p>
    <w:p>
      <w:pPr>
        <w:numPr>
          <w:numId w:val="0"/>
        </w:numPr>
        <w:ind w:leftChars="-100" w:firstLine="640" w:firstLineChars="200"/>
        <w:rPr>
          <w:rStyle w:val="4"/>
        </w:rPr>
      </w:pPr>
      <w:r>
        <w:rPr>
          <w:rStyle w:val="5"/>
        </w:rPr>
        <w:t>本项目主要对杜桥宝龙广场周边道路人行道进行改提</w:t>
      </w:r>
      <w:r>
        <w:rPr>
          <w:rStyle w:val="5"/>
        </w:rPr>
        <w:br w:type="textWrapping"/>
      </w:r>
      <w:r>
        <w:rPr>
          <w:rStyle w:val="5"/>
        </w:rPr>
        <w:t>升</w:t>
      </w:r>
      <w:r>
        <w:rPr>
          <w:rStyle w:val="5"/>
          <w:rFonts w:hint="eastAsia" w:eastAsia="仿宋_GB2312"/>
          <w:lang w:eastAsia="zh-CN"/>
        </w:rPr>
        <w:t>，</w:t>
      </w:r>
      <w:r>
        <w:rPr>
          <w:rStyle w:val="5"/>
        </w:rPr>
        <w:t>包括水洋路、滨海路、嵩山路、牌门路。其中水洋路为城市支路，全长</w:t>
      </w:r>
      <w:r>
        <w:rPr>
          <w:rStyle w:val="6"/>
          <w:sz w:val="32"/>
          <w:szCs w:val="32"/>
        </w:rPr>
        <w:t>511.069m</w:t>
      </w:r>
      <w:r>
        <w:rPr>
          <w:rStyle w:val="5"/>
        </w:rPr>
        <w:t>，道路红线宽度为</w:t>
      </w:r>
      <w:r>
        <w:rPr>
          <w:rStyle w:val="6"/>
          <w:sz w:val="32"/>
          <w:szCs w:val="32"/>
        </w:rPr>
        <w:t>16</w:t>
      </w:r>
      <w:r>
        <w:rPr>
          <w:rStyle w:val="5"/>
        </w:rPr>
        <w:t>米，横断面布置为：</w:t>
      </w:r>
      <w:r>
        <w:rPr>
          <w:rStyle w:val="6"/>
          <w:sz w:val="32"/>
          <w:szCs w:val="32"/>
        </w:rPr>
        <w:t>2m</w:t>
      </w:r>
      <w:r>
        <w:rPr>
          <w:rStyle w:val="5"/>
        </w:rPr>
        <w:t>人行道（本次实施）</w:t>
      </w:r>
      <w:r>
        <w:rPr>
          <w:rStyle w:val="6"/>
          <w:sz w:val="32"/>
          <w:szCs w:val="32"/>
        </w:rPr>
        <w:t>+12m</w:t>
      </w:r>
      <w:r>
        <w:rPr>
          <w:rStyle w:val="5"/>
        </w:rPr>
        <w:t>机非混行道</w:t>
      </w:r>
      <w:r>
        <w:rPr>
          <w:rStyle w:val="6"/>
          <w:sz w:val="32"/>
          <w:szCs w:val="32"/>
        </w:rPr>
        <w:t>+2m</w:t>
      </w:r>
      <w:r>
        <w:rPr>
          <w:rStyle w:val="5"/>
        </w:rPr>
        <w:t>人行道（本次实施）；滨海路为城市主干道，全长</w:t>
      </w:r>
      <w:r>
        <w:rPr>
          <w:rStyle w:val="6"/>
          <w:sz w:val="32"/>
          <w:szCs w:val="32"/>
        </w:rPr>
        <w:t>508.679m</w:t>
      </w:r>
      <w:r>
        <w:rPr>
          <w:rStyle w:val="5"/>
        </w:rPr>
        <w:t>，道路红线宽度为</w:t>
      </w:r>
      <w:r>
        <w:rPr>
          <w:rStyle w:val="6"/>
          <w:sz w:val="32"/>
          <w:szCs w:val="32"/>
        </w:rPr>
        <w:t>54</w:t>
      </w:r>
      <w:r>
        <w:rPr>
          <w:rStyle w:val="5"/>
        </w:rPr>
        <w:t>米，横断面布置为：</w:t>
      </w:r>
      <w:r>
        <w:rPr>
          <w:rStyle w:val="6"/>
          <w:sz w:val="32"/>
          <w:szCs w:val="32"/>
        </w:rPr>
        <w:t>9m</w:t>
      </w:r>
      <w:r>
        <w:rPr>
          <w:rStyle w:val="5"/>
        </w:rPr>
        <w:t>人行道（本次实施）</w:t>
      </w:r>
      <w:r>
        <w:rPr>
          <w:rStyle w:val="6"/>
          <w:sz w:val="32"/>
          <w:szCs w:val="32"/>
        </w:rPr>
        <w:t>+6m</w:t>
      </w:r>
      <w:r>
        <w:rPr>
          <w:rStyle w:val="5"/>
        </w:rPr>
        <w:t>非机动车道</w:t>
      </w:r>
      <w:r>
        <w:rPr>
          <w:rStyle w:val="6"/>
          <w:sz w:val="32"/>
          <w:szCs w:val="32"/>
        </w:rPr>
        <w:t>+4m</w:t>
      </w:r>
      <w:r>
        <w:rPr>
          <w:rStyle w:val="5"/>
        </w:rPr>
        <w:t>机非分隔带</w:t>
      </w:r>
      <w:r>
        <w:rPr>
          <w:rStyle w:val="6"/>
          <w:sz w:val="32"/>
          <w:szCs w:val="32"/>
        </w:rPr>
        <w:t>+16m</w:t>
      </w:r>
      <w:r>
        <w:rPr>
          <w:rStyle w:val="5"/>
        </w:rPr>
        <w:t>机动车道</w:t>
      </w:r>
      <w:r>
        <w:rPr>
          <w:rStyle w:val="6"/>
          <w:sz w:val="32"/>
          <w:szCs w:val="32"/>
        </w:rPr>
        <w:t>+4m</w:t>
      </w:r>
      <w:r>
        <w:rPr>
          <w:rStyle w:val="5"/>
        </w:rPr>
        <w:t>机非分隔带</w:t>
      </w:r>
      <w:r>
        <w:rPr>
          <w:rStyle w:val="6"/>
          <w:sz w:val="32"/>
          <w:szCs w:val="32"/>
        </w:rPr>
        <w:t>+6m</w:t>
      </w:r>
      <w:r>
        <w:rPr>
          <w:rStyle w:val="5"/>
        </w:rPr>
        <w:t>非机动车道</w:t>
      </w:r>
      <w:r>
        <w:rPr>
          <w:rStyle w:val="6"/>
          <w:sz w:val="32"/>
          <w:szCs w:val="32"/>
        </w:rPr>
        <w:t>+9m</w:t>
      </w:r>
      <w:r>
        <w:rPr>
          <w:rStyle w:val="5"/>
        </w:rPr>
        <w:t>人行道；嵩山路为城市支路，全长</w:t>
      </w:r>
      <w:r>
        <w:rPr>
          <w:rStyle w:val="6"/>
          <w:sz w:val="32"/>
          <w:szCs w:val="32"/>
        </w:rPr>
        <w:t>134.704m,</w:t>
      </w:r>
      <w:r>
        <w:rPr>
          <w:rStyle w:val="5"/>
        </w:rPr>
        <w:t>道路红线宽度为</w:t>
      </w:r>
      <w:r>
        <w:rPr>
          <w:rStyle w:val="6"/>
          <w:sz w:val="32"/>
          <w:szCs w:val="32"/>
        </w:rPr>
        <w:t>16</w:t>
      </w:r>
      <w:r>
        <w:rPr>
          <w:rStyle w:val="5"/>
        </w:rPr>
        <w:t>米</w:t>
      </w:r>
      <w:r>
        <w:rPr>
          <w:rStyle w:val="5"/>
          <w:rFonts w:hint="eastAsia" w:eastAsia="仿宋_GB2312"/>
          <w:lang w:eastAsia="zh-CN"/>
        </w:rPr>
        <w:t>，</w:t>
      </w:r>
      <w:r>
        <w:rPr>
          <w:rStyle w:val="5"/>
        </w:rPr>
        <w:t>横断面布置为：</w:t>
      </w:r>
      <w:r>
        <w:rPr>
          <w:rStyle w:val="6"/>
          <w:sz w:val="32"/>
          <w:szCs w:val="32"/>
        </w:rPr>
        <w:t>5.5m</w:t>
      </w:r>
      <w:r>
        <w:rPr>
          <w:rStyle w:val="5"/>
        </w:rPr>
        <w:t>人行道</w:t>
      </w:r>
      <w:r>
        <w:rPr>
          <w:rStyle w:val="6"/>
          <w:sz w:val="32"/>
          <w:szCs w:val="32"/>
        </w:rPr>
        <w:t>+9m</w:t>
      </w:r>
      <w:r>
        <w:rPr>
          <w:rStyle w:val="5"/>
        </w:rPr>
        <w:t>机非混行道</w:t>
      </w:r>
      <w:r>
        <w:rPr>
          <w:rStyle w:val="6"/>
          <w:sz w:val="32"/>
          <w:szCs w:val="32"/>
        </w:rPr>
        <w:t>+5.5m</w:t>
      </w:r>
      <w:r>
        <w:rPr>
          <w:rStyle w:val="5"/>
        </w:rPr>
        <w:t>人行道（本次实施）；牌门路为城市支路，全长</w:t>
      </w:r>
      <w:r>
        <w:rPr>
          <w:rStyle w:val="6"/>
          <w:sz w:val="32"/>
          <w:szCs w:val="32"/>
        </w:rPr>
        <w:t>128.104m</w:t>
      </w:r>
      <w:r>
        <w:rPr>
          <w:rStyle w:val="5"/>
        </w:rPr>
        <w:t>，道路红线宽度为</w:t>
      </w:r>
      <w:r>
        <w:rPr>
          <w:rStyle w:val="6"/>
          <w:sz w:val="32"/>
          <w:szCs w:val="32"/>
        </w:rPr>
        <w:t>28</w:t>
      </w:r>
      <w:r>
        <w:rPr>
          <w:rStyle w:val="5"/>
        </w:rPr>
        <w:t>米，横断面布置为：</w:t>
      </w:r>
      <w:r>
        <w:rPr>
          <w:rStyle w:val="6"/>
          <w:sz w:val="32"/>
          <w:szCs w:val="32"/>
        </w:rPr>
        <w:t>5m</w:t>
      </w:r>
      <w:r>
        <w:rPr>
          <w:rStyle w:val="5"/>
        </w:rPr>
        <w:t>人行道（本次实施）</w:t>
      </w:r>
      <w:r>
        <w:rPr>
          <w:rStyle w:val="6"/>
          <w:sz w:val="32"/>
          <w:szCs w:val="32"/>
        </w:rPr>
        <w:t>+18m</w:t>
      </w:r>
      <w:r>
        <w:rPr>
          <w:rStyle w:val="5"/>
        </w:rPr>
        <w:t>机非混行道</w:t>
      </w:r>
      <w:r>
        <w:rPr>
          <w:rStyle w:val="6"/>
          <w:sz w:val="32"/>
          <w:szCs w:val="32"/>
        </w:rPr>
        <w:t>+5m</w:t>
      </w:r>
      <w:r>
        <w:rPr>
          <w:rStyle w:val="5"/>
        </w:rPr>
        <w:t>人行道（本次实施）；人行道横坡均为</w:t>
      </w:r>
      <w:r>
        <w:rPr>
          <w:rStyle w:val="6"/>
          <w:sz w:val="32"/>
          <w:szCs w:val="32"/>
        </w:rPr>
        <w:t>2%</w:t>
      </w:r>
      <w:r>
        <w:rPr>
          <w:rStyle w:val="5"/>
        </w:rPr>
        <w:t>。人行道铺装结构采用</w:t>
      </w:r>
      <w:r>
        <w:rPr>
          <w:rStyle w:val="6"/>
          <w:sz w:val="32"/>
          <w:szCs w:val="32"/>
        </w:rPr>
        <w:t>6cm</w:t>
      </w:r>
      <w:r>
        <w:rPr>
          <w:rStyle w:val="5"/>
        </w:rPr>
        <w:t>厚</w:t>
      </w:r>
      <w:r>
        <w:rPr>
          <w:rStyle w:val="6"/>
          <w:sz w:val="32"/>
          <w:szCs w:val="32"/>
        </w:rPr>
        <w:t>20×10cm</w:t>
      </w:r>
      <w:r>
        <w:rPr>
          <w:rStyle w:val="5"/>
        </w:rPr>
        <w:t>灰色吸水砖（</w:t>
      </w:r>
      <w:r>
        <w:rPr>
          <w:rStyle w:val="6"/>
          <w:sz w:val="32"/>
          <w:szCs w:val="32"/>
        </w:rPr>
        <w:t>C40</w:t>
      </w:r>
      <w:r>
        <w:rPr>
          <w:rStyle w:val="5"/>
        </w:rPr>
        <w:t>）</w:t>
      </w:r>
      <w:r>
        <w:rPr>
          <w:rStyle w:val="6"/>
          <w:sz w:val="32"/>
          <w:szCs w:val="32"/>
        </w:rPr>
        <w:t>+3cm</w:t>
      </w:r>
      <w:r>
        <w:rPr>
          <w:rStyle w:val="5"/>
        </w:rPr>
        <w:t>厚砂垫层</w:t>
      </w:r>
      <w:r>
        <w:rPr>
          <w:rStyle w:val="6"/>
          <w:sz w:val="32"/>
          <w:szCs w:val="32"/>
        </w:rPr>
        <w:t>+15cm</w:t>
      </w:r>
      <w:r>
        <w:rPr>
          <w:rStyle w:val="5"/>
        </w:rPr>
        <w:t>厚</w:t>
      </w:r>
      <w:r>
        <w:rPr>
          <w:rStyle w:val="6"/>
          <w:sz w:val="32"/>
          <w:szCs w:val="32"/>
        </w:rPr>
        <w:t>C25</w:t>
      </w:r>
      <w:r>
        <w:rPr>
          <w:rStyle w:val="5"/>
        </w:rPr>
        <w:t>透水混凝土</w:t>
      </w:r>
      <w:r>
        <w:rPr>
          <w:rStyle w:val="6"/>
          <w:sz w:val="32"/>
          <w:szCs w:val="32"/>
        </w:rPr>
        <w:t>+15cm</w:t>
      </w:r>
      <w:r>
        <w:rPr>
          <w:rStyle w:val="5"/>
        </w:rPr>
        <w:t>碎石垫层。检查井加高</w:t>
      </w:r>
      <w:r>
        <w:rPr>
          <w:rStyle w:val="6"/>
          <w:sz w:val="32"/>
          <w:szCs w:val="32"/>
        </w:rPr>
        <w:t>20</w:t>
      </w:r>
      <w:r>
        <w:rPr>
          <w:rStyle w:val="5"/>
        </w:rPr>
        <w:t>座。</w:t>
      </w:r>
      <w:r>
        <w:rPr>
          <w:rStyle w:val="5"/>
        </w:rPr>
        <w:br w:type="textWrapping"/>
      </w:r>
      <w:r>
        <w:rPr>
          <w:rStyle w:val="4"/>
        </w:rPr>
        <w:t>四、工程设计</w:t>
      </w:r>
    </w:p>
    <w:p>
      <w:pPr>
        <w:numPr>
          <w:ilvl w:val="0"/>
          <w:numId w:val="2"/>
        </w:numPr>
        <w:ind w:leftChars="-100" w:firstLine="640" w:firstLineChars="200"/>
        <w:rPr>
          <w:rStyle w:val="5"/>
        </w:rPr>
      </w:pPr>
      <w:r>
        <w:rPr>
          <w:rStyle w:val="5"/>
        </w:rPr>
        <w:t>原则同意道路方案设计做法。下阶段请根据工程的实</w:t>
      </w:r>
      <w:r>
        <w:rPr>
          <w:rStyle w:val="5"/>
        </w:rPr>
        <w:br w:type="textWrapping"/>
      </w:r>
      <w:r>
        <w:rPr>
          <w:rStyle w:val="5"/>
        </w:rPr>
        <w:t>际情况，对道路给排水及通信综合管线等进行必要的补充和</w:t>
      </w:r>
      <w:r>
        <w:rPr>
          <w:rStyle w:val="5"/>
        </w:rPr>
        <w:br w:type="textWrapping"/>
      </w:r>
      <w:r>
        <w:rPr>
          <w:rStyle w:val="5"/>
        </w:rPr>
        <w:t>优化，做好与相交道路的平顺衔接，并做好与相关部门的对</w:t>
      </w:r>
      <w:r>
        <w:rPr>
          <w:rStyle w:val="5"/>
        </w:rPr>
        <w:br w:type="textWrapping"/>
      </w:r>
      <w:r>
        <w:rPr>
          <w:rStyle w:val="5"/>
        </w:rPr>
        <w:t>接沟通。</w:t>
      </w:r>
    </w:p>
    <w:p>
      <w:pPr>
        <w:numPr>
          <w:ilvl w:val="0"/>
          <w:numId w:val="2"/>
        </w:numPr>
        <w:ind w:leftChars="-100" w:firstLine="640" w:firstLineChars="200"/>
        <w:rPr>
          <w:rStyle w:val="5"/>
        </w:rPr>
      </w:pPr>
      <w:r>
        <w:rPr>
          <w:rStyle w:val="5"/>
        </w:rPr>
        <w:t>请建设单位在开工建设前，依据相关法律、行政法规规范办理规划许可、土地使用、资源利用、环评等相关报建手续。</w:t>
      </w:r>
    </w:p>
    <w:p>
      <w:pPr>
        <w:numPr>
          <w:ilvl w:val="0"/>
          <w:numId w:val="3"/>
        </w:numPr>
        <w:ind w:left="640" w:hanging="640" w:hangingChars="200"/>
        <w:rPr>
          <w:rFonts w:ascii="黑体" w:hAnsi="宋体" w:eastAsia="黑体" w:cs="黑体"/>
          <w:b w:val="0"/>
          <w:i w:val="0"/>
          <w:color w:val="000000"/>
          <w:sz w:val="32"/>
          <w:szCs w:val="32"/>
        </w:rPr>
      </w:pPr>
      <w:r>
        <w:rPr>
          <w:rFonts w:ascii="黑体" w:hAnsi="宋体" w:eastAsia="黑体" w:cs="黑体"/>
          <w:b w:val="0"/>
          <w:i w:val="0"/>
          <w:color w:val="000000"/>
          <w:sz w:val="32"/>
          <w:szCs w:val="32"/>
        </w:rPr>
        <w:t>概算</w:t>
      </w:r>
    </w:p>
    <w:p>
      <w:pPr>
        <w:numPr>
          <w:numId w:val="0"/>
        </w:numPr>
        <w:ind w:firstLine="640" w:firstLineChars="200"/>
        <w:rPr>
          <w:rStyle w:val="5"/>
        </w:rPr>
      </w:pPr>
      <w:r>
        <w:rPr>
          <w:rFonts w:ascii="仿宋_GB2312" w:hAnsi="仿宋_GB2312" w:eastAsia="仿宋_GB2312" w:cs="仿宋_GB2312"/>
          <w:b w:val="0"/>
          <w:i w:val="0"/>
          <w:color w:val="000000"/>
          <w:sz w:val="32"/>
          <w:szCs w:val="32"/>
        </w:rPr>
        <w:t xml:space="preserve">项目投资概算为 </w:t>
      </w:r>
      <w:r>
        <w:rPr>
          <w:rFonts w:ascii="TimesNewRomanPSMT" w:hAnsi="TimesNewRomanPSMT" w:eastAsia="TimesNewRomanPSMT" w:cs="TimesNewRomanPSMT"/>
          <w:b w:val="0"/>
          <w:i w:val="0"/>
          <w:color w:val="000000"/>
          <w:sz w:val="32"/>
          <w:szCs w:val="32"/>
        </w:rPr>
        <w:t xml:space="preserve">251.47 </w:t>
      </w:r>
      <w:r>
        <w:rPr>
          <w:rFonts w:ascii="仿宋_GB2312" w:hAnsi="仿宋_GB2312" w:eastAsia="仿宋_GB2312" w:cs="仿宋_GB2312"/>
          <w:b w:val="0"/>
          <w:i w:val="0"/>
          <w:color w:val="000000"/>
          <w:sz w:val="32"/>
          <w:szCs w:val="32"/>
        </w:rPr>
        <w:t>万元， 建设所需资金由杜桥镇人民政府自筹解决。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3F9575"/>
    <w:multiLevelType w:val="singleLevel"/>
    <w:tmpl w:val="803F95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9BAB034"/>
    <w:multiLevelType w:val="singleLevel"/>
    <w:tmpl w:val="A9BAB034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2">
    <w:nsid w:val="4280B53D"/>
    <w:multiLevelType w:val="singleLevel"/>
    <w:tmpl w:val="4280B53D"/>
    <w:lvl w:ilvl="0" w:tentative="0">
      <w:start w:val="5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7017F"/>
    <w:rsid w:val="6CE7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uiPriority w:val="0"/>
    <w:rPr>
      <w:rFonts w:ascii="黑体" w:hAnsi="宋体" w:eastAsia="黑体" w:cs="黑体"/>
      <w:color w:val="000000"/>
      <w:sz w:val="32"/>
      <w:szCs w:val="32"/>
    </w:rPr>
  </w:style>
  <w:style w:type="character" w:customStyle="1" w:styleId="5">
    <w:name w:val="fontstyle21"/>
    <w:basedOn w:val="3"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6">
    <w:name w:val="fontstyle31"/>
    <w:basedOn w:val="3"/>
    <w:uiPriority w:val="0"/>
    <w:rPr>
      <w:rFonts w:ascii="TimesNewRomanPSMT" w:hAnsi="TimesNewRomanPSMT" w:eastAsia="TimesNewRomanPSMT" w:cs="TimesNewRomanPSMT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2024-08-22T07:32:00Z</dcterms:created>
  <dc:creator>Administrator</dc:creator>
  <cp:lastModifiedBy>Administrator</cp:lastModifiedBy>
  <dcterms:modified xsi:type="dcterms:W3CDTF">2024-08-22T07:45:53Z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