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topLinePunct w:val="0"/>
        <w:bidi w:val="0"/>
        <w:adjustRightInd w:val="0"/>
        <w:snapToGrid w:val="0"/>
        <w:spacing w:line="530" w:lineRule="exact"/>
        <w:jc w:val="center"/>
        <w:textAlignment w:val="auto"/>
        <w:rPr>
          <w:rFonts w:hint="eastAsia" w:ascii="黑体" w:hAnsi="黑体" w:eastAsia="黑体" w:cs="黑体"/>
          <w:b/>
          <w:bCs w:val="0"/>
          <w:w w:val="100"/>
          <w:sz w:val="36"/>
          <w:szCs w:val="36"/>
        </w:rPr>
      </w:pPr>
      <w:r>
        <w:rPr>
          <w:rFonts w:hint="eastAsia" w:ascii="黑体" w:hAnsi="黑体" w:eastAsia="黑体" w:cs="黑体"/>
          <w:b/>
          <w:bCs w:val="0"/>
          <w:w w:val="100"/>
          <w:sz w:val="36"/>
          <w:szCs w:val="36"/>
        </w:rPr>
        <w:t>关于加快现代服务业高质量发展的若干政策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720" w:firstLineChars="200"/>
        <w:jc w:val="center"/>
        <w:textAlignment w:val="auto"/>
        <w:rPr>
          <w:rFonts w:hint="eastAsia" w:ascii="楷体" w:hAnsi="楷体" w:eastAsia="楷体" w:cs="楷体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jc w:val="center"/>
        <w:textAlignment w:val="auto"/>
        <w:rPr>
          <w:rFonts w:hint="eastAsia" w:ascii="楷体" w:hAnsi="楷体" w:eastAsia="楷体" w:cs="楷体"/>
          <w:sz w:val="30"/>
          <w:szCs w:val="30"/>
          <w:lang w:eastAsia="zh-CN"/>
        </w:rPr>
      </w:pPr>
      <w:r>
        <w:rPr>
          <w:rFonts w:hint="eastAsia" w:ascii="楷体" w:hAnsi="楷体" w:eastAsia="楷体" w:cs="楷体"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sz w:val="30"/>
          <w:szCs w:val="30"/>
          <w:lang w:val="en-US" w:eastAsia="zh-CN"/>
        </w:rPr>
        <w:t>征求意见稿</w:t>
      </w:r>
      <w:r>
        <w:rPr>
          <w:rFonts w:hint="eastAsia" w:ascii="楷体" w:hAnsi="楷体" w:eastAsia="楷体" w:cs="楷体"/>
          <w:sz w:val="30"/>
          <w:szCs w:val="30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topLinePunct w:val="0"/>
        <w:autoSpaceDE w:val="0"/>
        <w:autoSpaceDN w:val="0"/>
        <w:bidi w:val="0"/>
        <w:adjustRightInd w:val="0"/>
        <w:spacing w:line="530" w:lineRule="exact"/>
        <w:ind w:firstLine="645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bidi w:val="0"/>
        <w:adjustRightInd w:val="0"/>
        <w:snapToGrid w:val="0"/>
        <w:spacing w:beforeAutospacing="0" w:afterAutospacing="0" w:line="530" w:lineRule="exact"/>
        <w:ind w:firstLine="640" w:firstLineChars="200"/>
        <w:jc w:val="left"/>
        <w:textAlignment w:val="auto"/>
        <w:rPr>
          <w:rFonts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一、</w:t>
      </w:r>
      <w:r>
        <w:rPr>
          <w:rFonts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推动生产性服务业</w:t>
      </w:r>
      <w:r>
        <w:rPr>
          <w:rFonts w:hint="eastAsia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高端化</w:t>
      </w:r>
      <w:r>
        <w:rPr>
          <w:rFonts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发展</w:t>
      </w:r>
    </w:p>
    <w:p>
      <w:pPr>
        <w:keepNext w:val="0"/>
        <w:keepLines w:val="0"/>
        <w:pageBreakBefore w:val="0"/>
        <w:kinsoku/>
        <w:wordWrap/>
        <w:topLinePunct w:val="0"/>
        <w:autoSpaceDE w:val="0"/>
        <w:autoSpaceDN w:val="0"/>
        <w:bidi w:val="0"/>
        <w:adjustRightInd w:val="0"/>
        <w:spacing w:line="530" w:lineRule="exact"/>
        <w:ind w:firstLine="645"/>
        <w:jc w:val="both"/>
        <w:textAlignment w:val="auto"/>
        <w:rPr>
          <w:rFonts w:hint="default" w:ascii="Times New Roman" w:hAnsi="Times New Roman" w:eastAsia="楷体_GB2312" w:cs="Times New Roman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kern w:val="0"/>
          <w:sz w:val="32"/>
          <w:szCs w:val="32"/>
          <w:highlight w:val="none"/>
          <w:shd w:val="clear" w:color="auto" w:fill="FFFFFF"/>
          <w:lang w:val="en-US" w:eastAsia="zh-CN" w:bidi="ar-SA"/>
        </w:rPr>
        <w:t>（一）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  <w:shd w:val="clear" w:color="auto" w:fill="FFFFFF"/>
          <w:lang w:val="en-US" w:eastAsia="zh-CN" w:bidi="ar-SA"/>
        </w:rPr>
        <w:t>鼓励企业加快发展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  <w:t>支持重点领域提速发展。对纳入统计联网直报的其他营利性服务业四门类企业，年营业收入首次超过2000万元，给予一次性奖励20万元。年营业收入首次达到3000万元的，一次性奖励30万元；年营业收入首次达到5000万元的，一次性奖励50万元；年营业收入首次达到1亿元的，一次性奖励100万元，年营业收入首次达到2亿元及以上的，一次性奖励200万元。年营业收入档次升格后，对奖励差额部分给予补足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  <w:t>支持成长型企业加速发展。对连续三年统计联网直报且均正增长的信息技术服务、研发设计、检验检测认证、商务服务等鼓励类领域的规上生产性服务业企业，营业收入同比增长20%以上（含），一次性奖励每家企业20万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  <w:t>支持企业两业深度融合发展。鼓励工业、建筑业企业服务化发展，企业将其研发设计、技术平台、物流运输、投资服务、信息软件服务、售后服务等非主营业务分离且当年完成升规工作的，按其年度营业收入的5%进行奖补，最高不超过1000万元。获得年度营收奖励后三年内，上年营业收入增速超过15%的企业，每年再奖励20万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  <w:t>支持外地上市企业引进区域总部。支持外地上市企业引进区域总部。对服务业（四门类）上市企业（链主型企业），在我区设立区域总部且年营收增速达30%以上的，每年奖励100万元，限定三年，总计300万元。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default" w:ascii="仿宋_GB2312" w:hAnsi="仿宋_GB2312" w:eastAsia="仿宋_GB2312" w:cs="仿宋_GB2312"/>
          <w:bCs/>
          <w:sz w:val="32"/>
          <w:szCs w:val="32"/>
          <w:lang w:eastAsia="zh-CN"/>
        </w:rPr>
        <w:t>对获得国家级、省级“专精特新”的服务业企业，一次性分别奖励100万元、10万元。2024年以来，对获得国家级、省级“小巨人”的服务业企业，一次性分别奖励180万元、50万元。（责任单位：区商务局）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shd w:val="clear" w:color="auto" w:fill="FFFFFF"/>
        </w:rPr>
        <w:t>推动各领域跨界融合发展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sz w:val="32"/>
          <w:szCs w:val="32"/>
          <w:shd w:val="clear" w:color="auto" w:fill="FFFFFF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 xml:space="preserve">该政策详情请咨询本地国防动员办公室。 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（责任单位：区发改局）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topLinePunct w:val="0"/>
        <w:bidi w:val="0"/>
        <w:snapToGrid w:val="0"/>
        <w:spacing w:line="53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提升检验检测服务能力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对新入驻国家检验检测高技术服务业集聚区的检验检测认证机构，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eastAsia="zh-CN"/>
        </w:rPr>
        <w:t>按投入检验检测用仪器设备原值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u w:val="none"/>
          <w:lang w:val="en-US" w:eastAsia="zh-CN"/>
        </w:rPr>
        <w:t>5%进行补助，一次性补助不超过50万元。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对当年新批准的国家级、省级质检中心，分别一次性奖励50万元、20万元。对当年新通过国家实验室认可的企业，一次性奖励20万元。（</w:t>
      </w:r>
      <w:r>
        <w:rPr>
          <w:rFonts w:hint="eastAsia" w:ascii="仿宋_GB2312" w:hAnsi="仿宋_GB2312" w:eastAsia="仿宋_GB2312" w:cs="仿宋_GB2312"/>
          <w:sz w:val="32"/>
          <w:szCs w:val="32"/>
        </w:rPr>
        <w:t>责任单位：区市场监管局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bidi w:val="0"/>
        <w:adjustRightInd w:val="0"/>
        <w:snapToGrid w:val="0"/>
        <w:spacing w:beforeAutospacing="0" w:afterAutospacing="0" w:line="530" w:lineRule="exact"/>
        <w:ind w:firstLine="641" w:firstLineChars="200"/>
        <w:jc w:val="both"/>
        <w:textAlignment w:val="auto"/>
        <w:rPr>
          <w:rFonts w:ascii="Times New Roman" w:hAnsi="Times New Roman" w:eastAsia="黑体" w:cs="Times New Roman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b/>
          <w:kern w:val="0"/>
          <w:sz w:val="32"/>
          <w:szCs w:val="32"/>
          <w:lang w:val="en-US" w:eastAsia="zh-CN" w:bidi="ar-SA"/>
        </w:rPr>
        <w:t>二、</w:t>
      </w:r>
      <w:r>
        <w:rPr>
          <w:rFonts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促进生活性服务业品质化发展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四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）提升旅游景区质量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对新创建的国家5A级旅游景区，给予200万元奖励；对新创建的国家4A级旅游景区，给予60万元奖励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（五）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加快发展研学旅游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对新评定的国家级、省级研学旅游营地，分别奖励50万元、20万元；对新评定的国家级、省级研学旅游基地、标准示范单位，分别给予 20万元、10万元的奖励。（责任单位：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sz w:val="32"/>
          <w:szCs w:val="24"/>
        </w:rPr>
      </w:pPr>
      <w:r>
        <w:rPr>
          <w:rFonts w:hint="eastAsia" w:eastAsia="楷体_GB2312" w:cs="Times New Roman"/>
          <w:bCs/>
          <w:snapToGrid w:val="0"/>
          <w:sz w:val="32"/>
          <w:szCs w:val="24"/>
          <w:lang w:eastAsia="zh-CN"/>
        </w:rPr>
        <w:t>（六）</w:t>
      </w:r>
      <w:r>
        <w:rPr>
          <w:rFonts w:ascii="Times New Roman" w:hAnsi="Times New Roman" w:eastAsia="楷体_GB2312" w:cs="Times New Roman"/>
          <w:bCs/>
          <w:snapToGrid w:val="0"/>
          <w:sz w:val="32"/>
          <w:szCs w:val="24"/>
        </w:rPr>
        <w:t>鼓励发展过夜旅游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加大“全市游”黄金旅游线路推广力度，对接待境内过夜游客500人次/年（每晚计1人次，依次类推）以上旅行社，按15元/人次奖励；对接待境外过夜游客超过300人次/年的旅行社，按50元/人次奖励。（责任单位：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（七）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支持旅行社创强、创星、创收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对新评定的全省百强和全国百强旅行社分别给予5万元、10万元奖励。对新评定的三星级、四星级、五星级旅行社分别给予2万元、5万元、10万元奖励；对年营业收入首次超过1亿元、1.5亿元、2亿元的旅行社，分别一次性奖励10万元、20万元、30万元。（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（八）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加强旅游人才培养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新获得中、高、特级导游资格的人员分别一次性奖励2000元、6000元、1万元；新获得全国导游人员资格证的一次性奖励1000元。（责任单位：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（九）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推动体育园区基地建设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shd w:val="clear" w:color="auto" w:fill="FFFFFF"/>
          <w:lang w:val="en-US" w:eastAsia="zh-CN" w:bidi="ar-SA"/>
        </w:rPr>
        <w:t>对新创建成（复评通过）的国家级体育产业示范基地、示范单位、示范项目、省级运动休闲小镇的单位，在省市奖补基础上各给予10万元的一次性奖励；被评为省级体育服务业示范企业、体育用品制造业示范企业或省级运动休闲基地的单位，在省市奖补基础上各给予10万元的一次性奖励；被评为省级运动休闲旅游示范基地、精品线路和优秀项目的单位，在省市奖补基础上分别给予5万元、3万元、2万元的一次性奖励；对新创建成（复评通过）的国家级、省级青少年户外活动营地分别给予15万元、8万元的一次性奖励；对新创建成国家级、省级体育俱乐部分别给予 8万元、3万元的一次性奖励。属同一单位创建晋升的，补差奖励。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（责任单位：区教体局）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（十）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鼓励举办（承办）体育赛事活动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发挥现有体育场地资源和竞赛管理人才优势，着力打造优秀社会性体育赛事。在场馆具备条件情况下，积极引进高水平体育赛事，规定凡经体育主管部门批准引进，由体育总会下属协会或体育企业（含民办非企业组织）经费自筹承办的大型赛事活动实行“以奖代补”，即国际单项赛事（国际体育组织主办或 4个及以上国家（地区）代表队参赛或 20个国家（地区）及以上外籍运动员参赛）一次性奖补办赛经费 15-20万元；全国单项赛事（国家体育总局项目管理中心主办或全国单项体育协会主办或 15个及以上省级代表队参赛）一次性奖补10-15万元；省级单项赛事（浙江省体育局项目管理中心主办或全省单项体育协会主办或6个及以上地级市代表队参赛）一次性奖补5-8万元；市级单项赛事（绍兴市体育局主办或全市单项体育协会主办或4个及以上县市区代表队参赛）一次性奖补2-4万元；区级单项赛事（区教体局主办或全区单项体育协会主办）一次性奖补0.3-2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（责任单位：区教体局）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topLinePunct w:val="0"/>
        <w:bidi w:val="0"/>
        <w:spacing w:before="0" w:beforeAutospacing="0" w:after="0" w:afterAutospacing="0"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Cs/>
          <w:sz w:val="32"/>
          <w:szCs w:val="32"/>
        </w:rPr>
      </w:pPr>
      <w:r>
        <w:rPr>
          <w:rFonts w:hint="eastAsia" w:ascii="Times New Roman" w:hAnsi="Times New Roman" w:eastAsia="楷体_GB2312" w:cs="Times New Roman"/>
          <w:bCs/>
          <w:sz w:val="32"/>
          <w:szCs w:val="32"/>
          <w:lang w:eastAsia="zh-CN"/>
        </w:rPr>
        <w:t>（十一）</w:t>
      </w: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加强安保服务品质</w:t>
      </w:r>
    </w:p>
    <w:p>
      <w:pPr>
        <w:pStyle w:val="9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topLinePunct w:val="0"/>
        <w:bidi w:val="0"/>
        <w:spacing w:before="0" w:beforeAutospacing="0" w:after="0" w:afterAutospacing="0"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  <w:lang w:eastAsia="zh-CN"/>
        </w:rPr>
        <w:t>首次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</w:rPr>
        <w:t>获得保安服务行业全省优秀会员单位的，奖励5万元；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  <w:lang w:eastAsia="zh-CN"/>
        </w:rPr>
        <w:t>首次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</w:rPr>
        <w:t>获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</w:rPr>
        <w:t>得全省保安服务行业信用等级A级的，奖励3万元。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（责任单位：公安分局）</w:t>
      </w:r>
    </w:p>
    <w:p>
      <w:pPr>
        <w:pStyle w:val="9"/>
        <w:keepNext w:val="0"/>
        <w:keepLines w:val="0"/>
        <w:pageBreakBefore w:val="0"/>
        <w:widowControl w:val="0"/>
        <w:kinsoku/>
        <w:wordWrap/>
        <w:topLinePunct w:val="0"/>
        <w:bidi w:val="0"/>
        <w:spacing w:before="0" w:beforeAutospacing="0" w:after="0" w:afterAutospacing="0"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  <w:lang w:eastAsia="zh-CN"/>
        </w:rPr>
        <w:t>对寄递企业当年自主添置单价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u w:val="none"/>
          <w:lang w:val="en-US" w:eastAsia="zh-CN"/>
        </w:rPr>
        <w:t>6万元以上的X光机等安检设备，按实际采购价格不超过30%给予补助，单件不超过6万元。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（责任单位：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eastAsia="zh-CN"/>
        </w:rPr>
        <w:t>邮政管理局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beforeAutospacing="0" w:afterAutospacing="0"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kern w:val="0"/>
          <w:sz w:val="32"/>
          <w:szCs w:val="32"/>
          <w:lang w:val="en-US" w:eastAsia="zh-CN" w:bidi="ar-SA"/>
        </w:rPr>
        <w:t>（十二）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  <w:lang w:val="en-US" w:eastAsia="zh-CN" w:bidi="ar-SA"/>
        </w:rPr>
        <w:t>扶持区96345社区服务中心发展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beforeAutospacing="0" w:afterAutospacing="0"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从2025年开始，每年安排100万元，进一步提升社区服务功能。具体考核奖补细则由区商务局制定。（责任单位：区商务局）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beforeAutospacing="0" w:afterAutospacing="0"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24"/>
          <w:lang w:val="en-US" w:eastAsia="zh-CN" w:bidi="ar-SA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24"/>
          <w:lang w:val="en-US" w:eastAsia="zh-CN" w:bidi="ar-SA"/>
        </w:rPr>
        <w:t>（十三）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24"/>
          <w:lang w:val="en-US" w:eastAsia="zh-CN" w:bidi="ar-SA"/>
        </w:rPr>
        <w:t>鼓励住宿餐饮评星创优创收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topLinePunct w:val="0"/>
        <w:bidi w:val="0"/>
        <w:snapToGrid w:val="0"/>
        <w:spacing w:beforeAutospacing="0" w:afterAutospacing="0"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24"/>
          <w:lang w:val="en-US" w:eastAsia="zh-CN" w:bidi="ar-SA"/>
        </w:rPr>
        <w:t>对新评定的三星级饭店、四星级饭店、五星级饭店，分别一次性奖励20万元、30万元、50万元。对通过复评的三星级饭店、四星级饭店、五星级饭店，分别一次性奖励2万元、5万元、10万元。对新评定的省级“银鼎级特色文化主题饭店”、省级“银桂级品质饭店”、省级“金鼎级特色文化主题饭店”、省级“金桂级品质饭店”、全国“金树叶级绿色旅游饭店”，分别一次性奖励10万元、10万元、20万元、20万元、50万元。对新评定为省级银宿级民宿、金宿级民宿、白金级民宿，分别一次性奖励15万元、30万元、50万元。鼓励星级饭店创收，对年营业收入首次超过1亿元、2亿元、3亿元的星级饭店，分别一次性奖励10万元、20万元、30万元。（责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文广旅游局</w:t>
      </w:r>
      <w:r>
        <w:rPr>
          <w:rFonts w:hint="eastAsia" w:ascii="仿宋_GB2312" w:hAnsi="仿宋_GB2312" w:eastAsia="仿宋_GB2312" w:cs="仿宋_GB2312"/>
          <w:kern w:val="0"/>
          <w:sz w:val="32"/>
          <w:szCs w:val="24"/>
          <w:lang w:val="en-US" w:eastAsia="zh-CN" w:bidi="ar-SA"/>
        </w:rPr>
        <w:t>）</w:t>
      </w:r>
    </w:p>
    <w:p>
      <w:pPr>
        <w:pStyle w:val="9"/>
        <w:keepNext w:val="0"/>
        <w:keepLines w:val="0"/>
        <w:pageBreakBefore w:val="0"/>
        <w:widowControl w:val="0"/>
        <w:kinsoku/>
        <w:wordWrap/>
        <w:topLinePunct w:val="0"/>
        <w:bidi w:val="0"/>
        <w:spacing w:before="0" w:beforeAutospacing="0" w:after="0" w:afterAutospacing="0" w:line="530" w:lineRule="exact"/>
        <w:ind w:firstLine="640" w:firstLineChars="200"/>
        <w:jc w:val="both"/>
        <w:textAlignment w:val="auto"/>
        <w:rPr>
          <w:rStyle w:val="12"/>
          <w:rFonts w:hint="eastAsia" w:ascii="Times New Roman" w:hAnsi="Times New Roman" w:eastAsia="黑体"/>
          <w:b w:val="0"/>
          <w:color w:val="000000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Style w:val="12"/>
          <w:rFonts w:hint="eastAsia" w:ascii="Times New Roman" w:hAnsi="Times New Roman" w:eastAsia="黑体"/>
          <w:b w:val="0"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三、支持商贸服务业品牌化发展</w:t>
      </w:r>
    </w:p>
    <w:p>
      <w:pPr>
        <w:pStyle w:val="4"/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楷体_GB2312" w:hAnsi="Times New Roman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楷体_GB2312" w:hAnsi="Times New Roman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（十</w:t>
      </w:r>
      <w:r>
        <w:rPr>
          <w:rFonts w:hint="eastAsia" w:ascii="楷体_GB2312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四</w:t>
      </w:r>
      <w:r>
        <w:rPr>
          <w:rFonts w:hint="eastAsia" w:ascii="楷体_GB2312" w:hAnsi="Times New Roman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）</w:t>
      </w:r>
      <w:r>
        <w:rPr>
          <w:rFonts w:hint="eastAsia" w:ascii="楷体_GB2312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完善</w:t>
      </w:r>
      <w:r>
        <w:rPr>
          <w:rFonts w:hint="eastAsia" w:ascii="楷体_GB2312" w:hAnsi="Times New Roman" w:eastAsia="楷体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  <w:t>县域商业体系建设</w:t>
      </w:r>
    </w:p>
    <w:p>
      <w:pPr>
        <w:pStyle w:val="4"/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  <w:t>新评为省级、市级城市一刻钟便民生活圈的创建主体，分别奖励30万元、10万元。</w:t>
      </w:r>
    </w:p>
    <w:p>
      <w:pPr>
        <w:pStyle w:val="4"/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  <w:t>对开设24小时便利店的企业，给予每家门店实际投资额20%奖励，每家门店最高不超过5万元。（责任单位：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  <w:t>商务局）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（十五）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激活多元消费业态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成功创建“夜间经济示范集聚区”的，给予创建主体20万元奖励。</w:t>
      </w:r>
    </w:p>
    <w:p>
      <w:pPr>
        <w:pStyle w:val="4"/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  <w:t>加快品牌首店（旗舰店）入驻。对成功引进品牌首店（旗舰店）的商业综合体、特色步行街、夜间经济集聚区等引进方予以支持。其中，成功引进国际、国内知名品牌企业开设旗舰店的，每引进一家分别奖励80万元、60万元；成功引进国际、国内知名品牌企业开设浙江首店的，每引进一家分别奖励60万元、40万元； 成功引进国际、国内知名品牌企业开设绍兴首店的，每引进 一家分别奖励30万元、20万元。知名潮店网红店两年内在上虞开设绍兴首店的，对引进方、品牌企业或品牌授权代理商分别奖励1万元，单个单位年度累计奖励最高不超过200万元。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  <w:t>（责任单位：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</w:rPr>
        <w:t>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/>
          <w:bCs/>
          <w:color w:val="000000"/>
          <w:sz w:val="32"/>
          <w:szCs w:val="32"/>
          <w:highlight w:val="none"/>
        </w:rPr>
      </w:pPr>
      <w:r>
        <w:rPr>
          <w:rFonts w:ascii="Times New Roman" w:hAnsi="Times New Roman" w:eastAsia="楷体_GB2312"/>
          <w:bCs/>
          <w:color w:val="000000"/>
          <w:sz w:val="32"/>
          <w:szCs w:val="32"/>
          <w:highlight w:val="none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  <w:t>十六</w:t>
      </w:r>
      <w:r>
        <w:rPr>
          <w:rFonts w:ascii="Times New Roman" w:hAnsi="Times New Roman" w:eastAsia="楷体_GB2312"/>
          <w:bCs/>
          <w:color w:val="000000"/>
          <w:sz w:val="32"/>
          <w:szCs w:val="32"/>
          <w:highlight w:val="none"/>
        </w:rPr>
        <w:t>）</w:t>
      </w:r>
      <w:r>
        <w:rPr>
          <w:rFonts w:hint="eastAsia" w:ascii="Times New Roman" w:hAnsi="Times New Roman" w:eastAsia="楷体_GB2312"/>
          <w:bCs/>
          <w:color w:val="000000"/>
          <w:sz w:val="32"/>
          <w:szCs w:val="32"/>
          <w:highlight w:val="none"/>
          <w:lang w:val="en-US" w:eastAsia="zh-CN"/>
        </w:rPr>
        <w:t>支撑重点消费平台建设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新评为国家级、省级、市级高品质步行街的运营主体，分别奖励60万元、40万元、20万元。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新评为国家级、省级、市级特色商业街（区）、绿色商场、智慧商店等重点消费平台的运营主体，分别奖励30万元、20万元、10万元。（责任单位：区商务局）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left="630" w:leftChars="0"/>
        <w:jc w:val="both"/>
        <w:textAlignment w:val="auto"/>
        <w:rPr>
          <w:rFonts w:hint="eastAsia" w:ascii="Times New Roman" w:hAnsi="Times New Roman" w:eastAsia="楷体_GB2312"/>
          <w:bCs/>
          <w:color w:val="000000"/>
          <w:kern w:val="2"/>
          <w:sz w:val="32"/>
          <w:szCs w:val="32"/>
          <w:highlight w:val="none"/>
        </w:rPr>
      </w:pPr>
      <w:r>
        <w:rPr>
          <w:rFonts w:hint="eastAsia" w:eastAsia="楷体_GB2312"/>
          <w:bCs/>
          <w:color w:val="000000"/>
          <w:kern w:val="2"/>
          <w:sz w:val="32"/>
          <w:szCs w:val="32"/>
          <w:highlight w:val="none"/>
          <w:lang w:eastAsia="zh-CN"/>
        </w:rPr>
        <w:t>（十七）</w:t>
      </w:r>
      <w:r>
        <w:rPr>
          <w:rFonts w:hint="eastAsia" w:ascii="Times New Roman" w:hAnsi="Times New Roman" w:eastAsia="楷体_GB2312"/>
          <w:bCs/>
          <w:color w:val="000000"/>
          <w:kern w:val="2"/>
          <w:sz w:val="32"/>
          <w:szCs w:val="32"/>
          <w:highlight w:val="none"/>
        </w:rPr>
        <w:t>引导商贸企业连锁经营和内外贸一体化发展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highlight w:val="none"/>
          <w:lang w:val="en-US" w:eastAsia="zh-CN"/>
        </w:rPr>
        <w:t>有3家及以上直营门店的市级商贸流通业重点企业，在区外新增30平方米及以上直营连锁门店且实现总部汇总结算，当年销售额增速不低于全区限上零售业平均增速的，每新增1家奖励5万元，单家企业每年奖励不超过50万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000000"/>
          <w:sz w:val="32"/>
          <w:szCs w:val="32"/>
          <w:highlight w:val="none"/>
          <w:lang w:val="en-US" w:eastAsia="zh-CN"/>
        </w:rPr>
        <w:t>被评为省级内外贸一体化“领跑者”培育企业的，奖励5万元。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bidi="ar"/>
        </w:rPr>
        <w:t>（责任单位：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eastAsia="zh-CN" w:bidi="ar"/>
        </w:rPr>
        <w:t>区</w:t>
      </w:r>
      <w:r>
        <w:rPr>
          <w:rFonts w:hint="eastAsia" w:ascii="仿宋_GB2312" w:hAnsi="仿宋_GB2312" w:eastAsia="仿宋_GB2312" w:cs="仿宋_GB2312"/>
          <w:bCs/>
          <w:color w:val="000000"/>
          <w:kern w:val="2"/>
          <w:sz w:val="32"/>
          <w:szCs w:val="32"/>
          <w:highlight w:val="none"/>
          <w:u w:val="none"/>
          <w:lang w:bidi="ar"/>
        </w:rPr>
        <w:t>商务局）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beforeAutospacing="0" w:afterAutospacing="0" w:line="53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四、加快</w:t>
      </w:r>
      <w:r>
        <w:rPr>
          <w:rFonts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新兴服务业</w:t>
      </w:r>
      <w:r>
        <w:rPr>
          <w:rFonts w:hint="eastAsia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特色化发展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jc w:val="both"/>
        <w:textAlignment w:val="baseline"/>
        <w:rPr>
          <w:rFonts w:hint="eastAsia" w:ascii="Times New Roman" w:hAnsi="Times New Roman" w:eastAsia="楷体_GB2312" w:cs="Times New Roman"/>
          <w:b w:val="0"/>
          <w:bCs/>
          <w:color w:val="000000"/>
          <w:spacing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楷体_GB2312" w:cs="Times New Roman"/>
          <w:b w:val="0"/>
          <w:bCs/>
          <w:color w:val="000000"/>
          <w:spacing w:val="0"/>
          <w:kern w:val="2"/>
          <w:sz w:val="32"/>
          <w:szCs w:val="32"/>
          <w:highlight w:val="none"/>
          <w:lang w:val="en-US" w:eastAsia="zh-CN" w:bidi="ar-SA"/>
        </w:rPr>
        <w:t>（十八）调整优化运输结构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jc w:val="both"/>
        <w:textAlignment w:val="baseline"/>
        <w:rPr>
          <w:rFonts w:ascii="Times New Roman" w:hAnsi="Times New Roman" w:eastAsia="宋体" w:cs="Times New Roman"/>
          <w:b w:val="0"/>
          <w:bCs w:val="0"/>
          <w:color w:val="auto"/>
          <w:szCs w:val="24"/>
          <w:u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kern w:val="0"/>
          <w:sz w:val="32"/>
          <w:szCs w:val="32"/>
          <w:u w:val="none"/>
          <w:lang w:val="en-US" w:eastAsia="zh-CN" w:bidi="ar-SA"/>
        </w:rPr>
        <w:t>鼓励“陆改水”、“散改集”，对纳入绍兴市辖区港口集装箱吞吐量的内河集装箱，每标箱给予水路运输企业100 元奖励，每标箱给予码头投资建设企业100元奖励，对港区至目的地公路新能源运输集装箱的企业每标箱给予100元奖励，每年每个港口累计奖励不超过300万元。对投资建设（含改扩建）300吨级码头以上的，按经审计的码头泊位竣工决算建筑工程费用（码头主体、码头机械、码头堆场、码头仓储）给予每个码头泊位不超过10%的奖励，对单个项目补助累计不超过200万元。水运企业（含新开企业）新购置500总吨以上船舶，船龄1年以内按每艘 40 万元给予奖励，超过1年的每增加一年减少2万元（不足一年计一年），船龄超过10年的不予奖励。沿海企业新购置 10000 总吨以上船舶，船龄1年以内，给予每艘购置款的10%奖励，最高不超过200万元，超过1年的每增加一年减少10%的补贴款（不足一年按一年计），船龄超过 10 年的不予奖励。支持清洁能源在航运领域应用，水运企业（含新开企业）新购置新能源船舶（客船 12 客位以上给予每艘 20万元的奖励、货船 300 总吨以上或1000度电以上的给予每艘60万元的奖励），该项奖励与新增运力奖励不能重复享受。对船舶岸电使用进行补助，补助标准为0.45元度。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u w:val="none"/>
        </w:rPr>
        <w:t>（责任单位：区交通运输局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u w:val="none"/>
          <w:lang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left="630" w:leftChars="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u w:val="none"/>
        </w:rPr>
      </w:pPr>
      <w:r>
        <w:rPr>
          <w:rFonts w:hint="eastAsia" w:eastAsia="楷体_GB2312" w:cs="Times New Roman"/>
          <w:bCs/>
          <w:snapToGrid w:val="0"/>
          <w:color w:val="auto"/>
          <w:kern w:val="0"/>
          <w:sz w:val="32"/>
          <w:szCs w:val="32"/>
          <w:u w:val="none"/>
          <w:lang w:eastAsia="zh-CN"/>
        </w:rPr>
        <w:t>（十九）</w:t>
      </w:r>
      <w:r>
        <w:rPr>
          <w:rFonts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u w:val="none"/>
        </w:rPr>
        <w:t>支持物流企业提档升级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对国家A级物流企业且年营业收入首次超过5000万元、1亿元、1.5亿元的，分别给予一次性奖励10万元、20万元、30万元。对新评定的国家3A、4A和5A级物流企业，分别奖励15万元、30万元、50万元。对本年度内首次纳入交通运输部门“小升规”，即当年度车辆数不少于50辆，且年主营业务收入不少于1000万元的道路货运企业，予以一次性奖励10万元，已列入规上企业的不重复奖励。对每年度</w:t>
      </w:r>
      <w:r>
        <w:rPr>
          <w:rFonts w:hint="default" w:ascii="仿宋_GB2312" w:hAnsi="仿宋_GB2312" w:eastAsia="仿宋_GB2312" w:cs="仿宋_GB2312"/>
          <w:sz w:val="32"/>
          <w:highlight w:val="none"/>
          <w:lang w:val="en-US" w:eastAsia="zh-CN"/>
        </w:rPr>
        <w:t>上级部门核准规上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之前完成“小升规”的道路货运企业，以上一年度上级部门运政库比对月的企业车辆数为基数，予以本年度净增加核定载质量（牵引头准牵引总质量）在10吨及以上的营运货车（不含挂车及货危车辆）奖励1.5万元/辆，（按 2 年支付，第 1 年 1 万元/辆、第 2 年 0.5 万元/辆），单个企业年度最高不超过 60 万元。若第二年降为规下企业，则取消相应年度奖励。对“规上”企业当年度净增加核定载质量（牵引车准牵引总质量）在10吨及以上的营运货车（不含挂车及危货车辆），予以奖励1万元/辆，单个企业最高不超过100万元；若“规上”企业新增运力为新能源货车，在上述奖励的基础上，再予以一次性绿色能源补贴 2 万元/辆。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u w:val="none"/>
        </w:rPr>
        <w:t>（责任单位：区交通运输局）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  <w:t>二十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  <w:t>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 w:bidi="ar-SA"/>
        </w:rPr>
        <w:t>健全城乡物流体系建设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企业建设城乡集约化配送、公共冷链、现代物流供应链项目的，按项目实际投资额的20%，不超过50万元给予补助。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开设50平方米、30平方米及以上农副产品连锁冷链物流配送门店，且配套25立方米及以上冷库的，按当年每家10万元、5万，单个企业每年补助不超过50万元给予奖励。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新评定为国家级、省级供应链创新试点的企业机构，分别奖励50万元、30万元。（责任单位：区商务局）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30" w:lineRule="exact"/>
        <w:ind w:right="0" w:rightChars="0"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一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）培育壮大电商主体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30" w:lineRule="exact"/>
        <w:ind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对年网络零售额超过1000万元、2000万元、3000万元、5000万元且完成升限纳统工作的电商企业，首次申报分别奖励5万元、10万元、20万元、30万元。农产品年网络销售额超过50万元、100万元、300万元的电商企业，首次申报分别奖励3万元、6万元、10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二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）鼓励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发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展电商直播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highlight w:val="none"/>
          <w:lang w:val="en-US" w:eastAsia="zh-CN" w:bidi="ar"/>
        </w:rPr>
        <w:t>支持直播电商基地提质发展。对获评国家级、省级、市级直播电商园区（基地）的，分别给予运营方一次性80万元、50万元、20万元奖励。对直播电商园区（基地）发展入驻电商企业升限纳统的，每发展1家给予运营方1万元奖励。对入驻市级以上直播电商基地的直播电商企业给予租金扶持，按每年最高不超过100元/平方米的标准，根据实际出租面积给予基地运营方不超过年度80%房租补助，每年最高补助不超过50万元。（责任单位：区商务局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 w:bidi="ar-SA"/>
        </w:rPr>
        <w:t>）鼓励电子商务产业集聚和示范创建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/>
        </w:rPr>
        <w:t>对新获得国家级、省级电子商务荣誉称号的企业或运营主体（包括电子商务产业示范基地、新零售示范企业、电商直播式“共富工坊”等），分别奖励10万元、5万元（单个企业或运营主体每年最多补助1次）。对被省级部门认定为省电子商务示范村、专业村的行政村，给予该村一次性5万元奖励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 w:bidi="ar-SA"/>
        </w:rPr>
        <w:t>（责任单位：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四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扶持电子商务公共服务中心建设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支持区级电子商务公共服务中心建设，对引进的第三方运营机构给予运营补助，由区财政全额扶持或结合省切块资金全额扶持，每家不超过150万元。（责任单位：区商务局）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五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鼓励展会规模化发展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对在区内举办的展期不少于3天、标准展位数超过200个以上或3000平米以上，经区商务局审核的专业展会，按国际标准展位（9 ㎡）（特殊展会的只数按国际标准展会面积折算），给予主办企业每个展位1000元标准补助。积极引进优质品牌展会。对引进的、在市外已成功举办3届以上的国际性、全国性展会，首届标准展位数达到400个以上，在上个奖励事项基础上给予主办方20万元奖励；对连续举办，展位数不少于首届的展会，每届增加5万元奖励，最高不超过30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六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  <w:lang w:eastAsia="zh-CN"/>
        </w:rPr>
        <w:t>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盘活专业场馆资源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场馆企业当年度承办5000平方米及以上的展会达5场（含）以上，每增加1场给予10万元奖励，单个场馆最高不超过100万元。（责任单位：区商务局）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highlight w:val="none"/>
          <w:lang w:eastAsia="zh-CN"/>
        </w:rPr>
        <w:t>二十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highlight w:val="none"/>
          <w:lang w:val="en-US" w:eastAsia="zh-CN"/>
        </w:rPr>
        <w:t>七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  <w:highlight w:val="none"/>
        </w:rPr>
        <w:t>）鼓励发展节会经济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对行业协会牵头组织服务业行业性节庆会展活动，经区商务局审核，按实际投入费用（场地费、宣传费）的50%给予补助，单个行业协会每年最高补助不超过20万元。（责任单位：区商务局）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t>二十</w:t>
      </w:r>
      <w:r>
        <w:rPr>
          <w:rFonts w:hint="eastAsia" w:eastAsia="楷体_GB2312" w:cs="Times New Roman"/>
          <w:bCs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t>八</w:t>
      </w:r>
      <w:r>
        <w:rPr>
          <w:rFonts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</w:rPr>
        <w:t>）</w:t>
      </w:r>
      <w:r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sz w:val="32"/>
          <w:szCs w:val="32"/>
          <w:highlight w:val="none"/>
        </w:rPr>
        <w:t>支持企业参加展会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  <w:shd w:val="clear" w:color="FFFFFF" w:fill="D9D9D9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企业参加由区商务局统一组织的国内展会活动，给予摊位费80%补助，单个企业每年最高补助不超过10万元。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textAlignment w:val="auto"/>
        <w:rPr>
          <w:rFonts w:hint="default" w:ascii="楷体_GB2312" w:hAnsi="Times New Roman" w:eastAsia="楷体_GB2312" w:cs="楷体_GB2312"/>
          <w:b w:val="0"/>
          <w:bCs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</w:rPr>
        <w:t>（</w:t>
      </w:r>
      <w:r>
        <w:rPr>
          <w:rFonts w:hint="eastAsia" w:eastAsia="楷体_GB2312" w:cs="Times New Roman"/>
          <w:b w:val="0"/>
          <w:bCs w:val="0"/>
          <w:sz w:val="32"/>
          <w:szCs w:val="32"/>
          <w:lang w:eastAsia="zh-CN"/>
        </w:rPr>
        <w:t>二十九</w:t>
      </w: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</w:rPr>
        <w:t>）</w:t>
      </w:r>
      <w:r>
        <w:rPr>
          <w:rFonts w:hint="default" w:ascii="楷体_GB2312" w:hAnsi="Times New Roman" w:eastAsia="楷体_GB2312" w:cs="楷体_GB2312"/>
          <w:b w:val="0"/>
          <w:bCs w:val="0"/>
          <w:kern w:val="0"/>
          <w:sz w:val="32"/>
          <w:szCs w:val="32"/>
          <w:lang w:val="en-US" w:eastAsia="zh-CN" w:bidi="ar"/>
        </w:rPr>
        <w:t>加快人力资源服务产业园发展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/>
        </w:rPr>
        <w:t>对落户于园区的人力资源服务机构免房租、免物管。（责任单位：区人</w:t>
      </w:r>
      <w:r>
        <w:rPr>
          <w:rFonts w:hint="eastAsia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/>
        </w:rPr>
        <w:t>力</w:t>
      </w: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/>
        </w:rPr>
        <w:t>社</w:t>
      </w:r>
      <w:r>
        <w:rPr>
          <w:rFonts w:hint="eastAsia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/>
        </w:rPr>
        <w:t>保</w:t>
      </w: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highlight w:val="none"/>
          <w:lang w:val="en-US" w:eastAsia="zh-CN"/>
        </w:rPr>
        <w:t>局）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napToGrid w:val="0"/>
        <w:spacing w:beforeAutospacing="0" w:afterAutospacing="0" w:line="530" w:lineRule="exact"/>
        <w:ind w:left="0" w:right="0" w:firstLine="640" w:firstLineChars="200"/>
        <w:jc w:val="both"/>
        <w:textAlignment w:val="auto"/>
        <w:rPr>
          <w:rFonts w:hint="default" w:ascii="楷体_GB2312" w:hAnsi="Times New Roman" w:eastAsia="楷体_GB2312" w:cs="楷体_GB2312"/>
          <w:b w:val="0"/>
          <w:bCs w:val="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</w:rPr>
        <w:t>（三十）</w:t>
      </w:r>
      <w:r>
        <w:rPr>
          <w:rFonts w:hint="default" w:ascii="楷体_GB2312" w:hAnsi="Times New Roman" w:eastAsia="楷体_GB2312" w:cs="楷体_GB2312"/>
          <w:b w:val="0"/>
          <w:bCs w:val="0"/>
          <w:spacing w:val="0"/>
          <w:kern w:val="0"/>
          <w:sz w:val="32"/>
          <w:szCs w:val="32"/>
          <w:lang w:val="en-US" w:eastAsia="zh-CN" w:bidi="ar"/>
        </w:rPr>
        <w:t>其他人力资源服务业政策按市现有政策执行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beforeAutospacing="0" w:afterAutospacing="0" w:line="530" w:lineRule="exact"/>
        <w:jc w:val="both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kern w:val="0"/>
          <w:sz w:val="24"/>
          <w:szCs w:val="24"/>
          <w:lang w:val="en-US" w:eastAsia="zh-CN" w:bidi="ar-SA"/>
        </w:rPr>
        <w:t xml:space="preserve">     </w:t>
      </w:r>
      <w:r>
        <w:rPr>
          <w:rFonts w:hint="eastAsia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五、</w:t>
      </w:r>
      <w:r>
        <w:rPr>
          <w:rFonts w:hint="eastAsia" w:eastAsia="黑体" w:cs="Times New Roman"/>
          <w:b w:val="0"/>
          <w:bCs/>
          <w:kern w:val="0"/>
          <w:sz w:val="32"/>
          <w:szCs w:val="32"/>
          <w:lang w:val="en-US" w:eastAsia="zh-CN" w:bidi="ar-SA"/>
        </w:rPr>
        <w:t>聚焦服务质效提升专业化发展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三十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一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强化品牌质量建设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积极推进标准化建设，鼓励企业承担各级标准化技术委员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会秘书处，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主导和参与国际、国家、行业和团体标准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制定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，组织开展国家、省级标准化试点项目，申报各级政府质量奖和标准创新贡献奖。鼓励地理标志证明商标等区域公共商标注册和品牌示范建设。具体参照《绍兴市上虞区加快科技创新若干政策》执行。（责任单位：区市场监管局）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当年新获得“中华老字号”“浙江老字号”的，分别奖励50万元、10万元。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对当年新获评“绍兴菜”的“名师”“名店”，分别奖励1万元、5万元。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当年新获评“国家白金五钻级酒家”“国家五钻级酒家”“国家四钻级酒家”“国家三钻级酒家”的，分别奖励30万元、20万元、10万元、5万元。（责任单位：区商务局）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（</w:t>
      </w:r>
      <w:r>
        <w:rPr>
          <w:rFonts w:hint="eastAsia" w:eastAsia="楷体_GB2312" w:cs="Times New Roman"/>
          <w:bCs/>
          <w:sz w:val="32"/>
          <w:szCs w:val="32"/>
          <w:lang w:eastAsia="zh-CN"/>
        </w:rPr>
        <w:t>三十</w:t>
      </w:r>
      <w:r>
        <w:rPr>
          <w:rFonts w:hint="eastAsia" w:eastAsia="楷体_GB2312" w:cs="Times New Roman"/>
          <w:bCs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）开展服务业试点示范创建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当年新评定的高能级、省级现代服务业创新发展区，分别给予100万元、50万元奖励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（责任单位：区商务局）</w:t>
      </w:r>
    </w:p>
    <w:p>
      <w:pPr>
        <w:keepNext w:val="0"/>
        <w:keepLines w:val="0"/>
        <w:pageBreakBefore w:val="0"/>
        <w:tabs>
          <w:tab w:val="left" w:pos="6318"/>
        </w:tabs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三</w:t>
      </w:r>
      <w:r>
        <w:rPr>
          <w:rFonts w:hint="eastAsia"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</w:t>
      </w:r>
      <w:r>
        <w:rPr>
          <w:rFonts w:hint="eastAsia" w:ascii="Times New Roman" w:hAnsi="Times New Roman" w:eastAsia="楷体_GB2312" w:cs="Times New Roman"/>
          <w:bCs/>
          <w:sz w:val="32"/>
          <w:szCs w:val="32"/>
        </w:rPr>
        <w:t>鼓励企业（含个体户）“下升上”</w:t>
      </w:r>
    </w:p>
    <w:p>
      <w:pPr>
        <w:keepNext w:val="0"/>
        <w:keepLines w:val="0"/>
        <w:pageBreakBefore w:val="0"/>
        <w:tabs>
          <w:tab w:val="left" w:pos="6318"/>
        </w:tabs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bidi="ar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bidi="ar"/>
        </w:rPr>
        <w:t>对月度、年度首次新增入库的规模以上服务业企业，分别给予每家15万元、5万元一次性奖励。</w:t>
      </w:r>
    </w:p>
    <w:p>
      <w:pPr>
        <w:keepNext w:val="0"/>
        <w:keepLines w:val="0"/>
        <w:pageBreakBefore w:val="0"/>
        <w:tabs>
          <w:tab w:val="left" w:pos="6318"/>
        </w:tabs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olor w:val="auto"/>
          <w:kern w:val="0"/>
          <w:sz w:val="32"/>
          <w:szCs w:val="32"/>
          <w:u w:val="none"/>
          <w:lang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auto"/>
          <w:kern w:val="0"/>
          <w:sz w:val="32"/>
          <w:szCs w:val="32"/>
          <w:u w:val="none"/>
          <w:lang w:bidi="ar"/>
        </w:rPr>
        <w:t>首次完成月度、年度升限工作的批发、住宿、餐饮企业，分别奖励10万元、2万元，首次完成月度、年度升限工作的零售企业，分别奖励15万元、2万元。</w:t>
      </w:r>
    </w:p>
    <w:p>
      <w:pPr>
        <w:keepNext w:val="0"/>
        <w:keepLines w:val="0"/>
        <w:pageBreakBefore w:val="0"/>
        <w:tabs>
          <w:tab w:val="left" w:pos="6318"/>
        </w:tabs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snapToGrid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商贸综合体发展入驻企业“下升上”的，每发展1家给予1万元奖励（仅限企业类）。(责任单位：区商务局）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kern w:val="0"/>
          <w:sz w:val="32"/>
          <w:szCs w:val="32"/>
          <w:highlight w:val="none"/>
        </w:rPr>
        <w:t>（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eastAsia="zh-CN"/>
        </w:rPr>
        <w:t>三十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val="en-US" w:eastAsia="zh-CN"/>
        </w:rPr>
        <w:t>四</w:t>
      </w:r>
      <w:r>
        <w:rPr>
          <w:rFonts w:hint="default" w:ascii="Times New Roman" w:hAnsi="Times New Roman" w:eastAsia="楷体_GB2312" w:cs="Times New Roman"/>
          <w:kern w:val="0"/>
          <w:sz w:val="32"/>
          <w:szCs w:val="32"/>
          <w:highlight w:val="none"/>
        </w:rPr>
        <w:t>）鼓励企业主辅分离设立贸易企业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trike w:val="0"/>
          <w:dstrike w:val="0"/>
          <w:color w:val="auto"/>
          <w:kern w:val="0"/>
          <w:sz w:val="32"/>
          <w:szCs w:val="32"/>
          <w:highlight w:val="none"/>
          <w:u w:val="none"/>
          <w:shd w:val="clear" w:color="auto" w:fill="auto"/>
        </w:rPr>
        <w:t>通过主辅分离设立的贸易企业，从“上规入统”后的当年度起，企业年销售额增速达到全区行业平均增速以上的按其销售额的0.6‰给予奖励，单家企业每年最高不超过60万元。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（责任单位：区商务局）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（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eastAsia="zh-CN"/>
        </w:rPr>
        <w:t>三十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Times New Roman" w:hAnsi="Times New Roman" w:eastAsia="楷体_GB2312" w:cs="Times New Roman"/>
          <w:bCs/>
          <w:sz w:val="32"/>
          <w:szCs w:val="32"/>
        </w:rPr>
        <w:t>）支持服务业企业培大育强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对年度销售额分别达到3亿元、5亿元、8亿元以上，且增速达到全区行业年度平均增速以上的限额以上批发企业，分别奖励10万元、20万元、30万元。对年度销售额达到12亿元且达到一定增速以上的限额以上批发企业（包括单体企业、集团企业），按其销售额的0.8‰给予奖励。单家企业最高不超过800万元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对年度销售额达到12亿元且达到一定增速以上的限额以上批发企业（包括单体企业、集团企业），给予适当奖励，单家企业最高不超过500万元；对年度销售额达到50亿元且达到一定增速以上的限额以上批发企业（包括单体企业、集团企业），给予适当奖励，单家企业最高不超过800万元；对2024年度销售额达到60亿元的限额以上批发企业（包括单体企业、集团企业），当年达到一定增速以上的，给予适当奖励，单家企业最高不超过1000万元。享受本条款政策的当年升限的批发企业不再享受区级“下升上”奖励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月度升限零售业企业年度销售额达到5亿元以上，按其销售额的8‰给予奖励。单家企业最高不超过800万元。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对限额以上零售企业年度销售额达到1亿元且达到一定增速以上、年度销售额达到3亿元且达到一定增速以上、年度销售额达到5亿元且达到一定增速以上、年度销售额达到8亿元且达到一定增速以上、年度销售额达到12亿元且达到一定增速以上的，按其销售额的0.5‰、1‰、1.2‰、1.5‰、2‰给予奖励。单家企业最高不超过600万元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topLinePunct w:val="0"/>
        <w:bidi w:val="0"/>
        <w:spacing w:line="53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FF0000"/>
          <w:kern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对限额以上住宿餐饮企业年度营业额达到1000万元且 达到一定增速以上、年度营业额达到3000万元且达到一定增速以上、年度营业额达到5000万元且达到一定增速以的，按其营业额的1‰、2‰、3‰给予奖励。单家企业最高不超过200万元。（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</w:pP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（三十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val="en-US" w:eastAsia="zh-CN"/>
        </w:rPr>
        <w:t>六</w:t>
      </w:r>
      <w:r>
        <w:rPr>
          <w:rFonts w:hint="eastAsia" w:eastAsia="楷体_GB2312" w:cs="Times New Roman"/>
          <w:bCs/>
          <w:snapToGrid w:val="0"/>
          <w:kern w:val="0"/>
          <w:sz w:val="32"/>
          <w:szCs w:val="32"/>
          <w:lang w:eastAsia="zh-CN"/>
        </w:rPr>
        <w:t>）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加大服务业项目扶持力度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楷体_GB2312" w:cs="Times New Roman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对投资达到1000万元以上的服务业建设项目（不含政府性项目、房地产项目，不含土地成本投入），竣工并开业后给予投入补助，具体为：实际投资额在1000 万元及以上、5000 万元以下的项目，按实际投资额的1%给予一次性奖励；投资在 5000 万元及以上、2 亿元以下的项目，按实际投资额的 1.5%给予一次性奖励；投资在2亿元及以上的，按实际投资额的 2%给予一次性奖励。单个项目最高不超过500万元。（责任单位：区商务局）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（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eastAsia="zh-CN"/>
        </w:rPr>
        <w:t>三十</w:t>
      </w:r>
      <w:r>
        <w:rPr>
          <w:rFonts w:hint="eastAsia" w:eastAsia="楷体_GB2312" w:cs="Times New Roman"/>
          <w:kern w:val="0"/>
          <w:sz w:val="32"/>
          <w:szCs w:val="32"/>
          <w:highlight w:val="none"/>
          <w:lang w:val="en-US" w:eastAsia="zh-CN"/>
        </w:rPr>
        <w:t>七</w:t>
      </w:r>
      <w:r>
        <w:rPr>
          <w:rFonts w:ascii="Times New Roman" w:hAnsi="Times New Roman" w:eastAsia="楷体_GB2312" w:cs="Times New Roman"/>
          <w:bCs/>
          <w:snapToGrid w:val="0"/>
          <w:kern w:val="0"/>
          <w:sz w:val="32"/>
          <w:szCs w:val="32"/>
        </w:rPr>
        <w:t>）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激励企业争先创优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列入省重点流通企业，一次性奖励10万元。每年开展区现代服务业十强企业和十佳服务业优秀企业家评选，对获评区现代服务业十强企业的，每家企业奖励5万元，对获评区十佳服务业优秀企业家的，给予适当奖励。（责任单位：区商务局）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六</w:t>
      </w:r>
      <w:r>
        <w:rPr>
          <w:rFonts w:ascii="Times New Roman" w:hAnsi="Times New Roman" w:eastAsia="黑体" w:cs="Times New Roman"/>
          <w:sz w:val="32"/>
          <w:szCs w:val="32"/>
        </w:rPr>
        <w:t>、附则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（一）本政策自2025年*月*日起施行。本政策中各类奖补的执行期限为2025年1月1日至2026年12月31日（原有奖补政策尚未执行完毕的除外）。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（二）本政策适用全区范围内自然人、法人企业和其他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社会组织、机构（不包括金融、通信、电力、石化、烟草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/>
        </w:rPr>
        <w:t>类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国有企业，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/>
        </w:rPr>
        <w:t>本政策条款有明确规定除外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）。商贸、电商、旅游相关条款的适用主体包括各乡镇街道和行政村，台资、外资企业享受同等待遇。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（三）在食品药品、生态环境、工程质量、安全生产、消防安全等领域存在违法行为，以及因逃税骗税、恶意欠薪、故意侵犯知识产权等被有关部门查处并列入严重失信名单的主体，不予享受政策。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（四）同一主体同一事项符合两项或两项以上扶持条 款的（含区级政策和市级其他政策），可就高执行，但不重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复享受；同一奖项（认定）在低等次已作奖励的，晋升到高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 xml:space="preserve">等次时，只奖励差额部分。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 w:val="0"/>
        <w:spacing w:line="530" w:lineRule="exact"/>
        <w:ind w:firstLine="640"/>
        <w:jc w:val="both"/>
        <w:textAlignment w:val="auto"/>
        <w:rPr>
          <w:rFonts w:hint="eastAsia" w:ascii="Helvetica" w:hAnsi="Helvetica" w:eastAsia="Helvetica" w:cs="Helvetica"/>
          <w:i w:val="0"/>
          <w:caps w:val="0"/>
          <w:color w:val="333333"/>
          <w:spacing w:val="0"/>
          <w:kern w:val="0"/>
          <w:sz w:val="22"/>
          <w:szCs w:val="22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（五）本政策由区府办会同政策实施部门负责解释，具体工作由政策实施部门承担；本政策施行过程中如遇上级有法律法规和重大政策变化，本政策也作相应调整。</w:t>
      </w:r>
    </w:p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libri Light">
    <w:altName w:val="Arial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楷体_GB2312">
    <w:altName w:val="汉仪楷体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altName w:val="汉仪楷体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汉仪仿宋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微软雅黑">
    <w:altName w:val="汉仪旗黑KW 55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旗黑KW 55S">
    <w:panose1 w:val="00020600040101010101"/>
    <w:charset w:val="86"/>
    <w:family w:val="auto"/>
    <w:pitch w:val="default"/>
    <w:sig w:usb0="A00002BF" w:usb1="3ACF7CFA" w:usb2="00000016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CzSVju0AAAAAUBAAAPAAAAAAAAAAEAIAAAADgAAABkcnMvZG93bnJldi54bWxQSwECFAAUAAAA&#10;CACHTuJAK6jqchkCAAAhBAAADgAAAAAAAAABACAAAAA1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390E0C"/>
    <w:multiLevelType w:val="singleLevel"/>
    <w:tmpl w:val="47390E0C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3Y2I5MjcyYjQzMDQ5NTFhNjI1MjdlZDc2ZmEzODIifQ=="/>
  </w:docVars>
  <w:rsids>
    <w:rsidRoot w:val="645453DB"/>
    <w:rsid w:val="00FE0FA5"/>
    <w:rsid w:val="01FB2466"/>
    <w:rsid w:val="0293620D"/>
    <w:rsid w:val="02950B5E"/>
    <w:rsid w:val="02AB58BD"/>
    <w:rsid w:val="02DF7316"/>
    <w:rsid w:val="03C767FC"/>
    <w:rsid w:val="03DB60AF"/>
    <w:rsid w:val="04797F65"/>
    <w:rsid w:val="062604BB"/>
    <w:rsid w:val="07603E51"/>
    <w:rsid w:val="077B1E21"/>
    <w:rsid w:val="07B5085A"/>
    <w:rsid w:val="08BF6FF4"/>
    <w:rsid w:val="08C45F8D"/>
    <w:rsid w:val="08EF736A"/>
    <w:rsid w:val="0A074A6E"/>
    <w:rsid w:val="0A535D49"/>
    <w:rsid w:val="0B145A0F"/>
    <w:rsid w:val="0C1C3CF1"/>
    <w:rsid w:val="0D7F2F93"/>
    <w:rsid w:val="0DE97F89"/>
    <w:rsid w:val="0DF9386E"/>
    <w:rsid w:val="0F4A5023"/>
    <w:rsid w:val="0F760C6E"/>
    <w:rsid w:val="127F37E3"/>
    <w:rsid w:val="12801766"/>
    <w:rsid w:val="128F2FF6"/>
    <w:rsid w:val="140502FA"/>
    <w:rsid w:val="14FA2D5F"/>
    <w:rsid w:val="168159BD"/>
    <w:rsid w:val="1879054F"/>
    <w:rsid w:val="188D4F87"/>
    <w:rsid w:val="1960783A"/>
    <w:rsid w:val="1A0D6280"/>
    <w:rsid w:val="1A2A3350"/>
    <w:rsid w:val="1A3E77A0"/>
    <w:rsid w:val="1BFB4EDF"/>
    <w:rsid w:val="1CC160F0"/>
    <w:rsid w:val="1D081124"/>
    <w:rsid w:val="1D1B1C0A"/>
    <w:rsid w:val="1D333A12"/>
    <w:rsid w:val="1D7274E7"/>
    <w:rsid w:val="1D8671AF"/>
    <w:rsid w:val="1DB32258"/>
    <w:rsid w:val="1E7B4EC0"/>
    <w:rsid w:val="1F3F7B5F"/>
    <w:rsid w:val="1F7D28A2"/>
    <w:rsid w:val="20987651"/>
    <w:rsid w:val="214A018A"/>
    <w:rsid w:val="21B512C1"/>
    <w:rsid w:val="22A93C34"/>
    <w:rsid w:val="23780045"/>
    <w:rsid w:val="250C269A"/>
    <w:rsid w:val="28AF2423"/>
    <w:rsid w:val="292E3735"/>
    <w:rsid w:val="2A860224"/>
    <w:rsid w:val="2B554977"/>
    <w:rsid w:val="2D0A6D82"/>
    <w:rsid w:val="2DB369F8"/>
    <w:rsid w:val="3003123E"/>
    <w:rsid w:val="30AD6F47"/>
    <w:rsid w:val="31265B08"/>
    <w:rsid w:val="31C61035"/>
    <w:rsid w:val="31D4009C"/>
    <w:rsid w:val="32253A6A"/>
    <w:rsid w:val="322A32E2"/>
    <w:rsid w:val="33361DDA"/>
    <w:rsid w:val="337D1730"/>
    <w:rsid w:val="38B96204"/>
    <w:rsid w:val="398273D6"/>
    <w:rsid w:val="3BFFFC75"/>
    <w:rsid w:val="3CF1446D"/>
    <w:rsid w:val="3D83093A"/>
    <w:rsid w:val="3DFE22D1"/>
    <w:rsid w:val="3E50450B"/>
    <w:rsid w:val="3EAB6212"/>
    <w:rsid w:val="3F144A7D"/>
    <w:rsid w:val="3F28722B"/>
    <w:rsid w:val="3F306695"/>
    <w:rsid w:val="3FA9251E"/>
    <w:rsid w:val="408848B3"/>
    <w:rsid w:val="417B1727"/>
    <w:rsid w:val="42447066"/>
    <w:rsid w:val="43923BFE"/>
    <w:rsid w:val="43BC5A89"/>
    <w:rsid w:val="4412373D"/>
    <w:rsid w:val="4597462D"/>
    <w:rsid w:val="46B32BB0"/>
    <w:rsid w:val="471C02EB"/>
    <w:rsid w:val="48454E2E"/>
    <w:rsid w:val="489674AC"/>
    <w:rsid w:val="48E1372A"/>
    <w:rsid w:val="49271743"/>
    <w:rsid w:val="4ADB82F7"/>
    <w:rsid w:val="4B364FE6"/>
    <w:rsid w:val="4D2E68A6"/>
    <w:rsid w:val="4D3C5DE2"/>
    <w:rsid w:val="4DB464CD"/>
    <w:rsid w:val="4DC65B30"/>
    <w:rsid w:val="4DE45226"/>
    <w:rsid w:val="4F1A02F2"/>
    <w:rsid w:val="4FBD7C74"/>
    <w:rsid w:val="503E1FF0"/>
    <w:rsid w:val="508E3C66"/>
    <w:rsid w:val="51247749"/>
    <w:rsid w:val="518F56F5"/>
    <w:rsid w:val="528256EC"/>
    <w:rsid w:val="528A083B"/>
    <w:rsid w:val="52FE5654"/>
    <w:rsid w:val="535D5411"/>
    <w:rsid w:val="557909B6"/>
    <w:rsid w:val="55E5749F"/>
    <w:rsid w:val="57784FAC"/>
    <w:rsid w:val="58560DA1"/>
    <w:rsid w:val="5A0709DC"/>
    <w:rsid w:val="5A5148CD"/>
    <w:rsid w:val="5A89356E"/>
    <w:rsid w:val="5AE64D82"/>
    <w:rsid w:val="5B372AB3"/>
    <w:rsid w:val="5BA97A89"/>
    <w:rsid w:val="5BBF3B5D"/>
    <w:rsid w:val="5CF96491"/>
    <w:rsid w:val="5D9547B9"/>
    <w:rsid w:val="5DD06B28"/>
    <w:rsid w:val="5E56351B"/>
    <w:rsid w:val="5ECD16A3"/>
    <w:rsid w:val="60234096"/>
    <w:rsid w:val="60FE080E"/>
    <w:rsid w:val="62912D6E"/>
    <w:rsid w:val="63564A60"/>
    <w:rsid w:val="6379207D"/>
    <w:rsid w:val="63B82CC2"/>
    <w:rsid w:val="645453DB"/>
    <w:rsid w:val="65035219"/>
    <w:rsid w:val="6511530A"/>
    <w:rsid w:val="69014C1B"/>
    <w:rsid w:val="690E38CA"/>
    <w:rsid w:val="69545029"/>
    <w:rsid w:val="69BE4811"/>
    <w:rsid w:val="6A1146B1"/>
    <w:rsid w:val="6B307BCA"/>
    <w:rsid w:val="6B455F32"/>
    <w:rsid w:val="6B9A1D08"/>
    <w:rsid w:val="6BB96858"/>
    <w:rsid w:val="6E275DC1"/>
    <w:rsid w:val="6F2B6BEF"/>
    <w:rsid w:val="70195098"/>
    <w:rsid w:val="704D0415"/>
    <w:rsid w:val="70700635"/>
    <w:rsid w:val="70707392"/>
    <w:rsid w:val="70891D8E"/>
    <w:rsid w:val="71001814"/>
    <w:rsid w:val="725D6382"/>
    <w:rsid w:val="73117423"/>
    <w:rsid w:val="74CE04C8"/>
    <w:rsid w:val="74EA30DF"/>
    <w:rsid w:val="77C5441F"/>
    <w:rsid w:val="79642AD9"/>
    <w:rsid w:val="796870D9"/>
    <w:rsid w:val="7991608D"/>
    <w:rsid w:val="7A21290A"/>
    <w:rsid w:val="7A25062B"/>
    <w:rsid w:val="7A452E0B"/>
    <w:rsid w:val="7E986853"/>
    <w:rsid w:val="E37BD37A"/>
    <w:rsid w:val="F4FDF09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left"/>
      <w:textAlignment w:val="baseline"/>
    </w:pPr>
    <w:rPr>
      <w:rFonts w:ascii="Calibri Light" w:hAnsi="Calibri Light" w:eastAsia="黑体" w:cs="Times New Roman"/>
      <w:b/>
      <w:bCs/>
      <w:spacing w:val="45"/>
      <w:kern w:val="0"/>
      <w:sz w:val="52"/>
      <w:szCs w:val="32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next w:val="6"/>
    <w:qFormat/>
    <w:uiPriority w:val="99"/>
    <w:rPr>
      <w:rFonts w:ascii="Calibri" w:hAnsi="Calibri" w:eastAsia="宋体" w:cs="Times New Roman"/>
      <w:szCs w:val="22"/>
    </w:rPr>
  </w:style>
  <w:style w:type="paragraph" w:styleId="6">
    <w:name w:val="Body Text First Indent"/>
    <w:basedOn w:val="5"/>
    <w:next w:val="5"/>
    <w:qFormat/>
    <w:uiPriority w:val="99"/>
    <w:pPr>
      <w:spacing w:line="500" w:lineRule="exact"/>
      <w:ind w:firstLine="420"/>
    </w:pPr>
    <w:rPr>
      <w:rFonts w:eastAsia="楷体_GB2312"/>
      <w:szCs w:val="20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4"/>
    </w:rPr>
  </w:style>
  <w:style w:type="character" w:styleId="12">
    <w:name w:val="Strong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14</Pages>
  <Words>8885</Words>
  <Characters>9319</Characters>
  <Lines>1</Lines>
  <Paragraphs>1</Paragraphs>
  <TotalTime>39</TotalTime>
  <ScaleCrop>false</ScaleCrop>
  <LinksUpToDate>false</LinksUpToDate>
  <CharactersWithSpaces>9368</CharactersWithSpaces>
  <Application>WWO_openplatform_20210507165418-e6971cd0a6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2022-03-02T03:08:00Z</dcterms:created>
  <dc:creator>Lenovo</dc:creator>
  <cp:lastModifiedBy>Administrator</cp:lastModifiedBy>
  <cp:lastPrinted>2022-12-05T16:11:00Z</cp:lastPrinted>
  <dcterms:modified xsi:type="dcterms:W3CDTF">2025-03-11T09:39:41Z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4859E8D7C81E40E6A056681369F2D33D</vt:lpwstr>
  </property>
  <property fmtid="{D5CDD505-2E9C-101B-9397-08002B2CF9AE}" pid="4" name="woTemplateTypoMode">
    <vt:lpwstr>web</vt:lpwstr>
  </property>
  <property fmtid="{D5CDD505-2E9C-101B-9397-08002B2CF9AE}" pid="5" name="woTemplate">
    <vt:r8>1</vt:r8>
  </property>
</Properties>
</file>