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5670"/>
        </w:tabs>
        <w:spacing w:line="6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附件6：</w:t>
      </w:r>
    </w:p>
    <w:p>
      <w:pPr>
        <w:widowControl/>
        <w:tabs>
          <w:tab w:val="left" w:pos="5670"/>
        </w:tabs>
        <w:spacing w:line="660" w:lineRule="exact"/>
        <w:jc w:val="center"/>
        <w:rPr>
          <w:rFonts w:hint="eastAsia" w:ascii="方正小标宋_GBK" w:hAnsi="方正小标宋_GBK" w:eastAsia="方正小标宋_GBK" w:cs="方正小标宋_GBK"/>
          <w:sz w:val="44"/>
          <w:szCs w:val="44"/>
        </w:rPr>
      </w:pPr>
    </w:p>
    <w:p>
      <w:pPr>
        <w:widowControl/>
        <w:tabs>
          <w:tab w:val="left" w:pos="5670"/>
        </w:tabs>
        <w:spacing w:line="660" w:lineRule="exact"/>
        <w:jc w:val="center"/>
        <w:rPr>
          <w:rFonts w:hint="eastAsia" w:ascii="方正小标宋_GBK" w:hAnsi="方正小标宋_GBK" w:eastAsia="方正小标宋_GBK" w:cs="方正小标宋_GBK"/>
          <w:sz w:val="44"/>
          <w:szCs w:val="44"/>
        </w:rPr>
      </w:pPr>
      <w:bookmarkStart w:id="2" w:name="_GoBack"/>
      <w:bookmarkEnd w:id="2"/>
      <w:r>
        <w:rPr>
          <w:rFonts w:hint="eastAsia" w:ascii="方正小标宋_GBK" w:hAnsi="方正小标宋_GBK" w:eastAsia="方正小标宋_GBK" w:cs="方正小标宋_GBK"/>
          <w:sz w:val="44"/>
          <w:szCs w:val="44"/>
        </w:rPr>
        <w:t>建德市政府产业基金</w:t>
      </w:r>
    </w:p>
    <w:p>
      <w:pPr>
        <w:widowControl/>
        <w:tabs>
          <w:tab w:val="left" w:pos="5670"/>
        </w:tabs>
        <w:spacing w:line="6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投资容错免责实施细则（试行）</w:t>
      </w:r>
    </w:p>
    <w:p>
      <w:pPr>
        <w:spacing w:line="560" w:lineRule="exact"/>
        <w:jc w:val="center"/>
        <w:rPr>
          <w:rFonts w:hint="eastAsia"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第一章</w:t>
      </w:r>
      <w:r>
        <w:rPr>
          <w:rFonts w:hint="eastAsia" w:ascii="黑体" w:hAnsi="黑体" w:eastAsia="黑体"/>
          <w:sz w:val="32"/>
          <w:szCs w:val="32"/>
        </w:rPr>
        <w:tab/>
      </w:r>
      <w:r>
        <w:rPr>
          <w:rFonts w:hint="eastAsia" w:ascii="黑体" w:hAnsi="黑体" w:eastAsia="黑体"/>
          <w:sz w:val="32"/>
          <w:szCs w:val="32"/>
        </w:rPr>
        <w:t>总  则</w:t>
      </w:r>
    </w:p>
    <w:p>
      <w:pPr>
        <w:pStyle w:val="8"/>
        <w:numPr>
          <w:ilvl w:val="0"/>
          <w:numId w:val="1"/>
        </w:numPr>
        <w:spacing w:line="560" w:lineRule="exact"/>
        <w:ind w:firstLineChars="0"/>
        <w:rPr>
          <w:rFonts w:ascii="仿宋_GB2312" w:eastAsia="仿宋_GB2312"/>
          <w:sz w:val="32"/>
          <w:szCs w:val="32"/>
        </w:rPr>
      </w:pPr>
      <w:r>
        <w:rPr>
          <w:rFonts w:hint="eastAsia" w:ascii="仿宋_GB2312" w:eastAsia="仿宋_GB2312"/>
          <w:sz w:val="32"/>
          <w:szCs w:val="32"/>
        </w:rPr>
        <w:t>为进一步提升我市政府产业基金（以下简称市产业基金）运作效率，营造改革创新、积极履职、实干担当的良好氛围。根据《关于进一步贯彻落实〈浙江省深化落实“三个区分开来”要求健全容错纠错机制激励干部担当作为实施办法〉的通知》和《建德市政府产业基金管理办法》等规定，结合我市实际，制定本细则。</w:t>
      </w:r>
    </w:p>
    <w:p>
      <w:pPr>
        <w:pStyle w:val="8"/>
        <w:numPr>
          <w:ilvl w:val="0"/>
          <w:numId w:val="1"/>
        </w:numPr>
        <w:spacing w:line="560" w:lineRule="exact"/>
        <w:ind w:firstLineChars="0"/>
        <w:rPr>
          <w:rFonts w:ascii="仿宋_GB2312" w:eastAsia="仿宋_GB2312"/>
          <w:sz w:val="32"/>
          <w:szCs w:val="32"/>
        </w:rPr>
      </w:pPr>
      <w:r>
        <w:rPr>
          <w:rFonts w:hint="eastAsia" w:ascii="仿宋_GB2312" w:eastAsia="仿宋_GB2312"/>
          <w:sz w:val="32"/>
          <w:szCs w:val="32"/>
        </w:rPr>
        <w:t>本细则适用于市产业基金及其组织架构中的管理主体以及相关</w:t>
      </w:r>
      <w:r>
        <w:rPr>
          <w:rFonts w:hint="eastAsia" w:ascii="仿宋_GB2312" w:hAnsi="黑体" w:eastAsia="仿宋_GB2312"/>
          <w:sz w:val="32"/>
          <w:szCs w:val="32"/>
        </w:rPr>
        <w:t>参与项目决策或落地执行</w:t>
      </w:r>
      <w:r>
        <w:rPr>
          <w:rFonts w:hint="eastAsia" w:ascii="仿宋_GB2312" w:eastAsia="仿宋_GB2312"/>
          <w:sz w:val="32"/>
          <w:szCs w:val="32"/>
        </w:rPr>
        <w:t>的管理人员和工作人员。本细则所称市产业基金包括国资产业发展基金、招商专题基金和政府产业引导基金（以下简称三类基金）及其下属基金。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本细则所称投资、项目是指三类基金直接投资、设立子基金及子基金对外投资活动的合称。</w:t>
      </w:r>
    </w:p>
    <w:p>
      <w:pPr>
        <w:pStyle w:val="8"/>
        <w:numPr>
          <w:ilvl w:val="0"/>
          <w:numId w:val="1"/>
        </w:numPr>
        <w:spacing w:line="560" w:lineRule="exact"/>
        <w:ind w:firstLineChars="0"/>
        <w:rPr>
          <w:rFonts w:ascii="仿宋_GB2312" w:eastAsia="仿宋_GB2312"/>
          <w:sz w:val="32"/>
          <w:szCs w:val="32"/>
        </w:rPr>
      </w:pPr>
      <w:r>
        <w:rPr>
          <w:rFonts w:hint="eastAsia" w:ascii="仿宋_GB2312" w:eastAsia="仿宋_GB2312"/>
          <w:sz w:val="32"/>
          <w:szCs w:val="32"/>
        </w:rPr>
        <w:t>基金容错免责应遵循以下原则：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激励担当，鼓励创新。市产业基金投资运作遵循投资客观规律，容忍正常的投资风险，不将正常投资风险作为处理依据。坚持正向激励和严格约束相结合，为科学决策、正确履职的干部撑腰鼓劲，引导党员干部摆脱不敢投的思想包袱，敢于担当责任、大胆探索创新，不断推动市产业基金运作更加优化升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实事求是，区别对待。严格区分、准确把握失误与失职、敢为与乱为、负责与懈怠、为公与谋私的界限，把市产业基金运作中先行先试出现的失误和错误，同明知故犯的违纪违法行为区分开来；把尚无明确限制的探索性试验中的失误和错误，同明令禁止后依然我行我素的违纪违法行为区分开来；把推动发展过程中的无意过失，同谋取私利的违纪违法行为区分开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客观公正，准确把握。坚持公开透明，以事实为依据、法律为准绳，客观公正、准确把握失误和错误发生的背景原因、动机目的、政策依据、情节轻重和性质后果等情况，充分听取意见，科学认定相关单位部门或个人的责任，既合理容错、容纠并举，又坚持原则、严肃纪律；</w:t>
      </w:r>
    </w:p>
    <w:p>
      <w:pPr>
        <w:spacing w:line="560" w:lineRule="exact"/>
        <w:ind w:firstLine="640" w:firstLineChars="200"/>
        <w:rPr>
          <w:rFonts w:ascii="仿宋_GB2312" w:eastAsia="仿宋_GB2312"/>
          <w:color w:val="171A1D"/>
          <w:sz w:val="32"/>
          <w:szCs w:val="32"/>
        </w:rPr>
      </w:pPr>
      <w:r>
        <w:rPr>
          <w:rFonts w:hint="eastAsia" w:ascii="仿宋_GB2312" w:eastAsia="仿宋_GB2312"/>
          <w:sz w:val="32"/>
          <w:szCs w:val="32"/>
        </w:rPr>
        <w:t>（四）依法依规、审慎稳妥。</w:t>
      </w:r>
      <w:r>
        <w:rPr>
          <w:rFonts w:hint="eastAsia" w:ascii="仿宋_GB2312" w:eastAsia="仿宋_GB2312"/>
          <w:color w:val="171A1D"/>
          <w:sz w:val="32"/>
          <w:szCs w:val="32"/>
          <w:lang w:bidi="ar"/>
        </w:rPr>
        <w:t>以国家法律法规为准绳，按照</w:t>
      </w:r>
      <w:r>
        <w:rPr>
          <w:rFonts w:hint="eastAsia" w:ascii="仿宋_GB2312" w:eastAsia="仿宋_GB2312"/>
          <w:sz w:val="32"/>
          <w:szCs w:val="32"/>
        </w:rPr>
        <w:t>《建德市政府产业基金管理办法》等</w:t>
      </w:r>
      <w:r>
        <w:rPr>
          <w:rFonts w:hint="eastAsia" w:ascii="仿宋_GB2312" w:eastAsia="仿宋_GB2312"/>
          <w:color w:val="171A1D"/>
          <w:sz w:val="32"/>
          <w:szCs w:val="32"/>
          <w:lang w:bidi="ar"/>
        </w:rPr>
        <w:t>市产业基金规章制度，严格把握政策界限，逐步完善容错免责标准，确保容错免责在法律底线内进行。</w:t>
      </w:r>
    </w:p>
    <w:p>
      <w:pPr>
        <w:spacing w:line="560" w:lineRule="exact"/>
        <w:ind w:firstLine="640" w:firstLineChars="200"/>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第二章</w:t>
      </w:r>
      <w:r>
        <w:rPr>
          <w:rFonts w:hint="eastAsia" w:ascii="黑体" w:hAnsi="黑体" w:eastAsia="黑体"/>
          <w:sz w:val="32"/>
          <w:szCs w:val="32"/>
        </w:rPr>
        <w:tab/>
      </w:r>
      <w:r>
        <w:rPr>
          <w:rFonts w:hint="eastAsia" w:ascii="黑体" w:hAnsi="黑体" w:eastAsia="黑体"/>
          <w:sz w:val="32"/>
          <w:szCs w:val="32"/>
        </w:rPr>
        <w:t>适用情形</w:t>
      </w:r>
    </w:p>
    <w:p>
      <w:pPr>
        <w:pStyle w:val="8"/>
        <w:numPr>
          <w:ilvl w:val="0"/>
          <w:numId w:val="1"/>
        </w:numPr>
        <w:spacing w:line="560" w:lineRule="exact"/>
        <w:ind w:firstLineChars="0"/>
        <w:rPr>
          <w:rFonts w:ascii="仿宋_GB2312" w:eastAsia="仿宋_GB2312"/>
          <w:sz w:val="32"/>
          <w:szCs w:val="32"/>
        </w:rPr>
      </w:pPr>
      <w:r>
        <w:rPr>
          <w:rFonts w:hint="eastAsia" w:ascii="仿宋_GB2312" w:eastAsia="仿宋_GB2312"/>
          <w:sz w:val="32"/>
          <w:szCs w:val="32"/>
        </w:rPr>
        <w:t>容忍正常的投资风险。市产业基金直接投资及子基金的投资行为满足下列条件时给予容错免责：</w:t>
      </w:r>
    </w:p>
    <w:p>
      <w:pPr>
        <w:pStyle w:val="8"/>
        <w:spacing w:line="560" w:lineRule="exact"/>
        <w:ind w:firstLine="640"/>
        <w:rPr>
          <w:rFonts w:ascii="仿宋_GB2312" w:eastAsia="仿宋_GB2312"/>
          <w:sz w:val="32"/>
          <w:szCs w:val="32"/>
        </w:rPr>
      </w:pPr>
      <w:r>
        <w:rPr>
          <w:rFonts w:hint="eastAsia" w:ascii="仿宋_GB2312" w:eastAsia="仿宋_GB2312"/>
          <w:sz w:val="32"/>
          <w:szCs w:val="32"/>
        </w:rPr>
        <w:t>（一）投资行为符合市场规律；</w:t>
      </w:r>
    </w:p>
    <w:p>
      <w:pPr>
        <w:pStyle w:val="8"/>
        <w:spacing w:line="560" w:lineRule="exact"/>
        <w:ind w:firstLine="640"/>
        <w:rPr>
          <w:rFonts w:ascii="仿宋_GB2312" w:eastAsia="仿宋_GB2312"/>
          <w:sz w:val="32"/>
          <w:szCs w:val="32"/>
        </w:rPr>
      </w:pPr>
      <w:r>
        <w:rPr>
          <w:rFonts w:hint="eastAsia" w:ascii="仿宋_GB2312" w:eastAsia="仿宋_GB2312"/>
          <w:sz w:val="32"/>
          <w:szCs w:val="32"/>
        </w:rPr>
        <w:t>（二）已按规定履行决策和管理程序；</w:t>
      </w:r>
    </w:p>
    <w:p>
      <w:pPr>
        <w:pStyle w:val="8"/>
        <w:spacing w:line="560" w:lineRule="exact"/>
        <w:ind w:firstLine="640"/>
        <w:rPr>
          <w:rFonts w:ascii="仿宋_GB2312" w:eastAsia="仿宋_GB2312"/>
          <w:sz w:val="32"/>
          <w:szCs w:val="32"/>
        </w:rPr>
      </w:pPr>
      <w:r>
        <w:rPr>
          <w:rFonts w:hint="eastAsia" w:ascii="仿宋_GB2312" w:eastAsia="仿宋_GB2312"/>
          <w:sz w:val="32"/>
          <w:szCs w:val="32"/>
        </w:rPr>
        <w:t>（三）已兼顾投资风险、收益及政策效应，清算时亏损幅度在容亏率以内的</w:t>
      </w:r>
      <w:r>
        <w:rPr>
          <w:rFonts w:ascii="仿宋_GB2312" w:eastAsia="仿宋_GB2312"/>
          <w:sz w:val="32"/>
          <w:szCs w:val="32"/>
        </w:rPr>
        <w:t>给予</w:t>
      </w:r>
      <w:r>
        <w:rPr>
          <w:rFonts w:hint="eastAsia" w:ascii="仿宋_GB2312" w:eastAsia="仿宋_GB2312"/>
          <w:sz w:val="32"/>
          <w:szCs w:val="32"/>
        </w:rPr>
        <w:t>容错。</w:t>
      </w:r>
    </w:p>
    <w:p>
      <w:pPr>
        <w:pStyle w:val="8"/>
        <w:spacing w:line="560" w:lineRule="exact"/>
        <w:ind w:firstLine="640"/>
        <w:rPr>
          <w:rFonts w:ascii="仿宋_GB2312" w:eastAsia="仿宋_GB2312"/>
          <w:sz w:val="32"/>
          <w:szCs w:val="32"/>
        </w:rPr>
      </w:pPr>
      <w:r>
        <w:rPr>
          <w:rFonts w:hint="eastAsia" w:ascii="仿宋_GB2312" w:eastAsia="仿宋_GB2312"/>
          <w:sz w:val="32"/>
          <w:szCs w:val="32"/>
        </w:rPr>
        <w:t>容亏率即根据基金定位、投资阶段</w:t>
      </w:r>
      <w:r>
        <w:rPr>
          <w:rFonts w:ascii="仿宋_GB2312" w:eastAsia="仿宋_GB2312"/>
          <w:sz w:val="32"/>
          <w:szCs w:val="32"/>
        </w:rPr>
        <w:t>、投资</w:t>
      </w:r>
      <w:r>
        <w:rPr>
          <w:rFonts w:hint="eastAsia" w:ascii="仿宋_GB2312" w:eastAsia="仿宋_GB2312"/>
          <w:sz w:val="32"/>
          <w:szCs w:val="32"/>
        </w:rPr>
        <w:t>风险、投资形式等不同，</w:t>
      </w:r>
      <w:r>
        <w:rPr>
          <w:rFonts w:ascii="仿宋_GB2312" w:eastAsia="仿宋_GB2312"/>
          <w:sz w:val="32"/>
          <w:szCs w:val="32"/>
        </w:rPr>
        <w:t>设定</w:t>
      </w:r>
      <w:r>
        <w:rPr>
          <w:rFonts w:hint="eastAsia" w:ascii="仿宋_GB2312" w:eastAsia="仿宋_GB2312"/>
          <w:sz w:val="32"/>
          <w:szCs w:val="32"/>
        </w:rPr>
        <w:t>差异化的投资亏损率。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对基金的容亏率等考核是按整个基金生命周期予以评定，而不是对单个所投项目造成的亏损进行评定。</w:t>
      </w:r>
    </w:p>
    <w:p>
      <w:pPr>
        <w:pStyle w:val="8"/>
        <w:numPr>
          <w:ilvl w:val="0"/>
          <w:numId w:val="1"/>
        </w:numPr>
        <w:spacing w:line="560" w:lineRule="exact"/>
        <w:ind w:firstLineChars="0"/>
        <w:rPr>
          <w:rFonts w:ascii="仿宋_GB2312" w:eastAsia="仿宋_GB2312"/>
          <w:sz w:val="32"/>
          <w:szCs w:val="32"/>
        </w:rPr>
      </w:pPr>
      <w:r>
        <w:rPr>
          <w:rFonts w:hint="eastAsia" w:ascii="仿宋_GB2312" w:eastAsia="仿宋_GB2312"/>
          <w:sz w:val="32"/>
          <w:szCs w:val="32"/>
        </w:rPr>
        <w:t>当市产业基金在清算时亏损超过容亏率，或存在其他未达预期情形，</w:t>
      </w:r>
      <w:r>
        <w:rPr>
          <w:rFonts w:ascii="仿宋_GB2312" w:eastAsia="仿宋_GB2312"/>
          <w:sz w:val="32"/>
          <w:szCs w:val="32"/>
        </w:rPr>
        <w:t>但</w:t>
      </w:r>
      <w:r>
        <w:rPr>
          <w:rFonts w:hint="eastAsia" w:ascii="仿宋_GB2312" w:eastAsia="仿宋_GB2312"/>
          <w:sz w:val="32"/>
          <w:szCs w:val="32"/>
        </w:rPr>
        <w:t>结合动机态度、客观条件、程序流程、问题性质、后果影响和挽回损失等因素综合考量，符合下列情形之一的，可以适用尽职免责机制：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（一）在贯彻中省市县大政方针和改革精神，执行有关产业发展决策部署中，因缺乏经验依据、借鉴条件等，在制度设计、政策制定过程中，出现偏差或造成负面影响；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对法律法规没有明令禁止、政策界限不明确的情况下，探索创新基金运作体制机制、投资模式或新业务领域过程中，积极正确履职但仍出现非主观故意的失误或偏差，导致基金运作未达预期效果或发生亏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受政策调整、宏观经济形势变化等因素影响，虽按规定进行充分的可行性研究、尽职调查、风险评估、集体决策等规范工作，并且积极采取补救措施，但投资未达到政策预期效果、造成损失或其他负面影响；</w:t>
      </w:r>
    </w:p>
    <w:p>
      <w:pPr>
        <w:spacing w:line="560" w:lineRule="exact"/>
        <w:ind w:firstLine="640" w:firstLineChars="200"/>
        <w:rPr>
          <w:rFonts w:ascii="仿宋_GB2312" w:eastAsia="仿宋_GB2312"/>
          <w:sz w:val="32"/>
          <w:szCs w:val="32"/>
          <w:highlight w:val="yellow"/>
        </w:rPr>
      </w:pPr>
      <w:r>
        <w:rPr>
          <w:rFonts w:hint="eastAsia" w:ascii="仿宋_GB2312" w:eastAsia="仿宋_GB2312"/>
          <w:sz w:val="32"/>
          <w:szCs w:val="32"/>
        </w:rPr>
        <w:t>（四）</w:t>
      </w:r>
      <w:r>
        <w:rPr>
          <w:rFonts w:hint="eastAsia" w:ascii="仿宋_GB2312" w:hAnsi="仿宋_GB2312" w:eastAsia="仿宋_GB2312" w:cs="仿宋_GB2312"/>
          <w:sz w:val="32"/>
          <w:szCs w:val="32"/>
        </w:rPr>
        <w:t>为推动</w:t>
      </w:r>
      <w:r>
        <w:rPr>
          <w:rFonts w:hint="eastAsia" w:ascii="仿宋_GB2312" w:hAnsi="仿宋_GB2312" w:eastAsia="仿宋_GB2312" w:cs="仿宋_GB2312"/>
          <w:sz w:val="32"/>
          <w:szCs w:val="32"/>
          <w:lang w:bidi="ar"/>
        </w:rPr>
        <w:t>全市重点产业布局规划和产业链发展而投资</w:t>
      </w:r>
      <w:r>
        <w:rPr>
          <w:rFonts w:hint="eastAsia" w:ascii="仿宋_GB2312" w:hAnsi="仿宋_GB2312" w:eastAsia="仿宋_GB2312" w:cs="仿宋_GB2312"/>
          <w:sz w:val="32"/>
          <w:szCs w:val="32"/>
        </w:rPr>
        <w:t>的战略新兴产业和未来产业项目，虽短期内未实现预期收益，但具有长期发展潜力和战略价值的；</w:t>
      </w:r>
    </w:p>
    <w:p>
      <w:pPr>
        <w:spacing w:line="560" w:lineRule="exact"/>
        <w:ind w:firstLine="640" w:firstLineChars="200"/>
        <w:rPr>
          <w:rFonts w:ascii="仿宋_GB2312" w:eastAsia="仿宋_GB2312"/>
          <w:sz w:val="32"/>
          <w:szCs w:val="32"/>
          <w:highlight w:val="yellow"/>
        </w:rPr>
      </w:pPr>
      <w:r>
        <w:rPr>
          <w:rFonts w:hint="eastAsia" w:ascii="仿宋_GB2312" w:eastAsia="仿宋_GB2312"/>
          <w:sz w:val="32"/>
          <w:szCs w:val="32"/>
        </w:rPr>
        <w:t>（五）</w:t>
      </w:r>
      <w:r>
        <w:rPr>
          <w:rFonts w:hint="eastAsia" w:ascii="仿宋_GB2312" w:hAnsi="仿宋_GB2312" w:eastAsia="仿宋_GB2312" w:cs="仿宋_GB2312"/>
          <w:sz w:val="32"/>
          <w:szCs w:val="32"/>
        </w:rPr>
        <w:t>因贯彻执行上级决策部署或积极履行社会责任、支持国家重点产业、扶持中小微企业等，制定</w:t>
      </w:r>
      <w:r>
        <w:rPr>
          <w:rFonts w:hint="eastAsia" w:ascii="仿宋_GB2312" w:hAnsi="仿宋_GB2312" w:eastAsia="仿宋_GB2312" w:cs="仿宋_GB2312"/>
          <w:sz w:val="32"/>
          <w:szCs w:val="32"/>
          <w:lang w:bidi="ar"/>
        </w:rPr>
        <w:t>相应风控举措并有效执行，但</w:t>
      </w:r>
      <w:r>
        <w:rPr>
          <w:rFonts w:hint="eastAsia" w:ascii="仿宋_GB2312" w:hAnsi="仿宋_GB2312" w:eastAsia="仿宋_GB2312" w:cs="仿宋_GB2312"/>
          <w:sz w:val="32"/>
          <w:szCs w:val="32"/>
        </w:rPr>
        <w:t>对投资收益产生一定影响的；</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rPr>
        <w:t>（六）采用通用的估值方法开展股权投资，对拟投资企业的投资价值进行估值的，后续证明估值存在偏差并尽力阻止错误继续发生，努力挽回损</w:t>
      </w:r>
      <w:r>
        <w:rPr>
          <w:rFonts w:hint="eastAsia" w:ascii="仿宋_GB2312" w:eastAsia="仿宋_GB2312"/>
          <w:sz w:val="32"/>
          <w:szCs w:val="32"/>
          <w:highlight w:val="none"/>
        </w:rPr>
        <w:t>失；</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（七）参与集体决策的人员明确提出反对意见或有条件同意（有书面依据），经事实证明该意见正确，且该项决策与投资业务风险存在直接关系；</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（八）其他符合尽职免责的情形。</w:t>
      </w:r>
    </w:p>
    <w:p>
      <w:pPr>
        <w:pStyle w:val="8"/>
        <w:numPr>
          <w:ilvl w:val="0"/>
          <w:numId w:val="1"/>
        </w:numPr>
        <w:spacing w:line="560" w:lineRule="exact"/>
        <w:ind w:firstLineChars="0"/>
        <w:rPr>
          <w:rFonts w:ascii="仿宋_GB2312" w:eastAsia="仿宋_GB2312"/>
          <w:sz w:val="32"/>
          <w:szCs w:val="32"/>
          <w:highlight w:val="none"/>
        </w:rPr>
      </w:pPr>
      <w:r>
        <w:rPr>
          <w:rFonts w:hint="eastAsia" w:ascii="仿宋_GB2312" w:eastAsia="仿宋_GB2312"/>
          <w:sz w:val="32"/>
          <w:szCs w:val="32"/>
          <w:highlight w:val="none"/>
        </w:rPr>
        <w:t>有下列情形之一的，不适用</w:t>
      </w:r>
      <w:r>
        <w:rPr>
          <w:rFonts w:ascii="仿宋_GB2312" w:eastAsia="仿宋_GB2312"/>
          <w:sz w:val="32"/>
          <w:szCs w:val="32"/>
          <w:highlight w:val="none"/>
        </w:rPr>
        <w:t>本细则第</w:t>
      </w:r>
      <w:r>
        <w:rPr>
          <w:rFonts w:hint="eastAsia" w:ascii="仿宋_GB2312" w:eastAsia="仿宋_GB2312"/>
          <w:sz w:val="32"/>
          <w:szCs w:val="32"/>
          <w:highlight w:val="none"/>
        </w:rPr>
        <w:t>四</w:t>
      </w:r>
      <w:r>
        <w:rPr>
          <w:rFonts w:ascii="仿宋_GB2312" w:eastAsia="仿宋_GB2312"/>
          <w:sz w:val="32"/>
          <w:szCs w:val="32"/>
          <w:highlight w:val="none"/>
        </w:rPr>
        <w:t>、</w:t>
      </w:r>
      <w:r>
        <w:rPr>
          <w:rFonts w:hint="eastAsia" w:ascii="仿宋_GB2312" w:eastAsia="仿宋_GB2312"/>
          <w:sz w:val="32"/>
          <w:szCs w:val="32"/>
          <w:highlight w:val="none"/>
        </w:rPr>
        <w:t>五</w:t>
      </w:r>
      <w:r>
        <w:rPr>
          <w:rFonts w:ascii="仿宋_GB2312" w:eastAsia="仿宋_GB2312"/>
          <w:sz w:val="32"/>
          <w:szCs w:val="32"/>
          <w:highlight w:val="none"/>
        </w:rPr>
        <w:t>条</w:t>
      </w:r>
      <w:r>
        <w:rPr>
          <w:rFonts w:hint="eastAsia" w:ascii="仿宋_GB2312" w:eastAsia="仿宋_GB2312"/>
          <w:sz w:val="32"/>
          <w:szCs w:val="32"/>
          <w:highlight w:val="none"/>
        </w:rPr>
        <w:t>容错免责情形：</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（一）落实全面从严治党责任不到位；违背中央各级党委、政府决策部署；违反党内法规或国家法律法规禁止性规定；</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（二）从事市产业基金明确规定的禁止性事项；</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（三）利用职权或者职务之便徇私舞弊、失职渎职、假公济私、谋取私利或者为特定关系人谋取不当利益；</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（四）除处置突发事件或执行紧急任务外，超越决策权限或违反决策程序，或者应当报告、报备而隐瞒不报；</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（五）故意造成或者放任市产业基金合法利益受损；</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（六）不配合调查，故意隐瞒、掩盖失误错误，或对出现的失误错误消极应付、未积极降低负面影响的；</w:t>
      </w:r>
    </w:p>
    <w:p>
      <w:pPr>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（七）其他不得容错免责事项按照《关于精准实施容错纠错机制 激励干部担当作为的实施细则》规定执行。</w:t>
      </w:r>
    </w:p>
    <w:p>
      <w:pPr>
        <w:spacing w:line="560" w:lineRule="exact"/>
        <w:ind w:firstLine="640" w:firstLineChars="200"/>
        <w:rPr>
          <w:rFonts w:ascii="仿宋_GB2312" w:eastAsia="仿宋_GB2312"/>
          <w:sz w:val="32"/>
          <w:szCs w:val="32"/>
          <w:highlight w:val="none"/>
        </w:rPr>
      </w:pPr>
    </w:p>
    <w:p>
      <w:pPr>
        <w:spacing w:line="560" w:lineRule="exact"/>
        <w:jc w:val="center"/>
        <w:rPr>
          <w:rFonts w:ascii="黑体" w:hAnsi="黑体" w:eastAsia="黑体"/>
          <w:sz w:val="32"/>
          <w:szCs w:val="32"/>
          <w:highlight w:val="none"/>
        </w:rPr>
      </w:pPr>
      <w:r>
        <w:rPr>
          <w:rFonts w:hint="eastAsia" w:ascii="黑体" w:hAnsi="黑体" w:eastAsia="黑体"/>
          <w:sz w:val="32"/>
          <w:szCs w:val="32"/>
          <w:highlight w:val="none"/>
        </w:rPr>
        <w:t>第三章</w:t>
      </w:r>
      <w:r>
        <w:rPr>
          <w:rFonts w:hint="eastAsia" w:ascii="黑体" w:hAnsi="黑体" w:eastAsia="黑体"/>
          <w:sz w:val="32"/>
          <w:szCs w:val="32"/>
          <w:highlight w:val="none"/>
        </w:rPr>
        <w:tab/>
      </w:r>
      <w:r>
        <w:rPr>
          <w:rFonts w:hint="eastAsia" w:ascii="黑体" w:hAnsi="黑体" w:eastAsia="黑体"/>
          <w:sz w:val="32"/>
          <w:szCs w:val="32"/>
          <w:highlight w:val="none"/>
        </w:rPr>
        <w:t>认定标准与程序</w:t>
      </w:r>
    </w:p>
    <w:p>
      <w:pPr>
        <w:pStyle w:val="8"/>
        <w:numPr>
          <w:ilvl w:val="0"/>
          <w:numId w:val="1"/>
        </w:numPr>
        <w:spacing w:line="560" w:lineRule="exact"/>
        <w:ind w:firstLineChars="0"/>
        <w:rPr>
          <w:rFonts w:ascii="仿宋_GB2312" w:eastAsia="仿宋_GB2312"/>
          <w:sz w:val="32"/>
          <w:szCs w:val="32"/>
          <w:highlight w:val="none"/>
        </w:rPr>
      </w:pPr>
      <w:r>
        <w:rPr>
          <w:rFonts w:hint="eastAsia" w:ascii="仿宋_GB2312" w:eastAsia="仿宋_GB2312"/>
          <w:sz w:val="32"/>
          <w:szCs w:val="32"/>
          <w:highlight w:val="none"/>
        </w:rPr>
        <w:t>基金投资容错纠错认定，应把握以下标准：</w:t>
      </w:r>
    </w:p>
    <w:p>
      <w:pPr>
        <w:widowControl/>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（一）从投资方向上看符合产业导向。即符合党中央和各级党委、政府所作产业布局，且未违反法律法规的禁止性规定。</w:t>
      </w:r>
    </w:p>
    <w:p>
      <w:pPr>
        <w:widowControl/>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（二）从决策程序上看经过集体研究。即基金投资经过尽职调查、风险评估、集体讨论决策等必要程序，不存在听取意见不充分、专断决策等问题。</w:t>
      </w:r>
    </w:p>
    <w:p>
      <w:pPr>
        <w:widowControl/>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（三）从实际结果上看未造成重大不良后果。即未造成社会负面影响，且主动采取措施最大限度挽回或减少损失、消除不良影响，有效阻止了更大危害结果发生，或不良后果系因自然因素等不可抗力造成。</w:t>
      </w:r>
    </w:p>
    <w:p>
      <w:pPr>
        <w:widowControl/>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（四）从廉洁底线上看未发现违纪违法现象。即未发现滥用职权或玩忽职守谋取私利，未发现因违反廉洁从政从业规定、徇私舞弊损害公共利益或他人合法权益、浪费国家资财等违纪违法现象。</w:t>
      </w:r>
    </w:p>
    <w:p>
      <w:pPr>
        <w:spacing w:line="560" w:lineRule="exact"/>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（五）从纠错态度上看未发现消极应付现象。即未发现漠视错误、放任损失、不作补救的现象，未导致危害结果进一步扩大。</w:t>
      </w:r>
    </w:p>
    <w:p>
      <w:pPr>
        <w:pStyle w:val="8"/>
        <w:numPr>
          <w:ilvl w:val="0"/>
          <w:numId w:val="1"/>
        </w:numPr>
        <w:spacing w:line="560" w:lineRule="exact"/>
        <w:ind w:firstLineChars="0"/>
        <w:rPr>
          <w:rFonts w:ascii="仿宋_GB2312" w:eastAsia="仿宋_GB2312"/>
          <w:sz w:val="32"/>
          <w:szCs w:val="32"/>
          <w:highlight w:val="none"/>
        </w:rPr>
      </w:pPr>
      <w:r>
        <w:rPr>
          <w:rFonts w:hint="eastAsia" w:ascii="仿宋_GB2312" w:eastAsia="仿宋_GB2312"/>
          <w:sz w:val="32"/>
          <w:szCs w:val="32"/>
          <w:highlight w:val="none"/>
        </w:rPr>
        <w:t>容错免责认定工作按照基金主管部门和干部管理权限开展，一般按照下列情形进行：</w:t>
      </w:r>
    </w:p>
    <w:p>
      <w:pPr>
        <w:spacing w:line="560" w:lineRule="exact"/>
        <w:ind w:firstLine="640" w:firstLineChars="200"/>
        <w:rPr>
          <w:rFonts w:ascii="仿宋_GB2312" w:hAnsi="仿宋" w:eastAsia="仿宋_GB2312"/>
          <w:sz w:val="32"/>
          <w:szCs w:val="32"/>
          <w:highlight w:val="none"/>
        </w:rPr>
      </w:pPr>
      <w:bookmarkStart w:id="0" w:name="_Hlk179899985"/>
      <w:r>
        <w:rPr>
          <w:rFonts w:hint="eastAsia" w:ascii="仿宋_GB2312" w:eastAsia="仿宋_GB2312"/>
          <w:sz w:val="32"/>
          <w:szCs w:val="32"/>
          <w:highlight w:val="none"/>
        </w:rPr>
        <w:t>（一）当招商专题基金及其下属基金在基金清算时投资亏损率在40%以下，且投资亏损金额在</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0000万元以下的；国资产业发展基金、政府产业引导基金及其下属基金在基金清算时投资亏损率在20%以下，且投资亏损金额在</w:t>
      </w:r>
      <w:r>
        <w:rPr>
          <w:rFonts w:hint="eastAsia" w:ascii="仿宋_GB2312" w:eastAsia="仿宋_GB2312"/>
          <w:sz w:val="32"/>
          <w:szCs w:val="32"/>
          <w:highlight w:val="none"/>
          <w:lang w:val="en-US" w:eastAsia="zh-CN"/>
        </w:rPr>
        <w:t>5000</w:t>
      </w:r>
      <w:r>
        <w:rPr>
          <w:rFonts w:hint="eastAsia" w:ascii="仿宋_GB2312" w:eastAsia="仿宋_GB2312"/>
          <w:sz w:val="32"/>
          <w:szCs w:val="32"/>
          <w:highlight w:val="none"/>
        </w:rPr>
        <w:t>万元以下的。同时符合</w:t>
      </w:r>
      <w:r>
        <w:rPr>
          <w:rFonts w:ascii="仿宋_GB2312" w:eastAsia="仿宋_GB2312"/>
          <w:sz w:val="32"/>
          <w:szCs w:val="32"/>
          <w:highlight w:val="none"/>
        </w:rPr>
        <w:t>本细则第</w:t>
      </w:r>
      <w:r>
        <w:rPr>
          <w:rFonts w:hint="eastAsia" w:ascii="仿宋_GB2312" w:eastAsia="仿宋_GB2312"/>
          <w:sz w:val="32"/>
          <w:szCs w:val="32"/>
          <w:highlight w:val="none"/>
        </w:rPr>
        <w:t>五</w:t>
      </w:r>
      <w:r>
        <w:rPr>
          <w:rFonts w:ascii="仿宋_GB2312" w:eastAsia="仿宋_GB2312"/>
          <w:sz w:val="32"/>
          <w:szCs w:val="32"/>
          <w:highlight w:val="none"/>
        </w:rPr>
        <w:t>条</w:t>
      </w:r>
      <w:r>
        <w:rPr>
          <w:rFonts w:hint="eastAsia" w:ascii="仿宋_GB2312" w:eastAsia="仿宋_GB2312"/>
          <w:sz w:val="32"/>
          <w:szCs w:val="32"/>
          <w:highlight w:val="none"/>
        </w:rPr>
        <w:t>规定的，</w:t>
      </w:r>
      <w:r>
        <w:rPr>
          <w:rFonts w:ascii="仿宋_GB2312" w:eastAsia="仿宋_GB2312"/>
          <w:sz w:val="32"/>
          <w:szCs w:val="32"/>
          <w:highlight w:val="none"/>
        </w:rPr>
        <w:t>相关单位或人员</w:t>
      </w:r>
      <w:r>
        <w:rPr>
          <w:rFonts w:hint="eastAsia" w:ascii="仿宋_GB2312" w:eastAsia="仿宋_GB2312"/>
          <w:sz w:val="32"/>
          <w:szCs w:val="32"/>
          <w:highlight w:val="none"/>
        </w:rPr>
        <w:t>填写《容错免责事项备案表》，经基金主管部门和分管（联系）市领导审批同意后</w:t>
      </w:r>
      <w:r>
        <w:rPr>
          <w:rFonts w:hint="eastAsia" w:ascii="仿宋_GB2312" w:hAnsi="仿宋" w:eastAsia="仿宋_GB2312"/>
          <w:sz w:val="32"/>
          <w:szCs w:val="32"/>
          <w:highlight w:val="none"/>
        </w:rPr>
        <w:t>，基金主管部门报告至</w:t>
      </w:r>
      <w:r>
        <w:rPr>
          <w:rFonts w:hint="eastAsia" w:ascii="仿宋_GB2312" w:eastAsia="仿宋_GB2312"/>
          <w:sz w:val="32"/>
          <w:szCs w:val="32"/>
          <w:highlight w:val="none"/>
        </w:rPr>
        <w:t>市国资监管机构备案，市国资监管机构组织对备案事项进行论证，</w:t>
      </w:r>
      <w:r>
        <w:rPr>
          <w:rFonts w:hint="eastAsia" w:ascii="仿宋_GB2312" w:hAnsi="仿宋" w:eastAsia="仿宋_GB2312"/>
          <w:sz w:val="32"/>
          <w:szCs w:val="32"/>
          <w:highlight w:val="none"/>
        </w:rPr>
        <w:t>对符合尽职免责情形的应当作出免责或者从轻、减轻处理的决定，并</w:t>
      </w:r>
      <w:r>
        <w:rPr>
          <w:rFonts w:hint="eastAsia" w:ascii="仿宋_GB2312" w:eastAsia="仿宋_GB2312"/>
          <w:sz w:val="32"/>
          <w:szCs w:val="32"/>
          <w:highlight w:val="none"/>
        </w:rPr>
        <w:t>报市纪委市监委、市委组织部备案。</w:t>
      </w:r>
    </w:p>
    <w:bookmarkEnd w:id="0"/>
    <w:p>
      <w:pPr>
        <w:spacing w:line="560" w:lineRule="exact"/>
        <w:ind w:firstLine="640" w:firstLineChars="200"/>
        <w:rPr>
          <w:rFonts w:ascii="仿宋_GB2312" w:eastAsia="仿宋_GB2312"/>
          <w:sz w:val="32"/>
          <w:szCs w:val="32"/>
        </w:rPr>
      </w:pPr>
      <w:r>
        <w:rPr>
          <w:rFonts w:hint="eastAsia" w:ascii="仿宋_GB2312" w:eastAsia="仿宋_GB2312"/>
          <w:sz w:val="32"/>
          <w:szCs w:val="32"/>
          <w:highlight w:val="none"/>
        </w:rPr>
        <w:t>（二）</w:t>
      </w:r>
      <w:bookmarkStart w:id="1" w:name="_Hlk179900303"/>
      <w:r>
        <w:rPr>
          <w:rFonts w:hint="eastAsia" w:ascii="仿宋_GB2312" w:eastAsia="仿宋_GB2312"/>
          <w:sz w:val="32"/>
          <w:szCs w:val="32"/>
          <w:highlight w:val="none"/>
        </w:rPr>
        <w:t>当招商专题基金及其下属基金在基金清算时投资亏损率超过40%，或投资亏损金额超过</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0000万元的；国资产业发展基金、政府产业引导基金及其下属基金在基金清算时投资亏损率超过20%，或投资亏损金额超过</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000万元的。同时符合</w:t>
      </w:r>
      <w:r>
        <w:rPr>
          <w:rFonts w:ascii="仿宋_GB2312" w:eastAsia="仿宋_GB2312"/>
          <w:sz w:val="32"/>
          <w:szCs w:val="32"/>
          <w:highlight w:val="none"/>
        </w:rPr>
        <w:t>本细则第</w:t>
      </w:r>
      <w:r>
        <w:rPr>
          <w:rFonts w:hint="eastAsia" w:ascii="仿宋_GB2312" w:eastAsia="仿宋_GB2312"/>
          <w:sz w:val="32"/>
          <w:szCs w:val="32"/>
          <w:highlight w:val="none"/>
        </w:rPr>
        <w:t>五</w:t>
      </w:r>
      <w:r>
        <w:rPr>
          <w:rFonts w:ascii="仿宋_GB2312" w:eastAsia="仿宋_GB2312"/>
          <w:sz w:val="32"/>
          <w:szCs w:val="32"/>
          <w:highlight w:val="none"/>
        </w:rPr>
        <w:t>条</w:t>
      </w:r>
      <w:r>
        <w:rPr>
          <w:rFonts w:hint="eastAsia" w:ascii="仿宋_GB2312" w:eastAsia="仿宋_GB2312"/>
          <w:sz w:val="32"/>
          <w:szCs w:val="32"/>
          <w:highlight w:val="none"/>
        </w:rPr>
        <w:t>规定的，</w:t>
      </w:r>
      <w:r>
        <w:rPr>
          <w:rFonts w:ascii="仿宋_GB2312" w:eastAsia="仿宋_GB2312"/>
          <w:sz w:val="32"/>
          <w:szCs w:val="32"/>
          <w:highlight w:val="none"/>
        </w:rPr>
        <w:t>相关单位或人员</w:t>
      </w:r>
      <w:r>
        <w:rPr>
          <w:rFonts w:hint="eastAsia" w:ascii="仿宋_GB2312" w:eastAsia="仿宋_GB2312"/>
          <w:sz w:val="32"/>
          <w:szCs w:val="32"/>
          <w:highlight w:val="none"/>
        </w:rPr>
        <w:t>填写《启动容错免责申请表》，经基金主管部门和分管（联系）市领导审批同意后，基金主管部门向市国资监管机构提出容错免责申请，</w:t>
      </w:r>
      <w:r>
        <w:rPr>
          <w:rFonts w:hint="eastAsia" w:ascii="仿宋_GB2312" w:hAnsi="仿宋" w:eastAsia="仿宋_GB2312"/>
          <w:sz w:val="32"/>
          <w:szCs w:val="32"/>
          <w:highlight w:val="none"/>
        </w:rPr>
        <w:t>经</w:t>
      </w:r>
      <w:r>
        <w:rPr>
          <w:rFonts w:hint="eastAsia" w:ascii="仿宋_GB2312" w:eastAsia="仿宋_GB2312"/>
          <w:sz w:val="32"/>
          <w:szCs w:val="32"/>
          <w:highlight w:val="none"/>
        </w:rPr>
        <w:t>市国资监管机构集体研究后</w:t>
      </w:r>
      <w:r>
        <w:rPr>
          <w:rFonts w:hint="eastAsia" w:ascii="仿宋_GB2312" w:hAnsi="仿宋" w:eastAsia="仿宋_GB2312"/>
          <w:sz w:val="32"/>
          <w:szCs w:val="32"/>
          <w:highlight w:val="none"/>
        </w:rPr>
        <w:t>，对符合尽职免责情形的相应提出免责或者从轻、减轻处理的</w:t>
      </w:r>
      <w:r>
        <w:rPr>
          <w:rFonts w:hint="eastAsia" w:ascii="仿宋_GB2312" w:hAnsi="仿宋" w:eastAsia="仿宋_GB2312"/>
          <w:sz w:val="32"/>
          <w:szCs w:val="32"/>
        </w:rPr>
        <w:t>建议，报市纪委</w:t>
      </w:r>
      <w:r>
        <w:rPr>
          <w:rFonts w:hint="eastAsia" w:ascii="仿宋_GB2312" w:eastAsia="仿宋_GB2312"/>
          <w:sz w:val="32"/>
          <w:szCs w:val="32"/>
        </w:rPr>
        <w:t>市监委</w:t>
      </w:r>
      <w:r>
        <w:rPr>
          <w:rFonts w:hint="eastAsia" w:ascii="仿宋_GB2312" w:hAnsi="仿宋" w:eastAsia="仿宋_GB2312"/>
          <w:sz w:val="32"/>
          <w:szCs w:val="32"/>
        </w:rPr>
        <w:t>、市委组织部核准。</w:t>
      </w:r>
      <w:bookmarkEnd w:id="1"/>
    </w:p>
    <w:p>
      <w:pPr>
        <w:pStyle w:val="8"/>
        <w:numPr>
          <w:ilvl w:val="0"/>
          <w:numId w:val="1"/>
        </w:numPr>
        <w:spacing w:line="560" w:lineRule="exact"/>
        <w:ind w:firstLineChars="0"/>
        <w:rPr>
          <w:rFonts w:ascii="仿宋_GB2312" w:eastAsia="仿宋_GB2312"/>
          <w:sz w:val="32"/>
          <w:szCs w:val="32"/>
        </w:rPr>
      </w:pPr>
      <w:r>
        <w:rPr>
          <w:rFonts w:hint="eastAsia" w:ascii="仿宋_GB2312" w:eastAsia="仿宋_GB2312"/>
          <w:sz w:val="32"/>
          <w:szCs w:val="32"/>
        </w:rPr>
        <w:t>调查核实过程中，市国资监管机构和基金主管部门应当深入调查核实，充分听取意见、收集证据，对基金投资的市场环境、行业特点、工作人员主观意图、客观结果及补救情况等进行综合分析评估，形成全面客观准确的核查报告。调查中应以具有法律效力的外部证据、符合资质条件的社会中介机构的经济鉴定证明和特定事项的企业内部证据等，作为印证材料。</w:t>
      </w:r>
    </w:p>
    <w:p>
      <w:pPr>
        <w:pStyle w:val="8"/>
        <w:numPr>
          <w:ilvl w:val="0"/>
          <w:numId w:val="1"/>
        </w:numPr>
        <w:spacing w:line="560" w:lineRule="exact"/>
        <w:ind w:firstLineChars="0"/>
        <w:rPr>
          <w:rFonts w:ascii="仿宋_GB2312" w:eastAsia="仿宋_GB2312"/>
          <w:sz w:val="32"/>
          <w:szCs w:val="32"/>
        </w:rPr>
      </w:pPr>
      <w:r>
        <w:rPr>
          <w:rFonts w:hint="eastAsia" w:ascii="仿宋_GB2312" w:eastAsia="仿宋_GB2312"/>
          <w:sz w:val="32"/>
          <w:szCs w:val="32"/>
        </w:rPr>
        <w:t>调查核实过程中发现确有违规违纪违法事实的，按照规定的职责权限和程序由市纪委市监委和其他职能部门进行分类处置；涉嫌犯罪的，依法移送司法机关处理。</w:t>
      </w:r>
    </w:p>
    <w:p>
      <w:pPr>
        <w:pStyle w:val="8"/>
        <w:numPr>
          <w:ilvl w:val="0"/>
          <w:numId w:val="1"/>
        </w:numPr>
        <w:spacing w:line="560" w:lineRule="exact"/>
        <w:ind w:firstLineChars="0"/>
        <w:rPr>
          <w:rFonts w:ascii="仿宋_GB2312" w:eastAsia="仿宋_GB2312"/>
          <w:sz w:val="32"/>
          <w:szCs w:val="32"/>
        </w:rPr>
      </w:pPr>
      <w:r>
        <w:rPr>
          <w:rFonts w:hint="eastAsia" w:ascii="仿宋_GB2312" w:eastAsia="仿宋_GB2312"/>
          <w:sz w:val="32"/>
          <w:szCs w:val="32"/>
        </w:rPr>
        <w:t>市国资监管机构和基金主管部门经办容错免责事项的相关工作人员，与有关事项或者相关责任人有利害关系的，应当实行回避。</w:t>
      </w:r>
    </w:p>
    <w:p>
      <w:pPr>
        <w:pStyle w:val="8"/>
        <w:numPr>
          <w:ilvl w:val="0"/>
          <w:numId w:val="1"/>
        </w:numPr>
        <w:spacing w:line="560" w:lineRule="exact"/>
        <w:ind w:firstLineChars="0"/>
        <w:rPr>
          <w:rFonts w:ascii="仿宋_GB2312" w:eastAsia="仿宋_GB2312"/>
          <w:sz w:val="32"/>
          <w:szCs w:val="32"/>
        </w:rPr>
      </w:pPr>
      <w:r>
        <w:rPr>
          <w:rFonts w:hint="eastAsia" w:ascii="仿宋_GB2312" w:eastAsia="仿宋_GB2312"/>
          <w:sz w:val="32"/>
          <w:szCs w:val="32"/>
        </w:rPr>
        <w:t>在开展尽职免责调查核实时，应同步核查该笔投资造成的负面后果是否已及时纠错；在研究作出尽职免责决定时，应同步判断该笔投资造成</w:t>
      </w:r>
      <w:r>
        <w:rPr>
          <w:rFonts w:ascii="仿宋_GB2312" w:eastAsia="仿宋_GB2312"/>
          <w:sz w:val="32"/>
          <w:szCs w:val="32"/>
        </w:rPr>
        <w:t>的负面后果</w:t>
      </w:r>
      <w:r>
        <w:rPr>
          <w:rFonts w:hint="eastAsia" w:ascii="仿宋_GB2312" w:eastAsia="仿宋_GB2312"/>
          <w:sz w:val="32"/>
          <w:szCs w:val="32"/>
        </w:rPr>
        <w:t>是否已完成纠错；在反馈尽职免责意见时，应同步对尚未完成纠错工作的相关责任</w:t>
      </w:r>
      <w:r>
        <w:rPr>
          <w:rFonts w:ascii="仿宋_GB2312" w:eastAsia="仿宋_GB2312"/>
          <w:sz w:val="32"/>
          <w:szCs w:val="32"/>
        </w:rPr>
        <w:t>单位</w:t>
      </w:r>
      <w:r>
        <w:rPr>
          <w:rFonts w:hint="eastAsia" w:ascii="仿宋_GB2312" w:eastAsia="仿宋_GB2312"/>
          <w:sz w:val="32"/>
          <w:szCs w:val="32"/>
        </w:rPr>
        <w:t>和责任</w:t>
      </w:r>
      <w:r>
        <w:rPr>
          <w:rFonts w:ascii="仿宋_GB2312" w:eastAsia="仿宋_GB2312"/>
          <w:sz w:val="32"/>
          <w:szCs w:val="32"/>
        </w:rPr>
        <w:t>人</w:t>
      </w:r>
      <w:r>
        <w:rPr>
          <w:rFonts w:hint="eastAsia" w:ascii="仿宋_GB2312" w:eastAsia="仿宋_GB2312"/>
          <w:sz w:val="32"/>
          <w:szCs w:val="32"/>
        </w:rPr>
        <w:t>提出督促纠正要求。</w:t>
      </w:r>
    </w:p>
    <w:p>
      <w:pPr>
        <w:pStyle w:val="8"/>
        <w:spacing w:line="560" w:lineRule="exact"/>
        <w:ind w:left="652" w:firstLine="0" w:firstLineChars="0"/>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第四章</w:t>
      </w:r>
      <w:r>
        <w:rPr>
          <w:rFonts w:hint="eastAsia" w:ascii="黑体" w:hAnsi="黑体" w:eastAsia="黑体"/>
          <w:sz w:val="32"/>
          <w:szCs w:val="32"/>
        </w:rPr>
        <w:tab/>
      </w:r>
      <w:r>
        <w:rPr>
          <w:rFonts w:hint="eastAsia" w:ascii="黑体" w:hAnsi="黑体" w:eastAsia="黑体"/>
          <w:sz w:val="32"/>
          <w:szCs w:val="32"/>
        </w:rPr>
        <w:t>处置方式与结果运用</w:t>
      </w:r>
    </w:p>
    <w:p>
      <w:pPr>
        <w:pStyle w:val="8"/>
        <w:numPr>
          <w:ilvl w:val="0"/>
          <w:numId w:val="1"/>
        </w:numPr>
        <w:spacing w:line="560" w:lineRule="exact"/>
        <w:ind w:firstLineChars="0"/>
        <w:rPr>
          <w:rFonts w:ascii="仿宋_GB2312" w:eastAsia="仿宋_GB2312"/>
          <w:sz w:val="32"/>
          <w:szCs w:val="32"/>
        </w:rPr>
      </w:pPr>
      <w:r>
        <w:rPr>
          <w:rFonts w:hint="eastAsia" w:ascii="仿宋_GB2312" w:eastAsia="仿宋_GB2312"/>
          <w:sz w:val="32"/>
          <w:szCs w:val="32"/>
        </w:rPr>
        <w:t>对给予尽职免责的单位及人员，可在以下方面免责：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（一）相关单位及人员在各类考核中不影响其考核结果和评价结论，或经认定后可不纳入考核范围；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（二）相关人员在提拔任用、职级职称晋升时不受影响；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（三）相关单位及人员在评优评先中不受影响；</w:t>
      </w: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（四）基金主管部门职责权限内免予其他惩戒追责。</w:t>
      </w:r>
    </w:p>
    <w:p>
      <w:pPr>
        <w:spacing w:line="560" w:lineRule="exact"/>
        <w:ind w:firstLine="640" w:firstLineChars="200"/>
        <w:rPr>
          <w:rFonts w:eastAsia="仿宋_GB2312"/>
          <w:sz w:val="32"/>
          <w:szCs w:val="32"/>
        </w:rPr>
      </w:pPr>
      <w:r>
        <w:rPr>
          <w:rFonts w:hint="eastAsia" w:eastAsia="仿宋_GB2312"/>
          <w:sz w:val="32"/>
          <w:szCs w:val="32"/>
        </w:rPr>
        <w:t>对确需追责的单位及人员，可酌情从轻、减轻处分。有一定影响期的，影响期结束后对其考核、评优评先和人员提拔任用不受影响。</w:t>
      </w:r>
    </w:p>
    <w:p>
      <w:pPr>
        <w:pStyle w:val="8"/>
        <w:numPr>
          <w:ilvl w:val="0"/>
          <w:numId w:val="1"/>
        </w:numPr>
        <w:spacing w:line="560" w:lineRule="exact"/>
        <w:ind w:firstLineChars="0"/>
        <w:rPr>
          <w:rFonts w:ascii="仿宋_GB2312" w:eastAsia="仿宋_GB2312"/>
          <w:sz w:val="32"/>
          <w:szCs w:val="32"/>
        </w:rPr>
      </w:pPr>
      <w:r>
        <w:rPr>
          <w:rFonts w:hint="eastAsia" w:ascii="仿宋_GB2312" w:eastAsia="仿宋_GB2312"/>
          <w:sz w:val="32"/>
          <w:szCs w:val="32"/>
        </w:rPr>
        <w:t>对无法给予容错免责的单位及人员，基金主管部门或有关部门依法依规进行问题定性定责和处理处罚，并责成相关单位及人员按规定要求整改落实到位。</w:t>
      </w:r>
    </w:p>
    <w:p>
      <w:pPr>
        <w:pStyle w:val="8"/>
        <w:spacing w:line="560" w:lineRule="exact"/>
        <w:ind w:left="652" w:firstLine="0" w:firstLineChars="0"/>
        <w:rPr>
          <w:rFonts w:ascii="仿宋_GB2312"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第五章 附  则</w:t>
      </w:r>
    </w:p>
    <w:p>
      <w:pPr>
        <w:pStyle w:val="8"/>
        <w:numPr>
          <w:ilvl w:val="0"/>
          <w:numId w:val="1"/>
        </w:numPr>
        <w:spacing w:line="560" w:lineRule="exact"/>
        <w:ind w:firstLineChars="0"/>
        <w:rPr>
          <w:rFonts w:ascii="仿宋_GB2312" w:eastAsia="仿宋_GB2312"/>
          <w:sz w:val="32"/>
          <w:szCs w:val="32"/>
        </w:rPr>
      </w:pPr>
      <w:r>
        <w:rPr>
          <w:rFonts w:hint="eastAsia" w:ascii="仿宋_GB2312" w:eastAsia="仿宋_GB2312"/>
          <w:sz w:val="32"/>
          <w:szCs w:val="32"/>
        </w:rPr>
        <w:t>本细则中所涉及“以下”含本数，“超过”不含本数。</w:t>
      </w:r>
    </w:p>
    <w:p>
      <w:pPr>
        <w:pStyle w:val="8"/>
        <w:numPr>
          <w:ilvl w:val="0"/>
          <w:numId w:val="1"/>
        </w:numPr>
        <w:spacing w:line="560" w:lineRule="exact"/>
        <w:ind w:firstLineChars="0"/>
        <w:rPr>
          <w:rFonts w:ascii="仿宋_GB2312" w:eastAsia="仿宋_GB2312"/>
          <w:sz w:val="32"/>
          <w:szCs w:val="32"/>
        </w:rPr>
      </w:pPr>
      <w:r>
        <w:rPr>
          <w:rFonts w:hint="eastAsia" w:ascii="仿宋_GB2312" w:eastAsia="仿宋_GB2312"/>
          <w:sz w:val="32"/>
          <w:szCs w:val="32"/>
        </w:rPr>
        <w:t>本细则未尽事宜，依照国家有关法律、法规、规章及其他规范性文件的有关规定执行。</w:t>
      </w:r>
    </w:p>
    <w:p>
      <w:pPr>
        <w:pStyle w:val="8"/>
        <w:numPr>
          <w:ilvl w:val="0"/>
          <w:numId w:val="1"/>
        </w:numPr>
        <w:spacing w:line="560" w:lineRule="exact"/>
        <w:ind w:firstLineChars="0"/>
        <w:rPr>
          <w:rFonts w:ascii="仿宋_GB2312" w:eastAsia="仿宋_GB2312"/>
          <w:sz w:val="32"/>
          <w:szCs w:val="32"/>
        </w:rPr>
      </w:pPr>
      <w:r>
        <w:rPr>
          <w:rFonts w:hint="eastAsia" w:ascii="仿宋_GB2312" w:eastAsia="仿宋_GB2312"/>
          <w:sz w:val="32"/>
          <w:szCs w:val="32"/>
        </w:rPr>
        <w:t>本细则自印发之日起施行，本细则施行后与上级机关新颁布有关规定不一致的，遵照上级机关有关规定执行。</w:t>
      </w:r>
    </w:p>
    <w:p>
      <w:pPr>
        <w:spacing w:line="500" w:lineRule="exact"/>
        <w:rPr>
          <w:rFonts w:ascii="黑体" w:hAnsi="黑体" w:eastAsia="黑体" w:cs="黑体"/>
          <w:bCs/>
          <w:sz w:val="32"/>
          <w:szCs w:val="32"/>
        </w:rPr>
      </w:pPr>
      <w:r>
        <w:br w:type="page"/>
      </w:r>
      <w:r>
        <w:rPr>
          <w:rFonts w:hint="eastAsia" w:ascii="黑体" w:hAnsi="黑体" w:eastAsia="黑体" w:cs="黑体"/>
          <w:bCs/>
          <w:sz w:val="32"/>
          <w:szCs w:val="32"/>
        </w:rPr>
        <w:t>附件一</w:t>
      </w:r>
    </w:p>
    <w:p>
      <w:pPr>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容错免责事项备案表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3" w:type="dxa"/>
            <w:vAlign w:val="center"/>
          </w:tcPr>
          <w:p>
            <w:pPr>
              <w:spacing w:before="156" w:beforeLines="50" w:after="156" w:afterLines="50"/>
              <w:jc w:val="center"/>
              <w:rPr>
                <w:rFonts w:hint="eastAsia" w:ascii="仿宋_GB2312" w:hAnsi="黑体" w:eastAsia="仿宋_GB2312"/>
                <w:color w:val="000000"/>
                <w:sz w:val="24"/>
              </w:rPr>
            </w:pPr>
            <w:r>
              <w:rPr>
                <w:rFonts w:hint="eastAsia" w:ascii="仿宋_GB2312" w:hAnsi="黑体" w:eastAsia="仿宋_GB2312"/>
                <w:color w:val="000000"/>
                <w:sz w:val="24"/>
              </w:rPr>
              <w:t>申请主体</w:t>
            </w:r>
          </w:p>
        </w:tc>
        <w:tc>
          <w:tcPr>
            <w:tcW w:w="6475" w:type="dxa"/>
            <w:vAlign w:val="center"/>
          </w:tcPr>
          <w:p>
            <w:pPr>
              <w:spacing w:before="156" w:beforeLines="50" w:after="156" w:afterLines="50"/>
              <w:jc w:val="center"/>
              <w:rPr>
                <w:rFonts w:hint="eastAsia" w:ascii="仿宋_GB2312" w:hAnsi="仿宋_GB2312" w:eastAsia="仿宋_GB2312" w:cs="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3" w:type="dxa"/>
            <w:vAlign w:val="center"/>
          </w:tcPr>
          <w:p>
            <w:pPr>
              <w:jc w:val="center"/>
              <w:rPr>
                <w:rFonts w:ascii="仿宋_GB2312" w:hAnsi="黑体" w:eastAsia="仿宋_GB2312"/>
                <w:color w:val="000000"/>
                <w:sz w:val="24"/>
              </w:rPr>
            </w:pPr>
            <w:r>
              <w:rPr>
                <w:rFonts w:hint="eastAsia" w:ascii="仿宋_GB2312" w:hAnsi="黑体" w:eastAsia="仿宋_GB2312"/>
                <w:color w:val="000000"/>
                <w:sz w:val="24"/>
              </w:rPr>
              <w:t>工作单位及职务</w:t>
            </w:r>
          </w:p>
          <w:p>
            <w:pPr>
              <w:jc w:val="center"/>
              <w:rPr>
                <w:rFonts w:hint="eastAsia" w:ascii="仿宋_GB2312" w:hAnsi="黑体" w:eastAsia="仿宋_GB2312"/>
                <w:color w:val="000000"/>
                <w:sz w:val="24"/>
              </w:rPr>
            </w:pPr>
            <w:r>
              <w:rPr>
                <w:rFonts w:hint="eastAsia" w:ascii="仿宋_GB2312" w:hAnsi="黑体" w:eastAsia="仿宋_GB2312"/>
                <w:color w:val="000000"/>
                <w:sz w:val="24"/>
              </w:rPr>
              <w:t>（工作人员填写）</w:t>
            </w:r>
          </w:p>
        </w:tc>
        <w:tc>
          <w:tcPr>
            <w:tcW w:w="6475" w:type="dxa"/>
            <w:vAlign w:val="center"/>
          </w:tcPr>
          <w:p>
            <w:pPr>
              <w:spacing w:before="156" w:beforeLines="50" w:after="156" w:afterLines="50"/>
              <w:jc w:val="center"/>
              <w:rPr>
                <w:rFonts w:hint="eastAsia" w:ascii="仿宋_GB2312" w:hAnsi="仿宋_GB2312" w:eastAsia="仿宋_GB2312" w:cs="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3" w:type="dxa"/>
            <w:vAlign w:val="center"/>
          </w:tcPr>
          <w:p>
            <w:pPr>
              <w:spacing w:before="156" w:beforeLines="50" w:after="156" w:afterLines="50"/>
              <w:jc w:val="center"/>
              <w:rPr>
                <w:rFonts w:hint="eastAsia" w:ascii="仿宋_GB2312" w:hAnsi="黑体" w:eastAsia="仿宋_GB2312"/>
                <w:color w:val="000000"/>
                <w:sz w:val="24"/>
              </w:rPr>
            </w:pPr>
            <w:r>
              <w:rPr>
                <w:rFonts w:hint="eastAsia" w:ascii="仿宋_GB2312" w:hAnsi="黑体" w:eastAsia="仿宋_GB2312"/>
                <w:color w:val="000000"/>
                <w:sz w:val="24"/>
              </w:rPr>
              <w:t>备案事项</w:t>
            </w:r>
          </w:p>
        </w:tc>
        <w:tc>
          <w:tcPr>
            <w:tcW w:w="6475" w:type="dxa"/>
            <w:vAlign w:val="center"/>
          </w:tcPr>
          <w:p>
            <w:pPr>
              <w:spacing w:before="156" w:beforeLines="50" w:after="156" w:afterLines="50"/>
              <w:jc w:val="center"/>
              <w:rPr>
                <w:rFonts w:hint="eastAsia" w:ascii="仿宋_GB2312" w:hAnsi="仿宋_GB2312" w:eastAsia="仿宋_GB2312" w:cs="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3" w:type="dxa"/>
            <w:vAlign w:val="center"/>
          </w:tcPr>
          <w:p>
            <w:pPr>
              <w:spacing w:before="156" w:beforeLines="50" w:after="156" w:afterLines="50"/>
              <w:jc w:val="center"/>
              <w:rPr>
                <w:rFonts w:hint="eastAsia" w:ascii="仿宋_GB2312" w:hAnsi="黑体" w:eastAsia="仿宋_GB2312"/>
                <w:color w:val="000000"/>
                <w:sz w:val="24"/>
              </w:rPr>
            </w:pPr>
            <w:r>
              <w:rPr>
                <w:rFonts w:hint="eastAsia" w:ascii="仿宋_GB2312" w:hAnsi="黑体" w:eastAsia="仿宋_GB2312"/>
                <w:color w:val="000000"/>
                <w:sz w:val="24"/>
              </w:rPr>
              <w:t>具体情况说明</w:t>
            </w:r>
          </w:p>
        </w:tc>
        <w:tc>
          <w:tcPr>
            <w:tcW w:w="6475" w:type="dxa"/>
            <w:vAlign w:val="center"/>
          </w:tcPr>
          <w:p>
            <w:pPr>
              <w:spacing w:before="156" w:beforeLines="50" w:after="156" w:afterLines="5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3" w:type="dxa"/>
            <w:vAlign w:val="center"/>
          </w:tcPr>
          <w:p>
            <w:pPr>
              <w:spacing w:before="156" w:beforeLines="50" w:after="156" w:afterLines="50"/>
              <w:jc w:val="center"/>
              <w:rPr>
                <w:rFonts w:hint="eastAsia" w:ascii="仿宋_GB2312" w:hAnsi="黑体" w:eastAsia="仿宋_GB2312"/>
                <w:color w:val="000000"/>
                <w:sz w:val="24"/>
              </w:rPr>
            </w:pPr>
            <w:r>
              <w:rPr>
                <w:rFonts w:hint="eastAsia" w:ascii="仿宋_GB2312" w:hAnsi="黑体" w:eastAsia="仿宋_GB2312"/>
                <w:color w:val="000000"/>
                <w:sz w:val="24"/>
              </w:rPr>
              <w:t>风险分析和防范举措</w:t>
            </w:r>
          </w:p>
        </w:tc>
        <w:tc>
          <w:tcPr>
            <w:tcW w:w="6475" w:type="dxa"/>
            <w:vAlign w:val="center"/>
          </w:tcPr>
          <w:p>
            <w:pPr>
              <w:spacing w:before="156" w:beforeLines="50" w:after="156" w:afterLines="5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3" w:type="dxa"/>
            <w:vAlign w:val="center"/>
          </w:tcPr>
          <w:p>
            <w:pPr>
              <w:spacing w:before="156" w:beforeLines="50" w:after="156" w:afterLines="50"/>
              <w:jc w:val="center"/>
              <w:rPr>
                <w:rFonts w:hint="eastAsia" w:ascii="仿宋_GB2312" w:hAnsi="黑体" w:eastAsia="仿宋_GB2312"/>
                <w:color w:val="000000"/>
                <w:sz w:val="24"/>
              </w:rPr>
            </w:pPr>
            <w:r>
              <w:rPr>
                <w:rFonts w:hint="eastAsia" w:ascii="仿宋_GB2312" w:hAnsi="黑体" w:eastAsia="仿宋_GB2312"/>
                <w:color w:val="000000"/>
                <w:sz w:val="24"/>
              </w:rPr>
              <w:t>备案承诺</w:t>
            </w:r>
          </w:p>
        </w:tc>
        <w:tc>
          <w:tcPr>
            <w:tcW w:w="6475" w:type="dxa"/>
            <w:vAlign w:val="center"/>
          </w:tcPr>
          <w:p>
            <w:pPr>
              <w:spacing w:before="156" w:beforeLines="50" w:after="156" w:afterLines="5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郑重承诺：备案事项不存在《建德市政府产业基金投资容错免责实施细则（试行）》禁止容错免责的情形。</w:t>
            </w:r>
          </w:p>
          <w:p>
            <w:pPr>
              <w:pStyle w:val="2"/>
              <w:rPr>
                <w:rFonts w:hint="eastAsia"/>
              </w:rPr>
            </w:pPr>
          </w:p>
          <w:p>
            <w:pPr>
              <w:wordWrap w:val="0"/>
              <w:adjustRightInd w:val="0"/>
              <w:snapToGrid w:val="0"/>
              <w:spacing w:before="156" w:beforeLines="50" w:after="156" w:afterLines="50"/>
              <w:jc w:val="righ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备案事项申请主体（签名）：         </w:t>
            </w:r>
          </w:p>
          <w:p>
            <w:pPr>
              <w:spacing w:before="156" w:beforeLines="50" w:after="156" w:afterLines="50"/>
              <w:jc w:val="righ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3" w:type="dxa"/>
            <w:vAlign w:val="center"/>
          </w:tcPr>
          <w:p>
            <w:pPr>
              <w:spacing w:before="156" w:beforeLines="50" w:after="156" w:afterLines="50"/>
              <w:jc w:val="center"/>
              <w:rPr>
                <w:rFonts w:ascii="仿宋_GB2312" w:hAnsi="黑体" w:eastAsia="仿宋_GB2312"/>
                <w:color w:val="000000"/>
                <w:sz w:val="24"/>
              </w:rPr>
            </w:pPr>
            <w:r>
              <w:rPr>
                <w:rFonts w:hint="eastAsia" w:ascii="仿宋_GB2312" w:hAnsi="黑体" w:eastAsia="仿宋_GB2312"/>
                <w:color w:val="000000"/>
                <w:sz w:val="24"/>
              </w:rPr>
              <w:t>基金主管部门</w:t>
            </w:r>
          </w:p>
          <w:p>
            <w:pPr>
              <w:spacing w:before="156" w:beforeLines="50" w:after="156" w:afterLines="50"/>
              <w:jc w:val="center"/>
              <w:rPr>
                <w:rFonts w:hint="eastAsia" w:ascii="仿宋_GB2312" w:eastAsia="仿宋_GB2312"/>
                <w:color w:val="000000"/>
                <w:sz w:val="24"/>
              </w:rPr>
            </w:pPr>
            <w:r>
              <w:rPr>
                <w:rFonts w:hint="eastAsia" w:ascii="仿宋_GB2312" w:hAnsi="黑体" w:eastAsia="仿宋_GB2312"/>
                <w:color w:val="000000"/>
                <w:sz w:val="24"/>
              </w:rPr>
              <w:t>意见</w:t>
            </w:r>
          </w:p>
        </w:tc>
        <w:tc>
          <w:tcPr>
            <w:tcW w:w="6475" w:type="dxa"/>
            <w:vAlign w:val="center"/>
          </w:tcPr>
          <w:p>
            <w:pPr>
              <w:rPr>
                <w:rFonts w:hint="eastAsia" w:ascii="仿宋_GB2312" w:hAnsi="仿宋_GB2312" w:eastAsia="仿宋_GB2312" w:cs="仿宋_GB2312"/>
                <w:color w:val="000000"/>
                <w:sz w:val="24"/>
              </w:rPr>
            </w:pPr>
          </w:p>
          <w:p>
            <w:pPr>
              <w:pStyle w:val="2"/>
              <w:spacing w:after="0"/>
              <w:rPr>
                <w:rFonts w:hint="eastAsia"/>
              </w:rPr>
            </w:pPr>
          </w:p>
          <w:p>
            <w:pPr>
              <w:wordWrap w:val="0"/>
              <w:adjustRightInd w:val="0"/>
              <w:snapToGrid w:val="0"/>
              <w:spacing w:before="156" w:beforeLines="50" w:after="156" w:afterLines="50"/>
              <w:jc w:val="righ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单位（盖章）：           </w:t>
            </w:r>
          </w:p>
          <w:p>
            <w:pPr>
              <w:spacing w:before="156" w:beforeLines="50" w:after="156" w:afterLines="50"/>
              <w:jc w:val="right"/>
              <w:rPr>
                <w:rFonts w:hint="eastAsia" w:ascii="仿宋_GB2312" w:hAnsi="仿宋_GB2312" w:eastAsia="仿宋_GB2312" w:cs="仿宋_GB2312"/>
                <w:b/>
                <w:bCs/>
                <w:color w:val="000000"/>
                <w:sz w:val="24"/>
              </w:rPr>
            </w:pPr>
            <w:r>
              <w:rPr>
                <w:rFonts w:hint="eastAsia" w:ascii="仿宋_GB2312" w:hAnsi="仿宋_GB2312" w:eastAsia="仿宋_GB2312" w:cs="仿宋_GB2312"/>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3" w:type="dxa"/>
            <w:vAlign w:val="center"/>
          </w:tcPr>
          <w:p>
            <w:pPr>
              <w:adjustRightInd w:val="0"/>
              <w:snapToGrid w:val="0"/>
              <w:spacing w:before="156" w:beforeLines="50" w:after="156" w:afterLines="50"/>
              <w:jc w:val="center"/>
              <w:rPr>
                <w:rFonts w:ascii="仿宋_GB2312" w:hAnsi="黑体" w:eastAsia="仿宋_GB2312"/>
                <w:color w:val="000000"/>
                <w:sz w:val="24"/>
              </w:rPr>
            </w:pPr>
            <w:r>
              <w:rPr>
                <w:rFonts w:hint="eastAsia" w:ascii="仿宋_GB2312" w:hAnsi="黑体" w:eastAsia="仿宋_GB2312"/>
                <w:color w:val="000000"/>
                <w:sz w:val="24"/>
              </w:rPr>
              <w:t>分管（联系）</w:t>
            </w:r>
          </w:p>
          <w:p>
            <w:pPr>
              <w:adjustRightInd w:val="0"/>
              <w:snapToGrid w:val="0"/>
              <w:spacing w:before="156" w:beforeLines="50" w:after="156" w:afterLines="50"/>
              <w:jc w:val="center"/>
              <w:rPr>
                <w:rFonts w:hint="eastAsia" w:ascii="仿宋_GB2312" w:hAnsi="黑体" w:eastAsia="仿宋_GB2312"/>
                <w:color w:val="000000"/>
                <w:sz w:val="24"/>
              </w:rPr>
            </w:pPr>
            <w:r>
              <w:rPr>
                <w:rFonts w:hint="eastAsia" w:ascii="仿宋_GB2312" w:hAnsi="黑体" w:eastAsia="仿宋_GB2312"/>
                <w:color w:val="000000"/>
                <w:sz w:val="24"/>
              </w:rPr>
              <w:t>市领导意见</w:t>
            </w:r>
          </w:p>
        </w:tc>
        <w:tc>
          <w:tcPr>
            <w:tcW w:w="6475" w:type="dxa"/>
            <w:vAlign w:val="center"/>
          </w:tcPr>
          <w:p>
            <w:pPr>
              <w:rPr>
                <w:rFonts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wordWrap w:val="0"/>
              <w:spacing w:before="156" w:beforeLines="50" w:after="156" w:afterLines="50"/>
              <w:jc w:val="righ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签字：             </w:t>
            </w:r>
          </w:p>
          <w:p>
            <w:pPr>
              <w:spacing w:before="156" w:beforeLines="50" w:after="156" w:afterLines="50"/>
              <w:jc w:val="righ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3" w:type="dxa"/>
            <w:vAlign w:val="center"/>
          </w:tcPr>
          <w:p>
            <w:pPr>
              <w:spacing w:before="156" w:beforeLines="50" w:after="156" w:afterLines="50"/>
              <w:jc w:val="center"/>
              <w:rPr>
                <w:rFonts w:ascii="仿宋_GB2312" w:hAnsi="黑体" w:eastAsia="仿宋_GB2312"/>
                <w:color w:val="000000"/>
                <w:sz w:val="24"/>
              </w:rPr>
            </w:pPr>
            <w:r>
              <w:rPr>
                <w:rFonts w:hint="eastAsia" w:ascii="仿宋_GB2312" w:hAnsi="黑体" w:eastAsia="仿宋_GB2312"/>
                <w:color w:val="000000"/>
                <w:sz w:val="24"/>
              </w:rPr>
              <w:t>市国资监管机构</w:t>
            </w:r>
          </w:p>
          <w:p>
            <w:pPr>
              <w:spacing w:before="156" w:beforeLines="50" w:after="156" w:afterLines="50"/>
              <w:jc w:val="center"/>
              <w:rPr>
                <w:rFonts w:hint="eastAsia" w:ascii="仿宋_GB2312" w:hAnsi="仿宋_GB2312" w:eastAsia="仿宋_GB2312" w:cs="仿宋_GB2312"/>
                <w:color w:val="000000"/>
                <w:sz w:val="24"/>
              </w:rPr>
            </w:pPr>
            <w:r>
              <w:rPr>
                <w:rFonts w:hint="eastAsia" w:ascii="仿宋_GB2312" w:hAnsi="黑体" w:eastAsia="仿宋_GB2312"/>
                <w:color w:val="000000"/>
                <w:sz w:val="24"/>
              </w:rPr>
              <w:t>意见</w:t>
            </w:r>
          </w:p>
        </w:tc>
        <w:tc>
          <w:tcPr>
            <w:tcW w:w="6475" w:type="dxa"/>
            <w:vAlign w:val="center"/>
          </w:tcPr>
          <w:p>
            <w:pPr>
              <w:rPr>
                <w:rFonts w:ascii="仿宋_GB2312" w:hAnsi="仿宋_GB2312" w:eastAsia="仿宋_GB2312" w:cs="仿宋_GB2312"/>
                <w:color w:val="000000"/>
                <w:sz w:val="24"/>
              </w:rPr>
            </w:pPr>
          </w:p>
          <w:p>
            <w:pPr>
              <w:rPr>
                <w:rFonts w:hint="eastAsia" w:ascii="仿宋_GB2312" w:hAnsi="仿宋_GB2312" w:eastAsia="仿宋_GB2312" w:cs="仿宋_GB2312"/>
                <w:color w:val="000000"/>
                <w:sz w:val="24"/>
              </w:rPr>
            </w:pPr>
          </w:p>
          <w:p>
            <w:pPr>
              <w:wordWrap w:val="0"/>
              <w:spacing w:before="156" w:beforeLines="50" w:after="156" w:afterLines="50"/>
              <w:jc w:val="righ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单位（盖章）：            </w:t>
            </w:r>
          </w:p>
          <w:p>
            <w:pPr>
              <w:spacing w:before="156" w:beforeLines="50" w:after="156" w:afterLines="50"/>
              <w:jc w:val="righ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   月   日</w:t>
            </w:r>
          </w:p>
        </w:tc>
      </w:tr>
    </w:tbl>
    <w:p>
      <w:pPr>
        <w:spacing w:line="500" w:lineRule="exact"/>
        <w:rPr>
          <w:rFonts w:ascii="仿宋_GB2312" w:hAnsi="仿宋_GB2312" w:eastAsia="仿宋_GB2312" w:cs="仿宋_GB2312"/>
          <w:color w:val="000000"/>
          <w:sz w:val="28"/>
          <w:szCs w:val="28"/>
        </w:rPr>
      </w:pPr>
      <w:r>
        <w:rPr>
          <w:rFonts w:hint="eastAsia" w:eastAsia="仿宋_GB2312"/>
          <w:color w:val="000000"/>
          <w:spacing w:val="-14"/>
          <w:sz w:val="28"/>
          <w:szCs w:val="28"/>
        </w:rPr>
        <w:t>备注：</w:t>
      </w:r>
      <w:r>
        <w:rPr>
          <w:rFonts w:hint="eastAsia" w:ascii="仿宋_GB2312" w:hAnsi="仿宋_GB2312" w:eastAsia="仿宋_GB2312" w:cs="仿宋_GB2312"/>
          <w:color w:val="000000"/>
          <w:sz w:val="28"/>
          <w:szCs w:val="28"/>
        </w:rPr>
        <w:t>此表一式两份，市国资监管机构和基金主管部门各存一份。</w:t>
      </w:r>
      <w:r>
        <w:rPr>
          <w:rFonts w:ascii="仿宋_GB2312" w:hAnsi="仿宋_GB2312" w:eastAsia="仿宋_GB2312" w:cs="仿宋_GB2312"/>
          <w:color w:val="000000"/>
          <w:sz w:val="28"/>
          <w:szCs w:val="28"/>
        </w:rPr>
        <w:br w:type="page"/>
      </w:r>
    </w:p>
    <w:p>
      <w:pPr>
        <w:spacing w:line="500" w:lineRule="exact"/>
        <w:rPr>
          <w:rFonts w:ascii="黑体" w:hAnsi="黑体" w:eastAsia="黑体" w:cs="黑体"/>
          <w:bCs/>
          <w:sz w:val="32"/>
          <w:szCs w:val="32"/>
        </w:rPr>
      </w:pPr>
      <w:r>
        <w:rPr>
          <w:rFonts w:hint="eastAsia" w:ascii="黑体" w:hAnsi="黑体" w:eastAsia="黑体" w:cs="黑体"/>
          <w:bCs/>
          <w:sz w:val="32"/>
          <w:szCs w:val="32"/>
        </w:rPr>
        <w:t>附件二</w:t>
      </w:r>
    </w:p>
    <w:p>
      <w:pPr>
        <w:spacing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启动容错免责申请表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6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3" w:type="dxa"/>
            <w:vAlign w:val="center"/>
          </w:tcPr>
          <w:p>
            <w:pPr>
              <w:spacing w:before="156" w:beforeLines="50" w:after="156" w:afterLines="50"/>
              <w:jc w:val="center"/>
              <w:rPr>
                <w:rFonts w:hint="eastAsia" w:ascii="仿宋_GB2312" w:hAnsi="黑体" w:eastAsia="仿宋_GB2312"/>
                <w:color w:val="000000"/>
                <w:sz w:val="24"/>
              </w:rPr>
            </w:pPr>
            <w:r>
              <w:rPr>
                <w:rFonts w:hint="eastAsia" w:ascii="仿宋_GB2312" w:hAnsi="黑体" w:eastAsia="仿宋_GB2312"/>
                <w:color w:val="000000"/>
                <w:sz w:val="24"/>
              </w:rPr>
              <w:t>申请主体</w:t>
            </w:r>
          </w:p>
        </w:tc>
        <w:tc>
          <w:tcPr>
            <w:tcW w:w="6475" w:type="dxa"/>
            <w:vAlign w:val="center"/>
          </w:tcPr>
          <w:p>
            <w:pPr>
              <w:spacing w:before="156" w:beforeLines="50" w:after="156" w:afterLines="50"/>
              <w:jc w:val="center"/>
              <w:rPr>
                <w:rFonts w:hint="eastAsia" w:ascii="仿宋_GB2312" w:hAnsi="仿宋_GB2312" w:eastAsia="仿宋_GB2312" w:cs="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3" w:type="dxa"/>
            <w:vAlign w:val="center"/>
          </w:tcPr>
          <w:p>
            <w:pPr>
              <w:spacing w:before="156" w:beforeLines="50" w:after="156" w:afterLines="50"/>
              <w:jc w:val="center"/>
              <w:rPr>
                <w:rFonts w:ascii="仿宋_GB2312" w:hAnsi="黑体" w:eastAsia="仿宋_GB2312"/>
                <w:color w:val="000000"/>
                <w:sz w:val="24"/>
              </w:rPr>
            </w:pPr>
            <w:r>
              <w:rPr>
                <w:rFonts w:hint="eastAsia" w:ascii="仿宋_GB2312" w:hAnsi="黑体" w:eastAsia="仿宋_GB2312"/>
                <w:color w:val="000000"/>
                <w:sz w:val="24"/>
              </w:rPr>
              <w:t>工作单位及职务</w:t>
            </w:r>
          </w:p>
          <w:p>
            <w:pPr>
              <w:spacing w:before="156" w:beforeLines="50" w:after="156" w:afterLines="50"/>
              <w:jc w:val="center"/>
              <w:rPr>
                <w:rFonts w:hint="eastAsia" w:ascii="仿宋_GB2312" w:hAnsi="黑体" w:eastAsia="仿宋_GB2312"/>
                <w:color w:val="000000"/>
                <w:sz w:val="24"/>
              </w:rPr>
            </w:pPr>
            <w:r>
              <w:rPr>
                <w:rFonts w:hint="eastAsia" w:ascii="仿宋_GB2312" w:hAnsi="黑体" w:eastAsia="仿宋_GB2312"/>
                <w:color w:val="000000"/>
                <w:sz w:val="24"/>
              </w:rPr>
              <w:t>（工作人员填写）</w:t>
            </w:r>
          </w:p>
        </w:tc>
        <w:tc>
          <w:tcPr>
            <w:tcW w:w="6475" w:type="dxa"/>
            <w:vAlign w:val="center"/>
          </w:tcPr>
          <w:p>
            <w:pPr>
              <w:spacing w:before="156" w:beforeLines="50" w:after="156" w:afterLines="50"/>
              <w:jc w:val="center"/>
              <w:rPr>
                <w:rFonts w:hint="eastAsia" w:ascii="仿宋_GB2312" w:hAnsi="仿宋_GB2312" w:eastAsia="仿宋_GB2312" w:cs="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3" w:type="dxa"/>
            <w:vAlign w:val="center"/>
          </w:tcPr>
          <w:p>
            <w:pPr>
              <w:spacing w:before="156" w:beforeLines="50" w:after="156" w:afterLines="50"/>
              <w:jc w:val="center"/>
              <w:rPr>
                <w:rFonts w:hint="eastAsia" w:ascii="仿宋_GB2312" w:hAnsi="黑体" w:eastAsia="仿宋_GB2312"/>
                <w:color w:val="000000"/>
                <w:sz w:val="24"/>
              </w:rPr>
            </w:pPr>
            <w:r>
              <w:rPr>
                <w:rFonts w:hint="eastAsia" w:ascii="仿宋_GB2312" w:hAnsi="黑体" w:eastAsia="仿宋_GB2312"/>
                <w:color w:val="000000"/>
                <w:sz w:val="24"/>
              </w:rPr>
              <w:t>申请事项</w:t>
            </w:r>
          </w:p>
        </w:tc>
        <w:tc>
          <w:tcPr>
            <w:tcW w:w="6475" w:type="dxa"/>
            <w:vAlign w:val="center"/>
          </w:tcPr>
          <w:p>
            <w:pPr>
              <w:spacing w:before="156" w:beforeLines="50" w:after="156" w:afterLines="50"/>
              <w:jc w:val="center"/>
              <w:rPr>
                <w:rFonts w:hint="eastAsia" w:ascii="仿宋_GB2312" w:hAnsi="仿宋_GB2312" w:eastAsia="仿宋_GB2312" w:cs="仿宋_GB2312"/>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3" w:type="dxa"/>
            <w:vAlign w:val="center"/>
          </w:tcPr>
          <w:p>
            <w:pPr>
              <w:spacing w:before="156" w:beforeLines="50" w:after="156" w:afterLines="50"/>
              <w:jc w:val="center"/>
              <w:rPr>
                <w:rFonts w:hint="eastAsia" w:ascii="仿宋_GB2312" w:hAnsi="黑体" w:eastAsia="仿宋_GB2312"/>
                <w:color w:val="000000"/>
                <w:sz w:val="24"/>
              </w:rPr>
            </w:pPr>
            <w:r>
              <w:rPr>
                <w:rFonts w:hint="eastAsia" w:ascii="仿宋_GB2312" w:hAnsi="黑体" w:eastAsia="仿宋_GB2312"/>
                <w:color w:val="000000"/>
                <w:sz w:val="24"/>
              </w:rPr>
              <w:t>具体情况说明</w:t>
            </w:r>
          </w:p>
        </w:tc>
        <w:tc>
          <w:tcPr>
            <w:tcW w:w="6475" w:type="dxa"/>
            <w:vAlign w:val="center"/>
          </w:tcPr>
          <w:p>
            <w:pPr>
              <w:spacing w:before="156" w:beforeLines="50" w:after="156" w:afterLines="5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3" w:type="dxa"/>
            <w:vAlign w:val="center"/>
          </w:tcPr>
          <w:p>
            <w:pPr>
              <w:spacing w:before="156" w:beforeLines="50" w:after="156" w:afterLines="50"/>
              <w:jc w:val="center"/>
              <w:rPr>
                <w:rFonts w:hint="eastAsia" w:ascii="仿宋_GB2312" w:hAnsi="黑体" w:eastAsia="仿宋_GB2312"/>
                <w:color w:val="000000"/>
                <w:sz w:val="24"/>
              </w:rPr>
            </w:pPr>
            <w:r>
              <w:rPr>
                <w:rFonts w:hint="eastAsia" w:ascii="仿宋_GB2312" w:hAnsi="黑体" w:eastAsia="仿宋_GB2312"/>
                <w:color w:val="000000"/>
                <w:sz w:val="24"/>
              </w:rPr>
              <w:t>申请理由</w:t>
            </w:r>
          </w:p>
        </w:tc>
        <w:tc>
          <w:tcPr>
            <w:tcW w:w="6475" w:type="dxa"/>
            <w:vAlign w:val="center"/>
          </w:tcPr>
          <w:p>
            <w:pPr>
              <w:spacing w:before="156" w:beforeLines="50" w:after="156" w:afterLines="50"/>
              <w:rPr>
                <w:rFonts w:hint="eastAsia" w:ascii="仿宋_GB2312" w:hAnsi="仿宋_GB2312" w:eastAsia="仿宋_GB2312" w:cs="仿宋_GB2312"/>
                <w:color w:val="000000"/>
                <w:sz w:val="24"/>
              </w:rPr>
            </w:pPr>
          </w:p>
          <w:p>
            <w:pPr>
              <w:pStyle w:val="2"/>
              <w:rPr>
                <w:rFonts w:hint="eastAsia"/>
              </w:rPr>
            </w:pPr>
          </w:p>
          <w:p>
            <w:pPr>
              <w:wordWrap w:val="0"/>
              <w:adjustRightInd w:val="0"/>
              <w:snapToGrid w:val="0"/>
              <w:spacing w:before="156" w:beforeLines="50" w:after="156" w:afterLines="50"/>
              <w:jc w:val="righ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申请主体（签字/盖章）：         </w:t>
            </w:r>
          </w:p>
          <w:p>
            <w:pPr>
              <w:spacing w:before="156" w:beforeLines="50" w:after="156" w:afterLines="50"/>
              <w:jc w:val="righ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3" w:type="dxa"/>
            <w:vAlign w:val="center"/>
          </w:tcPr>
          <w:p>
            <w:pPr>
              <w:spacing w:before="156" w:beforeLines="50" w:after="156" w:afterLines="50"/>
              <w:jc w:val="center"/>
              <w:rPr>
                <w:rFonts w:ascii="仿宋_GB2312" w:hAnsi="黑体" w:eastAsia="仿宋_GB2312"/>
                <w:color w:val="000000"/>
                <w:sz w:val="24"/>
              </w:rPr>
            </w:pPr>
            <w:r>
              <w:rPr>
                <w:rFonts w:hint="eastAsia" w:ascii="仿宋_GB2312" w:hAnsi="黑体" w:eastAsia="仿宋_GB2312"/>
                <w:color w:val="000000"/>
                <w:sz w:val="24"/>
              </w:rPr>
              <w:t>基金主管部门</w:t>
            </w:r>
          </w:p>
          <w:p>
            <w:pPr>
              <w:spacing w:before="156" w:beforeLines="50" w:after="156" w:afterLines="50"/>
              <w:jc w:val="center"/>
              <w:rPr>
                <w:rFonts w:hint="eastAsia" w:ascii="仿宋_GB2312" w:eastAsia="仿宋_GB2312"/>
                <w:color w:val="000000"/>
                <w:sz w:val="24"/>
              </w:rPr>
            </w:pPr>
            <w:r>
              <w:rPr>
                <w:rFonts w:hint="eastAsia" w:ascii="仿宋_GB2312" w:hAnsi="黑体" w:eastAsia="仿宋_GB2312"/>
                <w:color w:val="000000"/>
                <w:sz w:val="24"/>
              </w:rPr>
              <w:t>意见</w:t>
            </w:r>
          </w:p>
        </w:tc>
        <w:tc>
          <w:tcPr>
            <w:tcW w:w="6475" w:type="dxa"/>
            <w:vAlign w:val="center"/>
          </w:tcPr>
          <w:p>
            <w:pPr>
              <w:spacing w:before="156" w:beforeLines="50" w:after="156" w:afterLines="50"/>
              <w:rPr>
                <w:rFonts w:ascii="仿宋_GB2312" w:hAnsi="仿宋_GB2312" w:eastAsia="仿宋_GB2312" w:cs="仿宋_GB2312"/>
                <w:color w:val="000000"/>
                <w:sz w:val="24"/>
              </w:rPr>
            </w:pPr>
          </w:p>
          <w:p>
            <w:pPr>
              <w:pStyle w:val="2"/>
              <w:rPr>
                <w:rFonts w:hint="eastAsia"/>
              </w:rPr>
            </w:pPr>
          </w:p>
          <w:p>
            <w:pPr>
              <w:wordWrap w:val="0"/>
              <w:adjustRightInd w:val="0"/>
              <w:snapToGrid w:val="0"/>
              <w:spacing w:before="156" w:beforeLines="50" w:after="156" w:afterLines="50"/>
              <w:jc w:val="righ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单位（盖章）：           </w:t>
            </w:r>
          </w:p>
          <w:p>
            <w:pPr>
              <w:spacing w:before="156" w:beforeLines="50" w:after="156" w:afterLines="50"/>
              <w:jc w:val="right"/>
              <w:rPr>
                <w:rFonts w:hint="eastAsia" w:ascii="仿宋_GB2312" w:hAnsi="仿宋_GB2312" w:eastAsia="仿宋_GB2312" w:cs="仿宋_GB2312"/>
                <w:b/>
                <w:bCs/>
                <w:color w:val="000000"/>
                <w:sz w:val="24"/>
              </w:rPr>
            </w:pPr>
            <w:r>
              <w:rPr>
                <w:rFonts w:hint="eastAsia" w:ascii="仿宋_GB2312" w:hAnsi="仿宋_GB2312" w:eastAsia="仿宋_GB2312" w:cs="仿宋_GB2312"/>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73" w:type="dxa"/>
            <w:vAlign w:val="center"/>
          </w:tcPr>
          <w:p>
            <w:pPr>
              <w:adjustRightInd w:val="0"/>
              <w:snapToGrid w:val="0"/>
              <w:spacing w:before="156" w:beforeLines="50" w:after="156" w:afterLines="50"/>
              <w:jc w:val="center"/>
              <w:rPr>
                <w:rFonts w:ascii="仿宋_GB2312" w:hAnsi="黑体" w:eastAsia="仿宋_GB2312"/>
                <w:color w:val="000000"/>
                <w:sz w:val="24"/>
              </w:rPr>
            </w:pPr>
            <w:r>
              <w:rPr>
                <w:rFonts w:hint="eastAsia" w:ascii="仿宋_GB2312" w:hAnsi="黑体" w:eastAsia="仿宋_GB2312"/>
                <w:color w:val="000000"/>
                <w:sz w:val="24"/>
              </w:rPr>
              <w:t>分管（联系）</w:t>
            </w:r>
          </w:p>
          <w:p>
            <w:pPr>
              <w:adjustRightInd w:val="0"/>
              <w:snapToGrid w:val="0"/>
              <w:spacing w:before="156" w:beforeLines="50" w:after="156" w:afterLines="50"/>
              <w:jc w:val="center"/>
              <w:rPr>
                <w:rFonts w:hint="eastAsia" w:ascii="仿宋_GB2312" w:hAnsi="黑体" w:eastAsia="仿宋_GB2312"/>
                <w:color w:val="000000"/>
                <w:sz w:val="24"/>
              </w:rPr>
            </w:pPr>
            <w:r>
              <w:rPr>
                <w:rFonts w:hint="eastAsia" w:ascii="仿宋_GB2312" w:hAnsi="黑体" w:eastAsia="仿宋_GB2312"/>
                <w:color w:val="000000"/>
                <w:sz w:val="24"/>
              </w:rPr>
              <w:t>市领导意见</w:t>
            </w:r>
          </w:p>
        </w:tc>
        <w:tc>
          <w:tcPr>
            <w:tcW w:w="6475" w:type="dxa"/>
            <w:vAlign w:val="center"/>
          </w:tcPr>
          <w:p>
            <w:pPr>
              <w:spacing w:before="156" w:beforeLines="50" w:after="156" w:afterLines="50"/>
              <w:rPr>
                <w:rFonts w:ascii="仿宋_GB2312" w:hAnsi="仿宋_GB2312" w:eastAsia="仿宋_GB2312" w:cs="仿宋_GB2312"/>
                <w:color w:val="000000"/>
                <w:sz w:val="24"/>
              </w:rPr>
            </w:pPr>
          </w:p>
          <w:p>
            <w:pPr>
              <w:pStyle w:val="2"/>
              <w:rPr>
                <w:rFonts w:hint="eastAsia"/>
              </w:rPr>
            </w:pPr>
          </w:p>
          <w:p>
            <w:pPr>
              <w:wordWrap w:val="0"/>
              <w:spacing w:before="156" w:beforeLines="50" w:after="156" w:afterLines="50"/>
              <w:jc w:val="righ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签字：             </w:t>
            </w:r>
          </w:p>
          <w:p>
            <w:pPr>
              <w:spacing w:before="156" w:beforeLines="50" w:after="156" w:afterLines="50"/>
              <w:jc w:val="righ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   月   日</w:t>
            </w:r>
          </w:p>
        </w:tc>
      </w:tr>
    </w:tbl>
    <w:p>
      <w:pPr>
        <w:spacing w:line="500" w:lineRule="exact"/>
        <w:rPr>
          <w:rFonts w:hint="eastAsia" w:ascii="仿宋_GB2312" w:hAnsi="仿宋_GB2312" w:eastAsia="仿宋_GB2312" w:cs="仿宋_GB2312"/>
          <w:color w:val="000000"/>
          <w:sz w:val="28"/>
          <w:szCs w:val="28"/>
        </w:rPr>
      </w:pPr>
      <w:r>
        <w:rPr>
          <w:rFonts w:hint="eastAsia" w:eastAsia="仿宋_GB2312"/>
          <w:color w:val="000000"/>
          <w:spacing w:val="-14"/>
          <w:sz w:val="28"/>
          <w:szCs w:val="28"/>
        </w:rPr>
        <w:t>备注：</w:t>
      </w:r>
      <w:r>
        <w:rPr>
          <w:rFonts w:hint="eastAsia" w:ascii="仿宋_GB2312" w:hAnsi="仿宋_GB2312" w:eastAsia="仿宋_GB2312" w:cs="仿宋_GB2312"/>
          <w:color w:val="000000"/>
          <w:sz w:val="28"/>
          <w:szCs w:val="28"/>
        </w:rPr>
        <w:t>此表一式五份，市纪委市监委、市委组织部、市国资监管机构、市相关产业部门和基金主管部门各存一份。</w:t>
      </w:r>
    </w:p>
    <w:p>
      <w:r>
        <w:br w:type="page"/>
      </w:r>
    </w:p>
    <w:p>
      <w:pPr>
        <w:spacing w:line="500" w:lineRule="exact"/>
        <w:rPr>
          <w:rFonts w:ascii="黑体" w:hAnsi="黑体" w:eastAsia="黑体" w:cs="黑体"/>
          <w:bCs/>
          <w:sz w:val="32"/>
          <w:szCs w:val="32"/>
        </w:rPr>
      </w:pPr>
      <w:r>
        <w:rPr>
          <w:rFonts w:hint="eastAsia" w:ascii="黑体" w:hAnsi="黑体" w:eastAsia="黑体" w:cs="黑体"/>
          <w:bCs/>
          <w:sz w:val="32"/>
          <w:szCs w:val="32"/>
        </w:rPr>
        <w:t>附件三</w:t>
      </w:r>
    </w:p>
    <w:p>
      <w:pPr>
        <w:spacing w:after="156" w:afterLines="50" w:line="540" w:lineRule="exact"/>
        <w:jc w:val="center"/>
        <w:rPr>
          <w:szCs w:val="22"/>
        </w:rPr>
      </w:pPr>
      <w:r>
        <w:rPr>
          <w:rFonts w:hint="eastAsia" w:eastAsia="方正小标宋简体"/>
          <w:sz w:val="44"/>
          <w:szCs w:val="44"/>
        </w:rPr>
        <w:t>容错减责免责事项认定表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9" w:type="dxa"/>
            <w:vAlign w:val="center"/>
          </w:tcPr>
          <w:p>
            <w:pPr>
              <w:spacing w:before="156" w:beforeLines="50" w:after="156" w:afterLines="50"/>
              <w:jc w:val="center"/>
              <w:rPr>
                <w:rFonts w:ascii="仿宋_GB2312" w:hAnsi="黑体" w:eastAsia="仿宋_GB2312"/>
                <w:color w:val="000000"/>
                <w:sz w:val="24"/>
              </w:rPr>
            </w:pPr>
            <w:r>
              <w:rPr>
                <w:rFonts w:hint="eastAsia" w:ascii="仿宋_GB2312" w:hAnsi="黑体" w:eastAsia="仿宋_GB2312"/>
                <w:color w:val="000000"/>
                <w:sz w:val="24"/>
              </w:rPr>
              <w:t>申请主体</w:t>
            </w:r>
          </w:p>
        </w:tc>
        <w:tc>
          <w:tcPr>
            <w:tcW w:w="6345" w:type="dxa"/>
            <w:vAlign w:val="center"/>
          </w:tcPr>
          <w:p>
            <w:pPr>
              <w:spacing w:before="156" w:beforeLines="50" w:after="156" w:afterLines="50"/>
              <w:jc w:val="center"/>
              <w:rPr>
                <w:rFonts w:ascii="仿宋_GB2312" w:hAnsi="黑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9" w:type="dxa"/>
            <w:vAlign w:val="center"/>
          </w:tcPr>
          <w:p>
            <w:pPr>
              <w:jc w:val="center"/>
              <w:rPr>
                <w:rFonts w:ascii="仿宋_GB2312" w:hAnsi="黑体" w:eastAsia="仿宋_GB2312"/>
                <w:color w:val="000000"/>
                <w:sz w:val="24"/>
              </w:rPr>
            </w:pPr>
            <w:r>
              <w:rPr>
                <w:rFonts w:hint="eastAsia" w:ascii="仿宋_GB2312" w:hAnsi="黑体" w:eastAsia="仿宋_GB2312"/>
                <w:color w:val="000000"/>
                <w:sz w:val="24"/>
              </w:rPr>
              <w:t>工作单位及职务</w:t>
            </w:r>
          </w:p>
          <w:p>
            <w:pPr>
              <w:jc w:val="center"/>
              <w:rPr>
                <w:rFonts w:ascii="仿宋_GB2312" w:hAnsi="黑体" w:eastAsia="仿宋_GB2312"/>
                <w:color w:val="000000"/>
                <w:sz w:val="24"/>
              </w:rPr>
            </w:pPr>
            <w:r>
              <w:rPr>
                <w:rFonts w:hint="eastAsia" w:ascii="仿宋_GB2312" w:hAnsi="黑体" w:eastAsia="仿宋_GB2312"/>
                <w:color w:val="000000"/>
                <w:sz w:val="24"/>
              </w:rPr>
              <w:t>（工作人员填写）</w:t>
            </w:r>
          </w:p>
        </w:tc>
        <w:tc>
          <w:tcPr>
            <w:tcW w:w="6345" w:type="dxa"/>
            <w:vAlign w:val="center"/>
          </w:tcPr>
          <w:p>
            <w:pPr>
              <w:spacing w:before="156" w:beforeLines="50" w:after="156" w:afterLines="50"/>
              <w:jc w:val="center"/>
              <w:rPr>
                <w:rFonts w:ascii="仿宋_GB2312" w:hAnsi="黑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9" w:type="dxa"/>
            <w:vAlign w:val="center"/>
          </w:tcPr>
          <w:p>
            <w:pPr>
              <w:spacing w:before="156" w:beforeLines="50" w:after="156" w:afterLines="50"/>
              <w:jc w:val="center"/>
              <w:rPr>
                <w:rFonts w:ascii="仿宋_GB2312" w:hAnsi="黑体" w:eastAsia="仿宋_GB2312"/>
                <w:color w:val="000000"/>
                <w:sz w:val="24"/>
              </w:rPr>
            </w:pPr>
            <w:r>
              <w:rPr>
                <w:rFonts w:ascii="仿宋_GB2312" w:hAnsi="黑体" w:eastAsia="仿宋_GB2312"/>
                <w:color w:val="000000"/>
                <w:sz w:val="24"/>
              </w:rPr>
              <w:t>符合容错</w:t>
            </w:r>
            <w:r>
              <w:rPr>
                <w:rFonts w:hint="eastAsia" w:ascii="仿宋_GB2312" w:hAnsi="黑体" w:eastAsia="仿宋_GB2312"/>
                <w:color w:val="000000"/>
                <w:sz w:val="24"/>
              </w:rPr>
              <w:t>免责</w:t>
            </w:r>
            <w:r>
              <w:rPr>
                <w:rFonts w:ascii="仿宋_GB2312" w:hAnsi="黑体" w:eastAsia="仿宋_GB2312"/>
                <w:color w:val="000000"/>
                <w:sz w:val="24"/>
              </w:rPr>
              <w:t>情形</w:t>
            </w:r>
          </w:p>
        </w:tc>
        <w:tc>
          <w:tcPr>
            <w:tcW w:w="6345" w:type="dxa"/>
            <w:vAlign w:val="center"/>
          </w:tcPr>
          <w:p>
            <w:pPr>
              <w:spacing w:before="156" w:beforeLines="50" w:after="156" w:afterLines="50"/>
              <w:jc w:val="center"/>
              <w:rPr>
                <w:rFonts w:ascii="仿宋_GB2312" w:hAnsi="黑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9" w:type="dxa"/>
            <w:vAlign w:val="center"/>
          </w:tcPr>
          <w:p>
            <w:pPr>
              <w:spacing w:before="156" w:beforeLines="50" w:after="156" w:afterLines="50"/>
              <w:jc w:val="center"/>
              <w:rPr>
                <w:rFonts w:ascii="仿宋_GB2312" w:hAnsi="黑体" w:eastAsia="仿宋_GB2312"/>
                <w:color w:val="000000"/>
                <w:sz w:val="24"/>
              </w:rPr>
            </w:pPr>
            <w:r>
              <w:rPr>
                <w:rFonts w:ascii="仿宋_GB2312" w:hAnsi="黑体" w:eastAsia="仿宋_GB2312"/>
                <w:color w:val="000000"/>
                <w:sz w:val="24"/>
              </w:rPr>
              <w:t>核查情况</w:t>
            </w:r>
          </w:p>
          <w:p>
            <w:pPr>
              <w:spacing w:before="156" w:beforeLines="50" w:after="156" w:afterLines="50"/>
              <w:jc w:val="center"/>
              <w:rPr>
                <w:rFonts w:ascii="仿宋_GB2312" w:hAnsi="黑体" w:eastAsia="仿宋_GB2312"/>
                <w:color w:val="000000"/>
                <w:sz w:val="24"/>
              </w:rPr>
            </w:pPr>
            <w:r>
              <w:rPr>
                <w:rFonts w:ascii="仿宋_GB2312" w:hAnsi="黑体" w:eastAsia="仿宋_GB2312"/>
                <w:color w:val="000000"/>
                <w:sz w:val="24"/>
              </w:rPr>
              <w:t>说明</w:t>
            </w:r>
          </w:p>
        </w:tc>
        <w:tc>
          <w:tcPr>
            <w:tcW w:w="6345" w:type="dxa"/>
            <w:vAlign w:val="center"/>
          </w:tcPr>
          <w:p>
            <w:pPr>
              <w:spacing w:before="156" w:beforeLines="50" w:after="156" w:afterLines="50"/>
              <w:rPr>
                <w:rFonts w:hint="eastAsia" w:ascii="仿宋_GB2312" w:hAnsi="黑体" w:eastAsia="仿宋_GB2312"/>
                <w:color w:val="000000"/>
                <w:sz w:val="24"/>
              </w:rPr>
            </w:pPr>
            <w:r>
              <w:rPr>
                <w:rFonts w:ascii="仿宋_GB2312" w:hAnsi="黑体" w:eastAsia="仿宋_GB2312"/>
                <w:color w:val="000000"/>
                <w:sz w:val="24"/>
              </w:rPr>
              <w:t>（参考格式）经核查，×××同志/</w:t>
            </w:r>
            <w:r>
              <w:rPr>
                <w:rFonts w:hint="eastAsia" w:ascii="仿宋_GB2312" w:hAnsi="黑体" w:eastAsia="仿宋_GB2312"/>
                <w:color w:val="000000"/>
                <w:sz w:val="24"/>
              </w:rPr>
              <w:t>单位</w:t>
            </w:r>
            <w:r>
              <w:rPr>
                <w:rFonts w:ascii="仿宋_GB2312" w:hAnsi="黑体" w:eastAsia="仿宋_GB2312"/>
                <w:color w:val="000000"/>
                <w:sz w:val="24"/>
              </w:rPr>
              <w:t>在×××（具体事件）中存在×××等</w:t>
            </w:r>
            <w:r>
              <w:rPr>
                <w:rFonts w:hint="eastAsia" w:ascii="仿宋_GB2312" w:hAnsi="黑体" w:eastAsia="仿宋_GB2312"/>
                <w:color w:val="000000"/>
                <w:sz w:val="24"/>
              </w:rPr>
              <w:t>情形</w:t>
            </w:r>
            <w:r>
              <w:rPr>
                <w:rFonts w:ascii="仿宋_GB2312" w:hAnsi="黑体" w:eastAsia="仿宋_GB2312"/>
                <w:color w:val="000000"/>
                <w:sz w:val="24"/>
              </w:rPr>
              <w:t>，但该同志/</w:t>
            </w:r>
            <w:r>
              <w:rPr>
                <w:rFonts w:hint="eastAsia" w:ascii="仿宋_GB2312" w:hAnsi="黑体" w:eastAsia="仿宋_GB2312"/>
                <w:color w:val="000000"/>
                <w:sz w:val="24"/>
              </w:rPr>
              <w:t>单位</w:t>
            </w:r>
            <w:r>
              <w:rPr>
                <w:rFonts w:ascii="仿宋_GB2312" w:hAnsi="黑体" w:eastAsia="仿宋_GB2312"/>
                <w:color w:val="000000"/>
                <w:sz w:val="24"/>
              </w:rPr>
              <w:t>（简述当事人的动机态度、客观条件、程序流程、问题性质、后果影响</w:t>
            </w:r>
            <w:r>
              <w:rPr>
                <w:rFonts w:hint="eastAsia" w:ascii="仿宋_GB2312" w:hAnsi="黑体" w:eastAsia="仿宋_GB2312"/>
                <w:color w:val="000000"/>
                <w:sz w:val="24"/>
              </w:rPr>
              <w:t>和挽回损失</w:t>
            </w:r>
            <w:r>
              <w:rPr>
                <w:rFonts w:ascii="仿宋_GB2312" w:hAnsi="黑体" w:eastAsia="仿宋_GB2312"/>
                <w:color w:val="000000"/>
                <w:sz w:val="24"/>
              </w:rPr>
              <w:t>等）。根据调查，建议对×××同志/</w:t>
            </w:r>
            <w:r>
              <w:rPr>
                <w:rFonts w:hint="eastAsia" w:ascii="仿宋_GB2312" w:hAnsi="黑体" w:eastAsia="仿宋_GB2312"/>
                <w:color w:val="000000"/>
                <w:sz w:val="24"/>
              </w:rPr>
              <w:t>单位</w:t>
            </w:r>
            <w:r>
              <w:rPr>
                <w:rFonts w:ascii="仿宋_GB2312" w:hAnsi="黑体" w:eastAsia="仿宋_GB2312"/>
                <w:color w:val="000000"/>
                <w:sz w:val="24"/>
              </w:rPr>
              <w:t>予以容错，不予、免予追究责任/从轻、减轻追究责任。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49" w:type="dxa"/>
            <w:vAlign w:val="center"/>
          </w:tcPr>
          <w:p>
            <w:pPr>
              <w:spacing w:before="156" w:beforeLines="50" w:after="156" w:afterLines="50"/>
              <w:jc w:val="center"/>
              <w:rPr>
                <w:rFonts w:ascii="仿宋_GB2312" w:hAnsi="黑体" w:eastAsia="仿宋_GB2312"/>
                <w:color w:val="000000"/>
                <w:sz w:val="24"/>
              </w:rPr>
            </w:pPr>
            <w:r>
              <w:rPr>
                <w:rFonts w:ascii="仿宋_GB2312" w:hAnsi="黑体" w:eastAsia="仿宋_GB2312"/>
                <w:color w:val="000000"/>
                <w:sz w:val="24"/>
              </w:rPr>
              <w:t>防错纠错</w:t>
            </w:r>
          </w:p>
          <w:p>
            <w:pPr>
              <w:spacing w:before="156" w:beforeLines="50" w:after="156" w:afterLines="50"/>
              <w:jc w:val="center"/>
              <w:rPr>
                <w:rFonts w:ascii="仿宋_GB2312" w:hAnsi="黑体" w:eastAsia="仿宋_GB2312"/>
                <w:color w:val="000000"/>
                <w:sz w:val="24"/>
              </w:rPr>
            </w:pPr>
            <w:r>
              <w:rPr>
                <w:rFonts w:ascii="仿宋_GB2312" w:hAnsi="黑体" w:eastAsia="仿宋_GB2312"/>
                <w:color w:val="000000"/>
                <w:sz w:val="24"/>
              </w:rPr>
              <w:t>建议</w:t>
            </w:r>
          </w:p>
        </w:tc>
        <w:tc>
          <w:tcPr>
            <w:tcW w:w="6345" w:type="dxa"/>
            <w:vAlign w:val="center"/>
          </w:tcPr>
          <w:p>
            <w:pPr>
              <w:spacing w:before="156" w:beforeLines="50" w:after="156" w:afterLines="50"/>
              <w:rPr>
                <w:rFonts w:hint="eastAsia" w:ascii="仿宋_GB2312" w:hAnsi="黑体" w:eastAsia="仿宋_GB2312"/>
                <w:color w:val="000000"/>
                <w:sz w:val="24"/>
              </w:rPr>
            </w:pPr>
            <w:r>
              <w:rPr>
                <w:rFonts w:ascii="仿宋_GB2312" w:hAnsi="黑体" w:eastAsia="仿宋_GB2312"/>
                <w:color w:val="000000"/>
                <w:sz w:val="24"/>
              </w:rPr>
              <w:t>（参考格式）</w:t>
            </w:r>
            <w:r>
              <w:rPr>
                <w:rFonts w:hint="eastAsia" w:ascii="仿宋_GB2312" w:hAnsi="黑体" w:eastAsia="仿宋_GB2312"/>
                <w:color w:val="000000"/>
                <w:sz w:val="24"/>
              </w:rPr>
              <w:t>针对</w:t>
            </w:r>
            <w:r>
              <w:rPr>
                <w:rFonts w:ascii="仿宋_GB2312" w:hAnsi="黑体" w:eastAsia="仿宋_GB2312"/>
                <w:color w:val="000000"/>
                <w:sz w:val="24"/>
              </w:rPr>
              <w:t>×××工作中的</w:t>
            </w:r>
            <w:r>
              <w:rPr>
                <w:rFonts w:hint="eastAsia" w:ascii="仿宋_GB2312" w:hAnsi="黑体" w:eastAsia="仿宋_GB2312"/>
                <w:color w:val="000000"/>
                <w:sz w:val="24"/>
              </w:rPr>
              <w:t>情形</w:t>
            </w:r>
            <w:r>
              <w:rPr>
                <w:rFonts w:ascii="仿宋_GB2312" w:hAnsi="黑体" w:eastAsia="仿宋_GB2312"/>
                <w:color w:val="000000"/>
                <w:sz w:val="24"/>
              </w:rPr>
              <w:t>，×××单位和个人应当及时采取补救措施，尽早消除影响（挽回损失），建立长效机制、举一反三。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2149" w:type="dxa"/>
            <w:vAlign w:val="center"/>
          </w:tcPr>
          <w:p>
            <w:pPr>
              <w:spacing w:before="156" w:beforeLines="50" w:after="156" w:afterLines="50"/>
              <w:jc w:val="center"/>
              <w:rPr>
                <w:rFonts w:ascii="仿宋_GB2312" w:hAnsi="黑体" w:eastAsia="仿宋_GB2312"/>
                <w:color w:val="000000"/>
                <w:sz w:val="24"/>
                <w:highlight w:val="none"/>
              </w:rPr>
            </w:pPr>
            <w:r>
              <w:rPr>
                <w:rFonts w:hint="eastAsia" w:ascii="仿宋_GB2312" w:hAnsi="黑体" w:eastAsia="仿宋_GB2312"/>
                <w:color w:val="000000"/>
                <w:sz w:val="24"/>
                <w:highlight w:val="none"/>
              </w:rPr>
              <w:t>市国资监管机构</w:t>
            </w:r>
          </w:p>
          <w:p>
            <w:pPr>
              <w:spacing w:before="156" w:beforeLines="50" w:after="156" w:afterLines="50"/>
              <w:jc w:val="center"/>
              <w:rPr>
                <w:rFonts w:hint="eastAsia" w:ascii="仿宋_GB2312" w:hAnsi="黑体" w:eastAsia="仿宋_GB2312"/>
                <w:color w:val="000000"/>
                <w:sz w:val="24"/>
                <w:highlight w:val="none"/>
              </w:rPr>
            </w:pPr>
            <w:r>
              <w:rPr>
                <w:rFonts w:hint="eastAsia" w:ascii="仿宋_GB2312" w:hAnsi="黑体" w:eastAsia="仿宋_GB2312"/>
                <w:color w:val="000000"/>
                <w:sz w:val="24"/>
                <w:highlight w:val="none"/>
              </w:rPr>
              <w:t>意见</w:t>
            </w:r>
          </w:p>
        </w:tc>
        <w:tc>
          <w:tcPr>
            <w:tcW w:w="6345" w:type="dxa"/>
          </w:tcPr>
          <w:p>
            <w:pPr>
              <w:rPr>
                <w:rFonts w:hint="eastAsia" w:ascii="仿宋_GB2312" w:hAnsi="黑体" w:eastAsia="仿宋_GB2312"/>
                <w:color w:val="000000"/>
                <w:sz w:val="24"/>
              </w:rPr>
            </w:pPr>
          </w:p>
          <w:p>
            <w:pPr>
              <w:rPr>
                <w:rFonts w:hint="eastAsia" w:ascii="仿宋_GB2312" w:hAnsi="黑体" w:eastAsia="仿宋_GB2312"/>
                <w:color w:val="000000"/>
                <w:sz w:val="24"/>
              </w:rPr>
            </w:pPr>
          </w:p>
          <w:p>
            <w:pPr>
              <w:ind w:right="1440"/>
              <w:jc w:val="right"/>
              <w:rPr>
                <w:rFonts w:hint="eastAsia" w:ascii="仿宋_GB2312" w:hAnsi="黑体" w:eastAsia="仿宋_GB2312"/>
                <w:color w:val="000000"/>
                <w:sz w:val="24"/>
              </w:rPr>
            </w:pPr>
          </w:p>
          <w:p>
            <w:pPr>
              <w:ind w:right="1440"/>
              <w:jc w:val="right"/>
              <w:rPr>
                <w:rFonts w:hint="eastAsia" w:ascii="仿宋_GB2312" w:hAnsi="黑体" w:eastAsia="仿宋_GB2312"/>
                <w:color w:val="000000"/>
                <w:sz w:val="24"/>
              </w:rPr>
            </w:pPr>
            <w:r>
              <w:rPr>
                <w:rFonts w:hint="eastAsia" w:ascii="仿宋_GB2312" w:hAnsi="黑体" w:eastAsia="仿宋_GB2312"/>
                <w:color w:val="000000"/>
                <w:sz w:val="24"/>
              </w:rPr>
              <w:t xml:space="preserve">单位（盖章）：                            </w:t>
            </w:r>
          </w:p>
          <w:p>
            <w:pPr>
              <w:jc w:val="right"/>
              <w:rPr>
                <w:rFonts w:hint="eastAsia" w:ascii="仿宋_GB2312" w:hAnsi="黑体" w:eastAsia="仿宋_GB2312"/>
                <w:color w:val="000000"/>
                <w:sz w:val="24"/>
              </w:rPr>
            </w:pPr>
            <w:r>
              <w:rPr>
                <w:rFonts w:hint="eastAsia" w:ascii="仿宋_GB2312" w:hAnsi="黑体" w:eastAsia="仿宋_GB2312"/>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2149" w:type="dxa"/>
            <w:vAlign w:val="center"/>
          </w:tcPr>
          <w:p>
            <w:pPr>
              <w:spacing w:before="156" w:beforeLines="50" w:after="156" w:afterLines="50"/>
              <w:jc w:val="center"/>
              <w:rPr>
                <w:rFonts w:ascii="仿宋_GB2312" w:hAnsi="黑体" w:eastAsia="仿宋_GB2312"/>
                <w:color w:val="000000"/>
                <w:sz w:val="24"/>
              </w:rPr>
            </w:pPr>
            <w:r>
              <w:rPr>
                <w:rFonts w:hint="eastAsia" w:ascii="仿宋_GB2312" w:hAnsi="黑体" w:eastAsia="仿宋_GB2312"/>
                <w:color w:val="000000"/>
                <w:sz w:val="24"/>
              </w:rPr>
              <w:t>市组织部</w:t>
            </w:r>
          </w:p>
          <w:p>
            <w:pPr>
              <w:spacing w:before="156" w:beforeLines="50" w:after="156" w:afterLines="50"/>
              <w:jc w:val="center"/>
              <w:rPr>
                <w:rFonts w:hint="eastAsia" w:ascii="仿宋_GB2312" w:hAnsi="黑体" w:eastAsia="仿宋_GB2312"/>
                <w:color w:val="000000"/>
                <w:sz w:val="24"/>
              </w:rPr>
            </w:pPr>
            <w:r>
              <w:rPr>
                <w:rFonts w:hint="eastAsia" w:ascii="仿宋_GB2312" w:hAnsi="黑体" w:eastAsia="仿宋_GB2312"/>
                <w:color w:val="000000"/>
                <w:sz w:val="24"/>
              </w:rPr>
              <w:t>意见</w:t>
            </w:r>
          </w:p>
        </w:tc>
        <w:tc>
          <w:tcPr>
            <w:tcW w:w="6345" w:type="dxa"/>
          </w:tcPr>
          <w:p>
            <w:pPr>
              <w:rPr>
                <w:rFonts w:hint="eastAsia" w:ascii="仿宋_GB2312" w:hAnsi="黑体" w:eastAsia="仿宋_GB2312"/>
                <w:color w:val="000000"/>
                <w:sz w:val="24"/>
              </w:rPr>
            </w:pPr>
          </w:p>
          <w:p>
            <w:pPr>
              <w:rPr>
                <w:rFonts w:hint="eastAsia" w:ascii="仿宋_GB2312" w:hAnsi="黑体" w:eastAsia="仿宋_GB2312"/>
                <w:color w:val="000000"/>
                <w:sz w:val="24"/>
              </w:rPr>
            </w:pPr>
          </w:p>
          <w:p>
            <w:pPr>
              <w:ind w:right="1440"/>
              <w:jc w:val="right"/>
              <w:rPr>
                <w:rFonts w:hint="eastAsia" w:ascii="仿宋_GB2312" w:hAnsi="黑体" w:eastAsia="仿宋_GB2312"/>
                <w:color w:val="000000"/>
                <w:sz w:val="24"/>
              </w:rPr>
            </w:pPr>
          </w:p>
          <w:p>
            <w:pPr>
              <w:ind w:right="1440"/>
              <w:jc w:val="right"/>
              <w:rPr>
                <w:rFonts w:hint="eastAsia" w:ascii="仿宋_GB2312" w:hAnsi="黑体" w:eastAsia="仿宋_GB2312"/>
                <w:color w:val="000000"/>
                <w:sz w:val="24"/>
              </w:rPr>
            </w:pPr>
            <w:r>
              <w:rPr>
                <w:rFonts w:hint="eastAsia" w:ascii="仿宋_GB2312" w:hAnsi="黑体" w:eastAsia="仿宋_GB2312"/>
                <w:color w:val="000000"/>
                <w:sz w:val="24"/>
              </w:rPr>
              <w:t xml:space="preserve">单位（盖章）：                            </w:t>
            </w:r>
          </w:p>
          <w:p>
            <w:pPr>
              <w:jc w:val="right"/>
              <w:rPr>
                <w:rFonts w:hint="eastAsia" w:ascii="仿宋_GB2312" w:hAnsi="黑体" w:eastAsia="仿宋_GB2312"/>
                <w:color w:val="000000"/>
                <w:sz w:val="24"/>
              </w:rPr>
            </w:pPr>
            <w:r>
              <w:rPr>
                <w:rFonts w:hint="eastAsia" w:ascii="仿宋_GB2312" w:hAnsi="黑体" w:eastAsia="仿宋_GB2312"/>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2149" w:type="dxa"/>
            <w:vAlign w:val="center"/>
          </w:tcPr>
          <w:p>
            <w:pPr>
              <w:spacing w:before="156" w:beforeLines="50" w:after="156" w:afterLines="50"/>
              <w:jc w:val="center"/>
              <w:rPr>
                <w:rFonts w:ascii="仿宋_GB2312" w:hAnsi="黑体" w:eastAsia="仿宋_GB2312"/>
                <w:color w:val="000000"/>
                <w:sz w:val="24"/>
              </w:rPr>
            </w:pPr>
            <w:r>
              <w:rPr>
                <w:rFonts w:hint="eastAsia" w:ascii="仿宋_GB2312" w:hAnsi="黑体" w:eastAsia="仿宋_GB2312"/>
                <w:color w:val="000000"/>
                <w:sz w:val="24"/>
              </w:rPr>
              <w:t>市纪委市监委</w:t>
            </w:r>
          </w:p>
          <w:p>
            <w:pPr>
              <w:spacing w:before="156" w:beforeLines="50" w:after="156" w:afterLines="50"/>
              <w:jc w:val="center"/>
              <w:rPr>
                <w:rFonts w:hint="eastAsia" w:ascii="仿宋_GB2312" w:hAnsi="黑体" w:eastAsia="仿宋_GB2312"/>
                <w:color w:val="000000"/>
                <w:sz w:val="24"/>
              </w:rPr>
            </w:pPr>
            <w:r>
              <w:rPr>
                <w:rFonts w:hint="eastAsia" w:ascii="仿宋_GB2312" w:hAnsi="黑体" w:eastAsia="仿宋_GB2312"/>
                <w:color w:val="000000"/>
                <w:sz w:val="24"/>
              </w:rPr>
              <w:t>意见</w:t>
            </w:r>
          </w:p>
        </w:tc>
        <w:tc>
          <w:tcPr>
            <w:tcW w:w="6345" w:type="dxa"/>
          </w:tcPr>
          <w:p>
            <w:pPr>
              <w:rPr>
                <w:rFonts w:hint="eastAsia" w:ascii="仿宋_GB2312" w:hAnsi="黑体" w:eastAsia="仿宋_GB2312"/>
                <w:color w:val="000000"/>
                <w:sz w:val="24"/>
              </w:rPr>
            </w:pPr>
          </w:p>
          <w:p>
            <w:pPr>
              <w:rPr>
                <w:rFonts w:hint="eastAsia" w:ascii="仿宋_GB2312" w:hAnsi="黑体" w:eastAsia="仿宋_GB2312"/>
                <w:color w:val="000000"/>
                <w:sz w:val="24"/>
              </w:rPr>
            </w:pPr>
          </w:p>
          <w:p>
            <w:pPr>
              <w:ind w:right="1440"/>
              <w:jc w:val="right"/>
              <w:rPr>
                <w:rFonts w:hint="eastAsia" w:ascii="仿宋_GB2312" w:hAnsi="黑体" w:eastAsia="仿宋_GB2312"/>
                <w:color w:val="000000"/>
                <w:sz w:val="24"/>
              </w:rPr>
            </w:pPr>
          </w:p>
          <w:p>
            <w:pPr>
              <w:ind w:right="1440"/>
              <w:jc w:val="right"/>
              <w:rPr>
                <w:rFonts w:hint="eastAsia" w:ascii="仿宋_GB2312" w:hAnsi="黑体" w:eastAsia="仿宋_GB2312"/>
                <w:color w:val="000000"/>
                <w:sz w:val="24"/>
              </w:rPr>
            </w:pPr>
            <w:r>
              <w:rPr>
                <w:rFonts w:hint="eastAsia" w:ascii="仿宋_GB2312" w:hAnsi="黑体" w:eastAsia="仿宋_GB2312"/>
                <w:color w:val="000000"/>
                <w:sz w:val="24"/>
              </w:rPr>
              <w:t xml:space="preserve">单位（盖章）：                            </w:t>
            </w:r>
          </w:p>
          <w:p>
            <w:pPr>
              <w:jc w:val="right"/>
              <w:rPr>
                <w:rFonts w:hint="eastAsia" w:ascii="仿宋_GB2312" w:hAnsi="黑体" w:eastAsia="仿宋_GB2312"/>
                <w:color w:val="000000"/>
                <w:sz w:val="24"/>
              </w:rPr>
            </w:pPr>
            <w:r>
              <w:rPr>
                <w:rFonts w:hint="eastAsia" w:ascii="仿宋_GB2312" w:hAnsi="黑体" w:eastAsia="仿宋_GB2312"/>
                <w:color w:val="000000"/>
                <w:sz w:val="24"/>
              </w:rPr>
              <w:t>年   月   日</w:t>
            </w:r>
          </w:p>
        </w:tc>
      </w:tr>
    </w:tbl>
    <w:p>
      <w:pPr>
        <w:spacing w:line="500" w:lineRule="exact"/>
        <w:rPr>
          <w:rFonts w:hint="eastAsia" w:ascii="仿宋_GB2312" w:hAnsi="仿宋_GB2312" w:eastAsia="仿宋_GB2312" w:cs="仿宋_GB2312"/>
          <w:color w:val="000000"/>
          <w:sz w:val="28"/>
          <w:szCs w:val="28"/>
        </w:rPr>
      </w:pPr>
      <w:r>
        <w:rPr>
          <w:rFonts w:hint="eastAsia" w:eastAsia="仿宋_GB2312"/>
          <w:color w:val="000000"/>
          <w:spacing w:val="-14"/>
          <w:sz w:val="28"/>
          <w:szCs w:val="28"/>
        </w:rPr>
        <w:t>备注：</w:t>
      </w:r>
      <w:r>
        <w:rPr>
          <w:rFonts w:hint="eastAsia" w:ascii="仿宋_GB2312" w:hAnsi="仿宋_GB2312" w:eastAsia="仿宋_GB2312" w:cs="仿宋_GB2312"/>
          <w:color w:val="000000"/>
          <w:sz w:val="28"/>
          <w:szCs w:val="28"/>
        </w:rPr>
        <w:t>此表一式五份，市纪委市监委、市委组织部、市国资监管机构、市相关产业部门和基金主管部门各存一份。</w:t>
      </w:r>
    </w:p>
    <w:p/>
    <w:sectPr>
      <w:footerReference r:id="rId3" w:type="default"/>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sz w:val="24"/>
        <w:szCs w:val="24"/>
      </w:rPr>
      <w:id w:val="1152246615"/>
    </w:sdtPr>
    <w:sdtEndPr>
      <w:rPr>
        <w:rFonts w:asciiTheme="majorEastAsia" w:hAnsiTheme="majorEastAsia" w:eastAsiaTheme="majorEastAsia"/>
        <w:sz w:val="24"/>
        <w:szCs w:val="24"/>
      </w:rPr>
    </w:sdtEndPr>
    <w:sdtContent>
      <w:p>
        <w:pPr>
          <w:pStyle w:val="4"/>
          <w:jc w:val="center"/>
          <w:rPr>
            <w:rFonts w:asciiTheme="majorEastAsia" w:hAnsiTheme="majorEastAsia" w:eastAsiaTheme="majorEastAsia"/>
            <w:sz w:val="24"/>
            <w:szCs w:val="24"/>
          </w:rPr>
        </w:pP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PAGE   \* MERGEFORMAT</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lang w:val="zh-CN"/>
          </w:rPr>
          <w:t>2</w:t>
        </w:r>
        <w:r>
          <w:rPr>
            <w:rFonts w:asciiTheme="majorEastAsia" w:hAnsiTheme="majorEastAsia" w:eastAsiaTheme="majorEastAsia"/>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7464FC"/>
    <w:multiLevelType w:val="multilevel"/>
    <w:tmpl w:val="2D7464FC"/>
    <w:lvl w:ilvl="0" w:tentative="0">
      <w:start w:val="1"/>
      <w:numFmt w:val="chineseCountingThousand"/>
      <w:suff w:val="space"/>
      <w:lvlText w:val="第%1条 "/>
      <w:lvlJc w:val="left"/>
      <w:pPr>
        <w:ind w:left="0" w:firstLine="652"/>
      </w:pPr>
      <w:rPr>
        <w:rFonts w:hint="eastAsia" w:ascii="黑体" w:eastAsia="黑体"/>
        <w:b w:val="0"/>
        <w:i w:val="0"/>
        <w:sz w:val="32"/>
      </w:rPr>
    </w:lvl>
    <w:lvl w:ilvl="1" w:tentative="0">
      <w:start w:val="1"/>
      <w:numFmt w:val="lowerLetter"/>
      <w:lvlText w:val="%2)"/>
      <w:lvlJc w:val="left"/>
      <w:pPr>
        <w:ind w:left="1520" w:hanging="440"/>
      </w:pPr>
      <w:rPr>
        <w:rFonts w:hint="eastAsia"/>
      </w:rPr>
    </w:lvl>
    <w:lvl w:ilvl="2" w:tentative="0">
      <w:start w:val="1"/>
      <w:numFmt w:val="lowerRoman"/>
      <w:lvlText w:val="%3."/>
      <w:lvlJc w:val="right"/>
      <w:pPr>
        <w:ind w:left="1960" w:hanging="440"/>
      </w:pPr>
      <w:rPr>
        <w:rFonts w:hint="eastAsia"/>
      </w:rPr>
    </w:lvl>
    <w:lvl w:ilvl="3" w:tentative="0">
      <w:start w:val="1"/>
      <w:numFmt w:val="decimal"/>
      <w:lvlText w:val="%4."/>
      <w:lvlJc w:val="left"/>
      <w:pPr>
        <w:ind w:left="2400" w:hanging="440"/>
      </w:pPr>
      <w:rPr>
        <w:rFonts w:hint="eastAsia"/>
      </w:rPr>
    </w:lvl>
    <w:lvl w:ilvl="4" w:tentative="0">
      <w:start w:val="1"/>
      <w:numFmt w:val="lowerLetter"/>
      <w:lvlText w:val="%5)"/>
      <w:lvlJc w:val="left"/>
      <w:pPr>
        <w:ind w:left="2840" w:hanging="440"/>
      </w:pPr>
      <w:rPr>
        <w:rFonts w:hint="eastAsia"/>
      </w:rPr>
    </w:lvl>
    <w:lvl w:ilvl="5" w:tentative="0">
      <w:start w:val="1"/>
      <w:numFmt w:val="lowerRoman"/>
      <w:lvlText w:val="%6."/>
      <w:lvlJc w:val="right"/>
      <w:pPr>
        <w:ind w:left="3280" w:hanging="440"/>
      </w:pPr>
      <w:rPr>
        <w:rFonts w:hint="eastAsia"/>
      </w:rPr>
    </w:lvl>
    <w:lvl w:ilvl="6" w:tentative="0">
      <w:start w:val="1"/>
      <w:numFmt w:val="decimal"/>
      <w:lvlText w:val="%7."/>
      <w:lvlJc w:val="left"/>
      <w:pPr>
        <w:ind w:left="3720" w:hanging="440"/>
      </w:pPr>
      <w:rPr>
        <w:rFonts w:hint="eastAsia"/>
      </w:rPr>
    </w:lvl>
    <w:lvl w:ilvl="7" w:tentative="0">
      <w:start w:val="1"/>
      <w:numFmt w:val="lowerLetter"/>
      <w:lvlText w:val="%8)"/>
      <w:lvlJc w:val="left"/>
      <w:pPr>
        <w:ind w:left="4160" w:hanging="440"/>
      </w:pPr>
      <w:rPr>
        <w:rFonts w:hint="eastAsia"/>
      </w:rPr>
    </w:lvl>
    <w:lvl w:ilvl="8" w:tentative="0">
      <w:start w:val="1"/>
      <w:numFmt w:val="lowerRoman"/>
      <w:lvlText w:val="%9."/>
      <w:lvlJc w:val="right"/>
      <w:pPr>
        <w:ind w:left="4600" w:hanging="4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C15173"/>
    <w:rsid w:val="7AD00A1B"/>
    <w:rsid w:val="7BEA0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table" w:styleId="6">
    <w:name w:val="Table Grid"/>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章磊</cp:lastModifiedBy>
  <dcterms:modified xsi:type="dcterms:W3CDTF">2024-10-25T09:29:10Z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835826F3EA3C45C8BA807EB198D08C7A</vt:lpwstr>
  </property>
</Properties>
</file>