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026FD">
      <w:pPr>
        <w:pStyle w:val="2"/>
        <w:bidi w:val="0"/>
        <w:jc w:val="center"/>
        <w:rPr>
          <w:b w:val="0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 w:val="0"/>
          <w:bCs/>
          <w:sz w:val="32"/>
          <w:szCs w:val="32"/>
          <w:lang w:val="en-US" w:eastAsia="zh-CN"/>
        </w:rPr>
        <w:t>关于</w:t>
      </w:r>
      <w:r>
        <w:rPr>
          <w:b w:val="0"/>
          <w:bCs/>
          <w:sz w:val="32"/>
          <w:szCs w:val="32"/>
          <w:lang w:val="en-US" w:eastAsia="zh-CN"/>
        </w:rPr>
        <w:t>《浙江省自然资源行政处罚裁量基准</w:t>
      </w:r>
    </w:p>
    <w:p w14:paraId="6F0A2EF9">
      <w:pPr>
        <w:pStyle w:val="2"/>
        <w:bidi w:val="0"/>
        <w:jc w:val="center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b w:val="0"/>
          <w:bCs/>
          <w:sz w:val="32"/>
          <w:szCs w:val="32"/>
          <w:lang w:val="en-US" w:eastAsia="zh-CN"/>
        </w:rPr>
        <w:t>（</w:t>
      </w:r>
      <w:r>
        <w:rPr>
          <w:rFonts w:hint="eastAsia"/>
          <w:b w:val="0"/>
          <w:bCs/>
          <w:sz w:val="32"/>
          <w:szCs w:val="32"/>
          <w:lang w:val="en-US" w:eastAsia="zh-CN"/>
        </w:rPr>
        <w:t>2025年修订稿</w:t>
      </w:r>
      <w:r>
        <w:rPr>
          <w:b w:val="0"/>
          <w:bCs/>
          <w:sz w:val="32"/>
          <w:szCs w:val="32"/>
          <w:lang w:val="en-US" w:eastAsia="zh-CN"/>
        </w:rPr>
        <w:t>）》</w:t>
      </w:r>
      <w:r>
        <w:rPr>
          <w:rFonts w:hint="eastAsia"/>
          <w:b w:val="0"/>
          <w:bCs/>
          <w:sz w:val="32"/>
          <w:szCs w:val="32"/>
          <w:lang w:val="en-US" w:eastAsia="zh-CN"/>
        </w:rPr>
        <w:t>的起草说明</w:t>
      </w:r>
    </w:p>
    <w:bookmarkEnd w:id="0"/>
    <w:p w14:paraId="22A36921">
      <w:pPr>
        <w:rPr>
          <w:rFonts w:hint="eastAsia"/>
          <w:b w:val="0"/>
          <w:bCs/>
          <w:sz w:val="32"/>
          <w:szCs w:val="32"/>
          <w:lang w:val="en-US" w:eastAsia="zh-CN"/>
        </w:rPr>
      </w:pPr>
    </w:p>
    <w:p w14:paraId="39F51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一、起草背景</w:t>
      </w:r>
    </w:p>
    <w:p w14:paraId="70149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1月1日施行的《浙江省国土空间规划条例》，对涉及国土空间规划的行政处罚事项作了很大的修订；新修订的《矿产资源法》将于7月1日正式施行，行政处罚标准大幅提升，急需进行裁量权细化。再则，2025年4月1日新施行的《浙江省行政处罚权裁量基准规定》，对裁量基准的适用条件、阶次等提出了很多新要求。这些，都要求对自然资源行政处罚裁量基准进行修订。本次修订，在《浙江省自然资源行政处罚裁量基准（矿产类、测绘类、规划类）》（浙自然资规〔2024〕6号）、《浙江省自然资源行政处罚裁量基准（土地类）》（浙自然资规〔2021〕15号）基础上，结合外省、市及省内各地裁量基准的好做法，拟整合形成统一的《浙江省自然资源行政处罚裁量基准（2025版）》。</w:t>
      </w:r>
    </w:p>
    <w:p w14:paraId="6DB0E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二、起草过程</w:t>
      </w:r>
    </w:p>
    <w:p w14:paraId="11745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2024年10月起，我们启动梳理自然资源行政处罚事项，根据“同类归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并、大类执法”原则，大幅对行政处罚事项进行了压减，为裁量基准制定奠定了良好的基础。</w:t>
      </w:r>
    </w:p>
    <w:p w14:paraId="4D354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2025年2月1日，经过密集征询意见，我们制定了《浙江省自然资源行政处罚裁量基准（土地类）》（浙自然资规〔2021〕15号），社会反映良好。</w:t>
      </w:r>
    </w:p>
    <w:p w14:paraId="41495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底至4月底，我们启动了地矿类、测绘类部分处罚事项划转。4月30日，《浙江省人民政府办公厅关于公布浙江省综合行政执法事项统一目录（2025）和浙江省乡镇（街道）综合行政执法事项指导目录（2025）的通知》（浙政办发〔2025〕12号），将14项地矿、测绘、证书类处罚事项移转给综合行政执法部门行使。</w:t>
      </w:r>
    </w:p>
    <w:p w14:paraId="6C328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5月起，我们着手修订本裁量基准，并召开了厅内处室会议1次、专门到龙游改稿1次，局内讨论4次，现形成本次修订稿。</w:t>
      </w:r>
    </w:p>
    <w:p w14:paraId="7D625E5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修订内容：</w:t>
      </w:r>
    </w:p>
    <w:p w14:paraId="5E8D2C1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分类制定裁量基准：根据自然资源违法行为发案情况，分为常用类、普通类处罚裁量基准，并按行政处罚内在逻辑合理排列处罚事项次序，按大类归并处罚事项，便利实践中理解与准确适用。</w:t>
      </w:r>
    </w:p>
    <w:p w14:paraId="67FC90E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优化裁量阶次：对常用处罚事项，建立了不予、减轻、从轻、普通、从重处罚的五阶次处罚裁量基准，根据实践细化、优化了适用条件，做好了新老法规违法行为处罚的衔接。</w:t>
      </w:r>
    </w:p>
    <w:p w14:paraId="7534181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考量违法情形：结合近年来的处罚实践，对既往处罚权裁量基准过于单一、无法涵盖主要违法情形的突出问题，我们设置了包括面积、违法所得、改正情况、危害后果等多维裁量因素，使处罚裁量更为充分、公平、合理。</w:t>
      </w:r>
    </w:p>
    <w:p w14:paraId="5F31B25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合理设置处罚阶次。根据新老法衔接、处置幅度过罚相当，防止小过重罚、大过小罚等不合理裁量幅度问题。</w:t>
      </w:r>
    </w:p>
    <w:p w14:paraId="19E03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四、施行日期</w:t>
      </w:r>
    </w:p>
    <w:p w14:paraId="3C8A7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为配合《矿产资源法》行政处罚条款的施行，本基准自通过之日起即日起施行。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0000000000000000000"/>
    <w:charset w:val="86"/>
    <w:family w:val="auto"/>
    <w:pitch w:val="default"/>
    <w:sig w:usb0="800002BF" w:usb1="38CF7CF8" w:usb2="00000016" w:usb3="00000000" w:csb0="00040000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BCBEE3"/>
    <w:multiLevelType w:val="singleLevel"/>
    <w:tmpl w:val="BABCBEE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B568C7E"/>
    <w:multiLevelType w:val="singleLevel"/>
    <w:tmpl w:val="FB568C7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2FD30B9"/>
    <w:rsid w:val="E2FD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2025-06-06T15:08:00Z</dcterms:created>
  <dc:creator>一路未闻</dc:creator>
  <cp:lastModifiedBy>一路未闻</cp:lastModifiedBy>
  <dcterms:modified xsi:type="dcterms:W3CDTF">2025-06-06T15:09:37Z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74B25BE9CE651C96099442681E789545_41</vt:lpwstr>
  </property>
</Properties>
</file>