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《加快现代服务业高质量发展若干政策》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“加快发展首店经济”政策条款实施细则的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补充意见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修订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一、政策条款：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加快品牌首店（旗舰店）入驻。</w:t>
      </w:r>
      <w:r>
        <w:rPr>
          <w:rFonts w:hint="eastAsia" w:ascii="Times New Roman" w:hAnsi="Times New Roman" w:eastAsia="仿宋_GB2312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国际、国</w:t>
      </w:r>
      <w:r>
        <w:rPr>
          <w:rFonts w:hint="eastAsia" w:ascii="Times New Roman" w:hAnsi="Times New Roman" w:eastAsia="仿宋_GB2312"/>
          <w:bCs/>
          <w:strike w:val="0"/>
          <w:dstrike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知名品牌企业在绍兴开设旗舰店的，对品牌企业或品牌授权代理商分别奖励200万元、100万元；在绍兴开设浙江首店的，对品牌企业或品牌授权代理商奖励50万元；知名潮店网红店开设绍兴首店的，对品牌企业或品牌授权代理商奖励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b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具有独立法人资格的国际、国内知名品牌企业或品牌授权代理商；知名潮店网红店品牌企业或品牌授权代理商（含个体工商户）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trike/>
          <w:dstrike w:val="0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b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扶持标准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（1）国际、国内知名品牌（附件1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，下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在我市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开设独立法人性质（含非法人企业转法人企业）的零售类、餐饮类品牌首店、旗舰店，并签订2年以上入驻协议或自持物业的，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对品牌企业或品牌授权代理商予以支持。其中，国际知名品牌企业在绍兴开设旗舰店的，给予200万元一次性奖励；国内知名品牌企业在绍兴开设旗舰店的，给予100万元一次性奖励；在绍兴开设浙江首店的，给予50万元一次性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经评定的知名潮店网红店在我市开设的零售类、餐饮类品牌绍兴首店，并签订2年以上入驻协议或自持物业的，对品牌企业或品牌授权代理商给予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万元一次性奖励。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首店指品牌在某一区域开的第一家线下实体门店，主要经营引领性品牌商品或服务、体现品牌形象。旗舰店指面积在500平方米以上（含）且超过绍兴市本品牌其他实体店，且商品类别涵盖该品牌一级目录下所有类别的实体门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国际品牌指在中国大陆地区范围内进行登记注册的外资零售、餐饮企业旗下品牌；国内品牌指在中国行政区域（含香港、澳门、台湾）范围内进行登记注册的内资零售、餐饮企业旗下品牌。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（1）项目申请表（由属地商务部门提供）；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（2）企业相关证照（营业执照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、银行基本户开户许可证）复印件；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符合要求的品牌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证明和认定文件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品牌授权代理商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需提供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品牌授权书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）2年以上入驻协议或自持物业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的证明材料；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  <w:t>（5）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</w:rPr>
        <w:t>其他证明材料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审批程序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（1）由所在地商务部门负责组织属地企业的申报、审核工作；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（2）通过审核的申报企业，在征求所在地相关部门意见的基础上，由所在地商务部门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提出扶持项目核定意见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并公示（内容包括资助企业名称、项目内容、资助金额等）。公示期满无异议后，报当地政府同意并下达扶持资金；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（3）所在地商务部门根据资金拨付通知完成拨付。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二、政策条款：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促进品牌首店（旗舰店）集聚。对成功引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进品牌首店（旗舰店）的商业综合体、特色步行街和夜间经济集聚区运营管理单位予以支持。其中，成功引进国际（国内）知名品牌企业开设旗舰店的，每引进</w:t>
      </w:r>
      <w:r>
        <w:rPr>
          <w:rFonts w:hint="eastAsia" w:ascii="Times New Roman" w:hAnsi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家奖励20万元；成功引进国际（国内）知名品牌企业开设浙江首店的，每引进</w:t>
      </w:r>
      <w:r>
        <w:rPr>
          <w:rFonts w:hint="eastAsia" w:ascii="Times New Roman" w:hAnsi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家奖励10万元；成功引进知名潮店网红店品牌开设绍兴首店的，每引进5家奖励5万元，单个单位年度累计奖励不超过50万元。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成功引进品牌首店（旗舰店）的商业综合体、特色步行街和夜间经济集聚区运营管理单位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扶持标准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支持商业综合体、特色步行街和夜间经济集聚区开展品牌首店招引，对成功引进品牌首店（旗舰店），签订2年及以上入驻协议的商业综合体、特色步行街和夜间经济集聚区运营管理单位予以支持。其中，成功引进国际（国内）知名品牌企业开设旗舰店的，每引进1家给予20万元一次性奖励；成功引进国际（国内）知名品牌企业开设浙江首店的，每引进1家给予10万元一次性奖励；成功引进知名潮店网红店品牌开设绍兴首店的，每引进5家给予5万元一次性奖励，单个单位年度累计奖励最高不超过50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首店指品牌在某一区域开的第一家线下实体门店，主要经营引领性品牌商品或服务、体现品牌形象。旗舰店指面积在500平方米以上（含）且超过绍兴市本品牌其他实体店，且商品类别涵盖该品牌一级目录下所有类别的实体门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国际品牌指在中国大陆地区范围内进行登记注册的外资零售、餐饮企业旗下品牌；国内品牌指在中国行政区域（含香港、澳门、台湾）范围内进行登记注册的内资零售、餐饮企业旗下品牌。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（1）项目申请表（由属地商务部门提供）；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（2）企业相关证照（营业执照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、银行基本户开户许可证）复印件；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符合要求的品牌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证明和认定文件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品牌授权代理商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的需提供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品牌授权书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2年及以上入驻协议；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其他引进证明材料。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审批程序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（1）由所在地商务部门负责组织属地企业的申报、审核工作；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（2）通过审核的申报企业，在征求所在地相关部门意见的基础上，由所在地商务部门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提出扶持项目核定意见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并公示（内容包括资助企业名称、项目内容、资助金额等）。公示期满无异议后，报当地政府同意并下达扶持资金；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（3）所在地商务部门根据资金拨付通知完成拨付。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三、政策条款：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加强活动氛围营造。对在我市商圈、步行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街、夜间经济集聚区开展的具有国际国内影响力的大型新品发布、时尚走秀、国际展会等活动，对活动主办方宣传推广、场地租赁和场地搭建等方面费用给予50%</w:t>
      </w:r>
      <w:r>
        <w:rPr>
          <w:rFonts w:hint="eastAsia" w:ascii="Times New Roman" w:hAnsi="Times New Roman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，单个活动或项目补助不超过20万元，同一主体当年最高补助不超过50万元。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符合要求的活动主办方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扶持标准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对在我市商圈、步行街、夜间经济集聚区开展的具有国际国内影响力的大型新品发布、时尚走秀、国际展会等活动，对活动主办方宣传推广、场地租赁和场地搭建等方面费用给予50%补贴，单个活动或项目最高补助不超过20万元，同一主体当年最高补助不超过50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（</w:t>
      </w:r>
      <w:r>
        <w:rPr>
          <w:rFonts w:hint="eastAsia" w:ascii="Times New Roman" w:hAnsi="Times New Roman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-SA"/>
        </w:rPr>
        <w:t>上述大型活动，是指由首店（旗舰店）品牌方授权、事先向属地政府备案的重点宣传推介活动。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（1）项目申请表（由属地商务部门提供）；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（2）企业相关证照（营业执照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、银行基本户开户许可证）复印件；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大型新品发布、时尚走秀、国际展会等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活动方案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活动现场图片，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国际国内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相关活动报道等；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4）宣传推广、场地租赁和场地搭建等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执行合同、费用明细清单、结算发票复印件盖章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审批程序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（1）由所在地商务部门负责组织属地企业的申报、审核工作；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（2）通过审核的申报企业，在征求所在地相关部门意见的基础上，由所在地商务部门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 w:bidi="ar"/>
          <w14:textFill>
            <w14:solidFill>
              <w14:schemeClr w14:val="tx1"/>
            </w14:solidFill>
          </w14:textFill>
        </w:rPr>
        <w:t>提出扶持项目核定意见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并公示（内容包括资助企业名称、项目内容、资助金额等）。公示期满无异议后，报当地政府同意并下达扶持资金；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（3）所在地商务部门根据资金拨付通知完成拨付。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国际、国内知名品牌说明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1.入选以下榜单之一：美国《财富》杂志评选的世界500强企业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世界品牌实验室发布的《世界品牌500强榜单》；品牌金融发布的《全球零售品牌价值100强》；米其林餐厅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（星级餐厅，不含必比登推介餐厅及指南入选餐厅）所属企业开设的同名连锁餐厅；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入选以下榜单之一：中国企业联合会、中国企业家协会发布的《中国服务业企业500强榜单》；世界品牌实验室发布的《中国500最具价值品牌排行榜》；胡润研究院发布的《胡润品牌榜》；品牌联盟发布的《中国品牌500强》；中国连锁经营协会发布的《中国连锁Top100》、《中国超市Top100》、《中国便利店TOP100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、《中国特许连锁Top100》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；美团发布的《黑珍珠餐厅指南》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上榜餐厅所属企业开设的同名连锁餐厅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备注：国际知名品牌满足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1项之一，国内知名品牌满足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1、2项之一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，榜单以《加快现代服务业高质量发展若干政策》印发之日最新榜单为准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US" w:eastAsia="zh-CN"/>
        </w:rPr>
        <w:t>知名潮店网红店品牌首店评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US" w:eastAsia="zh-CN"/>
        </w:rPr>
        <w:t>标准</w:t>
      </w:r>
    </w:p>
    <w:tbl>
      <w:tblPr>
        <w:tblStyle w:val="5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61"/>
        <w:gridCol w:w="1848"/>
        <w:gridCol w:w="5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一级指标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二级指标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市场力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品牌创立时间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品牌创立时间，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0-8分。（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品牌创立时间在30年及以上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的8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分，15年以上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的5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的3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分，5年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以上的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，否则不得分）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门店情况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开设门店情况，1-8分。（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品牌在中国大陆区域开设门店数超过50家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分；超过35家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分；超过20家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分；超过10家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经营力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环境匹配度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首店所处商业环境的成熟度，1-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分。（入驻省级智慧商圈/高品质步行街/特色商业街（区）的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分，入驻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省级试点/培育或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市级智慧商圈/高品质步行街/特色商业街（区）/夜间经济示范集聚区的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入驻市级试点/培育的3分，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经营面积，0-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分。（面积在200平方米以上（含）的，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分；面积在100平方米以上（含）的，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分；面积在50平方米以上（含）的，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分；面积在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0平方米以上（含）的，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分；否则不得分）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销售情况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首店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一年内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收入情况，0-12分。（单位面积（</w:t>
            </w:r>
            <w:r>
              <w:rPr>
                <w:rFonts w:hint="default" w:ascii="Arial" w:hAnsi="Arial" w:eastAsia="仿宋_GB2312" w:cs="Arial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）月平均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收入超过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，每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超过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00元，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加1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，最高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；未超过2000元但超过1000元的，按比例分别赋1-4分）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创新力（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标识与设计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商店主要功能空间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品牌标识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品牌理念、文化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分。（主要功能空间具有辨识度高的品牌标识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品牌理念、文化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分，辨识度一般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分，辨识度低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1分，无品牌标识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的不得分；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具备旗舰店独特品牌标识的，额外增加1分）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外观设计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，0-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（外观设计突出独特性、时尚性、新颖性等，具有良好视觉效应的4分；设计一般的2分;否则不得分）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内部设计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，0-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（内观设计符合经营商品调性，突出协调性、时尚性、新颖性等的4分；设计一般的2分;否则不得分）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业态模式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业态模式新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，1-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创新新型消费模式，注重个性化、体验式、沉浸式消费，重视消费者体验，最高8分）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服务力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规范制度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事前事中事后服务制度的制定和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，1-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分。（有完善的服务制度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及售后体系并执行到位的4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分，有基本制度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及体系、执行一般的2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分，无制度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或体系的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服务设施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商店顾客休息、试样、卫生等服务设施配备和运行，1-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分。（商店服务设施设备齐全、运行良好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分，设备基本齐全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，设备条件差的1分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客户服务信息系统建设和运行，1-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分。（拥有并建立完整的客户服务信息系统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分，具备客服服务信息系统或正在建立客户服务信息系统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宣传力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推广营销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（10分）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在商圈、步行街、夜间经济集聚区等商贸业态集中区域，国内知名电商平台，高铁、地铁、公交等载体上开展营销推广，0-10分。（当年营销推广费用超过80万元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10分；超过50万元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，6分；超过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0万元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，2分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；否则不得分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宣传报道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知名媒体对该店的报道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，0-8分。（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全国性知名媒体对该店的报道（含纸媒、互联网媒体、微信公众号等），包括但不限于中国经济时报、每日经济新闻、第一财经、新周刊、《VOGUE》《ELLE》《时尚芭莎》《时尚COSMO》《GQ》《T Magazine》等，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分；省级知名媒体对该店的报道，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分；市级知名媒体对该店的报道，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，没有不得分）。此条与上述“推广营销”不重复计分。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纳统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分）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纳入限额以上统计的，得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一票否决项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发生重大群体性消费投诉，存在偷税漏税等违法行为的，一票否决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/>
    <w:p/>
    <w:sectPr>
      <w:pgSz w:w="11906" w:h="16838"/>
      <w:pgMar w:top="2041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BE0D3"/>
    <w:rsid w:val="4F7F387F"/>
    <w:rsid w:val="ABFBE0D3"/>
    <w:rsid w:val="AFFFF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500" w:lineRule="exact"/>
      <w:ind w:firstLine="420"/>
    </w:pPr>
    <w:rPr>
      <w:rFonts w:ascii="Calibri" w:hAnsi="Calibri" w:eastAsia="楷体_GB2312"/>
      <w:sz w:val="21"/>
      <w:szCs w:val="20"/>
    </w:rPr>
  </w:style>
  <w:style w:type="paragraph" w:styleId="3">
    <w:name w:val="Body Text"/>
    <w:basedOn w:val="1"/>
    <w:next w:val="2"/>
    <w:qFormat/>
    <w:uiPriority w:val="0"/>
    <w:pPr>
      <w:spacing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_Style 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2024-05-09T15:52:00Z</dcterms:created>
  <dc:creator>thtf</dc:creator>
  <cp:lastModifiedBy>thtf</cp:lastModifiedBy>
  <dcterms:modified xsi:type="dcterms:W3CDTF">2024-05-09T15:53:27Z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