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温岭市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高品质管道饮用水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工程实施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意见</w:t>
      </w:r>
    </w:p>
    <w:p>
      <w:pPr>
        <w:bidi w:val="0"/>
        <w:jc w:val="center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）</w:t>
      </w:r>
    </w:p>
    <w:p>
      <w:pPr>
        <w:bidi w:val="0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随着社会经济、生活水平发展，民众对高品质饮用水的需求日益增长</w:t>
      </w:r>
      <w:r>
        <w:rPr>
          <w:rFonts w:hint="eastAsia" w:ascii="仿宋" w:hAnsi="仿宋" w:eastAsia="仿宋" w:cs="仿宋"/>
          <w:color w:val="auto"/>
          <w:sz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为了进一步提升市民的生活质量与城市品位，以优质供水打造品质新城，助力“两城两湖”精彩蝶变，根据《国务院关于实施健康中国行动的意见》（国发〔2019〕13号）、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省委改革办《关于组织实施2025年度群众天天有感微改革的通知》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，结合本市实际，就我市高品质管道饮用水（以下简称管道直饮水）工程制定本实施意见。</w:t>
      </w:r>
    </w:p>
    <w:p>
      <w:pPr>
        <w:bidi w:val="0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一、总体目标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auto"/>
          <w:sz w:val="32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以习近平新时代中国特色社会主义思想为指导</w:t>
      </w:r>
      <w:r>
        <w:rPr>
          <w:rFonts w:hint="eastAsia" w:ascii="仿宋" w:hAnsi="仿宋" w:eastAsia="仿宋" w:cs="仿宋"/>
          <w:color w:val="auto"/>
          <w:sz w:val="32"/>
        </w:rPr>
        <w:t>，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深入贯彻创新、协调、绿色、开放、共享的新发展理念，</w:t>
      </w:r>
      <w:r>
        <w:rPr>
          <w:rFonts w:hint="eastAsia" w:ascii="仿宋" w:hAnsi="仿宋" w:eastAsia="仿宋" w:cs="仿宋"/>
          <w:color w:val="auto"/>
          <w:sz w:val="32"/>
        </w:rPr>
        <w:t>积极融入新的发展格局，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以满足人民群众对高品质生活的需求为出发点和落脚点，提供更优质便捷的饮用水，</w:t>
      </w:r>
      <w:r>
        <w:rPr>
          <w:rFonts w:hint="eastAsia" w:ascii="仿宋" w:hAnsi="仿宋" w:eastAsia="仿宋" w:cs="仿宋"/>
          <w:color w:val="auto"/>
          <w:sz w:val="32"/>
        </w:rPr>
        <w:t>在全市范围内新建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在建</w:t>
      </w:r>
      <w:r>
        <w:rPr>
          <w:rFonts w:hint="eastAsia" w:ascii="仿宋" w:hAnsi="仿宋" w:eastAsia="仿宋" w:cs="仿宋"/>
          <w:color w:val="auto"/>
          <w:sz w:val="32"/>
        </w:rPr>
        <w:t>和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具备条件的</w:t>
      </w:r>
      <w:r>
        <w:rPr>
          <w:rFonts w:hint="eastAsia" w:ascii="仿宋" w:hAnsi="仿宋" w:eastAsia="仿宋" w:cs="仿宋"/>
          <w:color w:val="auto"/>
          <w:sz w:val="32"/>
        </w:rPr>
        <w:t>既有居民小区、企事业单位推广管道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直饮水工程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</w:rPr>
        <w:t>建立稳定可持续的投资运营模式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</w:rPr>
        <w:t>安全高效、便捷智慧的管理体系，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提升城市现代化水平，</w:t>
      </w:r>
      <w:r>
        <w:rPr>
          <w:rFonts w:hint="eastAsia" w:ascii="仿宋" w:hAnsi="仿宋" w:eastAsia="仿宋" w:cs="仿宋"/>
          <w:color w:val="auto"/>
          <w:sz w:val="32"/>
        </w:rPr>
        <w:t>满足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人民群众</w:t>
      </w:r>
      <w:r>
        <w:rPr>
          <w:rFonts w:hint="eastAsia" w:ascii="仿宋" w:hAnsi="仿宋" w:eastAsia="仿宋" w:cs="仿宋"/>
          <w:color w:val="auto"/>
          <w:sz w:val="32"/>
        </w:rPr>
        <w:t>对更高品质饮用水的个性化需求。</w:t>
      </w:r>
    </w:p>
    <w:p>
      <w:pPr>
        <w:bidi w:val="0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二、工作原则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楷体" w:hAnsi="楷体" w:eastAsia="楷体" w:cs="楷体"/>
          <w:color w:val="auto"/>
          <w:sz w:val="32"/>
        </w:rPr>
        <w:t>（一）政府引导，企业实施。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坚持“政府引导、企业实施、市场定价、稳步推进”的原则</w:t>
      </w:r>
      <w:r>
        <w:rPr>
          <w:rFonts w:hint="eastAsia" w:ascii="仿宋" w:hAnsi="仿宋" w:eastAsia="仿宋" w:cs="仿宋"/>
          <w:color w:val="auto"/>
          <w:sz w:val="32"/>
        </w:rPr>
        <w:t>，加强政府对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管道直饮水</w:t>
      </w:r>
      <w:r>
        <w:rPr>
          <w:rFonts w:hint="eastAsia" w:ascii="仿宋" w:hAnsi="仿宋" w:eastAsia="仿宋" w:cs="仿宋"/>
          <w:color w:val="auto"/>
          <w:sz w:val="32"/>
        </w:rPr>
        <w:t>项目的全程监管，完善工程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质量和水质</w:t>
      </w:r>
      <w:r>
        <w:rPr>
          <w:rFonts w:hint="eastAsia" w:ascii="仿宋" w:hAnsi="仿宋" w:eastAsia="仿宋" w:cs="仿宋"/>
          <w:color w:val="auto"/>
          <w:sz w:val="32"/>
        </w:rPr>
        <w:t>监管体系。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供水</w:t>
      </w:r>
      <w:r>
        <w:rPr>
          <w:rFonts w:hint="eastAsia" w:ascii="仿宋" w:hAnsi="仿宋" w:eastAsia="仿宋" w:cs="仿宋"/>
          <w:color w:val="auto"/>
          <w:sz w:val="32"/>
        </w:rPr>
        <w:t>企业通过市场化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模式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实施</w:t>
      </w:r>
      <w:r>
        <w:rPr>
          <w:rFonts w:hint="eastAsia" w:ascii="仿宋" w:hAnsi="仿宋" w:eastAsia="仿宋" w:cs="仿宋"/>
          <w:color w:val="auto"/>
          <w:sz w:val="32"/>
        </w:rPr>
        <w:t>项目建设、运营和管理，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以项目可持续运营为前提，合理确定管道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价格，</w:t>
      </w:r>
      <w:r>
        <w:rPr>
          <w:rFonts w:hint="eastAsia" w:ascii="仿宋" w:hAnsi="仿宋" w:eastAsia="仿宋" w:cs="仿宋"/>
          <w:color w:val="auto"/>
          <w:sz w:val="32"/>
        </w:rPr>
        <w:t>为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市民</w:t>
      </w:r>
      <w:r>
        <w:rPr>
          <w:rFonts w:hint="eastAsia" w:ascii="仿宋" w:hAnsi="仿宋" w:eastAsia="仿宋" w:cs="仿宋"/>
          <w:color w:val="auto"/>
          <w:sz w:val="32"/>
        </w:rPr>
        <w:t>提供优质供水服务。</w:t>
      </w:r>
    </w:p>
    <w:p>
      <w:pPr>
        <w:bidi w:val="0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lang w:val="en-US" w:eastAsia="zh-CN"/>
        </w:rPr>
        <w:t>试点先行</w:t>
      </w:r>
      <w:r>
        <w:rPr>
          <w:rFonts w:hint="eastAsia" w:ascii="楷体" w:hAnsi="楷体" w:eastAsia="楷体" w:cs="楷体"/>
          <w:color w:val="auto"/>
          <w:sz w:val="32"/>
        </w:rPr>
        <w:t>，逐步推进。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以新建住宅小区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旧改小区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机关、学校等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为重点，率先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管道直饮水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入楼入户项目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以点带面，逐步提高管道直饮水普及率。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ascii="楷体_GB2312" w:hAnsi="楷体_GB2312" w:eastAsia="楷体_GB2312" w:cs="楷体_GB2312"/>
          <w:bCs/>
          <w:color w:val="auto"/>
          <w:kern w:val="0"/>
          <w:sz w:val="31"/>
          <w:szCs w:val="31"/>
          <w:lang w:val="en-US" w:eastAsia="zh-CN" w:bidi="ar"/>
        </w:rPr>
        <w:t>用户自愿，有偿使用。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 xml:space="preserve">本着用户自愿原则，在条件成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熟的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单位、小区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单元区块有偿使用管道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及其服务。</w:t>
      </w:r>
    </w:p>
    <w:p>
      <w:pPr>
        <w:bidi w:val="0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</w:rPr>
        <w:t>三、实施内容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</w:rPr>
        <w:t>（一）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新建及在建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lang w:val="en-US" w:eastAsia="zh-CN"/>
        </w:rPr>
        <w:t>住宅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项目的泵房、管道井等管道直饮水设施设备的架设空间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一并纳入规划条件建设要求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相关主管部门和单位按照各自职责做好审核、实施和验收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具备条件的在建项目，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可增加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完善管道直饮水设计，同步配套建设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或预留泵房、管道井等架设空间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楷体" w:hAnsi="楷体" w:eastAsia="楷体" w:cs="楷体"/>
          <w:color w:val="auto"/>
          <w:sz w:val="32"/>
        </w:rPr>
        <w:t>（</w:t>
      </w:r>
      <w:r>
        <w:rPr>
          <w:rFonts w:hint="eastAsia" w:ascii="楷体" w:hAnsi="楷体" w:eastAsia="楷体" w:cs="楷体"/>
          <w:color w:val="auto"/>
          <w:sz w:val="32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</w:rPr>
        <w:t>）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已建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lang w:val="en-US" w:eastAsia="zh-CN"/>
        </w:rPr>
        <w:t>小区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。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坚持以民生诉求为先导，在广泛征求民意的基础上，尊重民意，分类推进。对具备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条件</w:t>
      </w:r>
      <w:bookmarkStart w:id="1" w:name="_GoBack"/>
      <w:bookmarkEnd w:id="1"/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安装管道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设施的小区，制定合理的供水方案，明确相关程序，有序推进各项工作；对不具备安装条件的，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老旧小区改造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二次供水改造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等项目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统筹实施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楷体" w:hAnsi="楷体" w:eastAsia="楷体" w:cs="楷体"/>
          <w:color w:val="auto"/>
          <w:sz w:val="32"/>
        </w:rPr>
        <w:t>（</w:t>
      </w:r>
      <w:r>
        <w:rPr>
          <w:rFonts w:hint="eastAsia" w:ascii="楷体" w:hAnsi="楷体" w:eastAsia="楷体" w:cs="楷体"/>
          <w:color w:val="auto"/>
          <w:sz w:val="32"/>
          <w:lang w:val="en-US" w:eastAsia="zh-CN"/>
        </w:rPr>
        <w:t>三</w:t>
      </w:r>
      <w:r>
        <w:rPr>
          <w:rFonts w:hint="eastAsia" w:ascii="楷体" w:hAnsi="楷体" w:eastAsia="楷体" w:cs="楷体"/>
          <w:color w:val="auto"/>
          <w:sz w:val="32"/>
        </w:rPr>
        <w:t>）</w:t>
      </w:r>
      <w:bookmarkStart w:id="0" w:name="OLE_LINK1"/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政府投资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  <w:lang w:val="en-US" w:eastAsia="zh-CN"/>
        </w:rPr>
        <w:t>和公益性</w:t>
      </w:r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项目</w:t>
      </w:r>
      <w:bookmarkEnd w:id="0"/>
      <w:r>
        <w:rPr>
          <w:rFonts w:hint="eastAsia" w:ascii="楷体_GB2312" w:hAnsi="仿宋_GB2312" w:eastAsia="楷体_GB2312" w:cs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根据项目的建设规模、人数、需求，制定具体的管道直饮水工程设计方案，采用联合或单独供水模式，与自来水工程同步设计，由供水企业负责建设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。</w:t>
      </w:r>
    </w:p>
    <w:p>
      <w:pPr>
        <w:bidi w:val="0"/>
        <w:ind w:firstLine="640" w:firstLineChars="200"/>
        <w:outlineLvl w:val="9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</w:rPr>
        <w:t>保障措施</w:t>
      </w:r>
    </w:p>
    <w:p>
      <w:pPr>
        <w:bidi w:val="0"/>
        <w:ind w:firstLine="640" w:firstLineChars="200"/>
        <w:outlineLvl w:val="9"/>
        <w:rPr>
          <w:rFonts w:hint="eastAsia" w:ascii="楷体" w:hAnsi="楷体" w:eastAsia="楷体" w:cs="楷体"/>
          <w:color w:val="auto"/>
          <w:sz w:val="32"/>
        </w:rPr>
      </w:pPr>
      <w:r>
        <w:rPr>
          <w:rFonts w:hint="eastAsia" w:ascii="楷体" w:hAnsi="楷体" w:eastAsia="楷体" w:cs="楷体"/>
          <w:color w:val="auto"/>
          <w:sz w:val="32"/>
        </w:rPr>
        <w:t>（一）政策保障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auto"/>
          <w:sz w:val="32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工程涉及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全市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人民对高品质饮用水的需求，在建设过程中，涉及政策处理和相关利益方的协调工作，应加大政策支持力度。为确保扎实有效推进实施，市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农水局、住建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局要做好综合指导，各部门（单位）加强沟通协作，解决管道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推进过程中的困难和问题，系统、统筹推动管道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工作扎实开展。供水企业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要按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市场化经营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方式推进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，实施统建统管。</w:t>
      </w:r>
    </w:p>
    <w:p>
      <w:pPr>
        <w:bidi w:val="0"/>
        <w:ind w:firstLine="640" w:firstLineChars="200"/>
        <w:outlineLvl w:val="9"/>
        <w:rPr>
          <w:rFonts w:hint="eastAsia" w:ascii="楷体" w:hAnsi="楷体" w:eastAsia="楷体" w:cs="楷体"/>
          <w:color w:val="auto"/>
          <w:sz w:val="32"/>
        </w:rPr>
      </w:pPr>
      <w:r>
        <w:rPr>
          <w:rFonts w:hint="eastAsia" w:ascii="楷体" w:hAnsi="楷体" w:eastAsia="楷体" w:cs="楷体"/>
          <w:color w:val="auto"/>
          <w:sz w:val="32"/>
        </w:rPr>
        <w:t>（二）资金保障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color w:val="auto"/>
        </w:rPr>
      </w:pP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推行“市场化经营”模式。管道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项目建设资金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原则上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由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供水企业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承担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预测投资风险较大的项目</w:t>
      </w:r>
      <w:r>
        <w:rPr>
          <w:rFonts w:hint="eastAsia" w:ascii="仿宋" w:hAnsi="仿宋" w:eastAsia="仿宋" w:cs="仿宋"/>
          <w:color w:val="auto"/>
          <w:sz w:val="32"/>
        </w:rPr>
        <w:t>由</w:t>
      </w: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lang w:val="en-US" w:eastAsia="zh-CN"/>
        </w:rPr>
        <w:t>供水企业与相关方共同协商分担建设资金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。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用水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相关费用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由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供水企业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综合考虑投资方式、成本浮动等因素后，按照市场化模式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开展多元化定价收费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。</w:t>
      </w:r>
    </w:p>
    <w:p>
      <w:pPr>
        <w:bidi w:val="0"/>
        <w:ind w:firstLine="640" w:firstLineChars="200"/>
        <w:outlineLvl w:val="9"/>
        <w:rPr>
          <w:rFonts w:hint="eastAsia" w:ascii="楷体" w:hAnsi="楷体" w:eastAsia="楷体" w:cs="楷体"/>
          <w:color w:val="auto"/>
          <w:sz w:val="32"/>
        </w:rPr>
      </w:pPr>
      <w:r>
        <w:rPr>
          <w:rFonts w:hint="eastAsia" w:ascii="楷体" w:hAnsi="楷体" w:eastAsia="楷体" w:cs="楷体"/>
          <w:color w:val="auto"/>
          <w:sz w:val="32"/>
        </w:rPr>
        <w:t>（三）</w:t>
      </w:r>
      <w:r>
        <w:rPr>
          <w:rFonts w:hint="eastAsia" w:ascii="楷体" w:hAnsi="楷体" w:eastAsia="楷体" w:cs="楷体"/>
          <w:color w:val="auto"/>
          <w:sz w:val="32"/>
          <w:lang w:val="en-US" w:eastAsia="zh-CN"/>
        </w:rPr>
        <w:t>建设</w:t>
      </w:r>
      <w:r>
        <w:rPr>
          <w:rFonts w:hint="eastAsia" w:ascii="楷体" w:hAnsi="楷体" w:eastAsia="楷体" w:cs="楷体"/>
          <w:color w:val="auto"/>
          <w:sz w:val="32"/>
        </w:rPr>
        <w:t>保障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lang w:val="en-US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lang w:val="en-US" w:eastAsia="zh-CN"/>
        </w:rPr>
        <w:t>建设项目</w:t>
      </w:r>
      <w:r>
        <w:rPr>
          <w:rFonts w:hint="eastAsia" w:ascii="仿宋" w:hAnsi="仿宋" w:eastAsia="仿宋" w:cs="仿宋"/>
          <w:color w:val="auto"/>
          <w:sz w:val="32"/>
        </w:rPr>
        <w:t>应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根</w:t>
      </w:r>
      <w:r>
        <w:rPr>
          <w:rFonts w:hint="eastAsia" w:ascii="仿宋" w:hAnsi="仿宋" w:eastAsia="仿宋" w:cs="仿宋"/>
          <w:color w:val="auto"/>
          <w:sz w:val="32"/>
        </w:rPr>
        <w:t>据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用户数</w:t>
      </w:r>
      <w:r>
        <w:rPr>
          <w:rFonts w:hint="eastAsia" w:ascii="仿宋" w:hAnsi="仿宋" w:eastAsia="仿宋" w:cs="仿宋"/>
          <w:color w:val="auto"/>
          <w:sz w:val="32"/>
        </w:rPr>
        <w:t>及用水量，设计能够满足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hint="eastAsia" w:ascii="仿宋" w:hAnsi="仿宋" w:eastAsia="仿宋" w:cs="仿宋"/>
          <w:color w:val="auto"/>
          <w:sz w:val="32"/>
        </w:rPr>
        <w:t>使用功能需求的专用设备与机房，以确保其功能的充分实现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在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工程建设过程中，严格按照国家、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行业、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团体标准等规范实施，设备、施工材料和制水工艺必须符合国家卫生许可标准和质量要求；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严格控制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机电设备质量和安装调试，确保施工工艺、安装、供水水质满足要求。工程建成且水质检测合格后，由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供水企业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组织有关单位按照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规范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、设计图纸进行验收，验收合格后方可投入使用。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农水、住建、自规等部门在各自职责范围内予以支持。</w:t>
      </w:r>
    </w:p>
    <w:p>
      <w:pPr>
        <w:bidi w:val="0"/>
        <w:ind w:firstLine="640" w:firstLineChars="200"/>
        <w:outlineLvl w:val="9"/>
        <w:rPr>
          <w:rFonts w:hint="eastAsia" w:ascii="楷体" w:hAnsi="楷体" w:eastAsia="楷体" w:cs="楷体"/>
          <w:color w:val="auto"/>
          <w:sz w:val="32"/>
        </w:rPr>
      </w:pPr>
      <w:r>
        <w:rPr>
          <w:rFonts w:hint="eastAsia" w:ascii="楷体" w:hAnsi="楷体" w:eastAsia="楷体" w:cs="楷体"/>
          <w:color w:val="auto"/>
          <w:sz w:val="32"/>
        </w:rPr>
        <w:t>（</w:t>
      </w:r>
      <w:r>
        <w:rPr>
          <w:rFonts w:hint="eastAsia" w:ascii="楷体" w:hAnsi="楷体" w:eastAsia="楷体" w:cs="楷体"/>
          <w:color w:val="auto"/>
          <w:sz w:val="32"/>
          <w:lang w:val="en-US" w:eastAsia="zh-CN"/>
        </w:rPr>
        <w:t>四</w:t>
      </w:r>
      <w:r>
        <w:rPr>
          <w:rFonts w:hint="eastAsia" w:ascii="楷体" w:hAnsi="楷体" w:eastAsia="楷体" w:cs="楷体"/>
          <w:color w:val="auto"/>
          <w:sz w:val="32"/>
        </w:rPr>
        <w:t>）水质保障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供水企业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应委托第三方检测机构或在线监测系统对水质进行检测，检测结果及时向社会公布。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卫健部门按照职责对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直饮水依法依规开展监督和卫生许可审批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。</w:t>
      </w:r>
    </w:p>
    <w:p>
      <w:pPr>
        <w:bidi w:val="0"/>
        <w:ind w:firstLine="640" w:firstLineChars="200"/>
        <w:outlineLvl w:val="9"/>
        <w:rPr>
          <w:rFonts w:hint="eastAsia" w:ascii="楷体" w:hAnsi="楷体" w:eastAsia="楷体" w:cs="楷体"/>
          <w:color w:val="auto"/>
          <w:sz w:val="32"/>
        </w:rPr>
      </w:pPr>
      <w:r>
        <w:rPr>
          <w:rFonts w:hint="eastAsia" w:ascii="楷体" w:hAnsi="楷体" w:eastAsia="楷体" w:cs="楷体"/>
          <w:color w:val="auto"/>
          <w:sz w:val="32"/>
        </w:rPr>
        <w:t>（</w:t>
      </w:r>
      <w:r>
        <w:rPr>
          <w:rFonts w:hint="eastAsia" w:ascii="楷体" w:hAnsi="楷体" w:eastAsia="楷体" w:cs="楷体"/>
          <w:color w:val="auto"/>
          <w:sz w:val="32"/>
          <w:lang w:val="en-US" w:eastAsia="zh-CN"/>
        </w:rPr>
        <w:t>五</w:t>
      </w:r>
      <w:r>
        <w:rPr>
          <w:rFonts w:hint="eastAsia" w:ascii="楷体" w:hAnsi="楷体" w:eastAsia="楷体" w:cs="楷体"/>
          <w:color w:val="auto"/>
          <w:sz w:val="32"/>
        </w:rPr>
        <w:t>）宣传保障</w:t>
      </w:r>
    </w:p>
    <w:p>
      <w:pPr>
        <w:bidi w:val="0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</w:rPr>
        <w:t>通过电视、新媒体、网站等多种渠道，广泛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宣传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hint="eastAsia" w:ascii="仿宋" w:hAnsi="仿宋" w:eastAsia="仿宋" w:cs="仿宋"/>
          <w:color w:val="auto"/>
          <w:sz w:val="32"/>
        </w:rPr>
        <w:t>的实施成效及相关资讯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，提高</w:t>
      </w:r>
      <w:r>
        <w:rPr>
          <w:rFonts w:hint="eastAsia" w:ascii="仿宋" w:hAnsi="仿宋" w:eastAsia="仿宋" w:cs="仿宋"/>
          <w:color w:val="auto"/>
          <w:sz w:val="32"/>
        </w:rPr>
        <w:t>市民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对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</w:rPr>
        <w:t>认识</w:t>
      </w:r>
      <w:r>
        <w:rPr>
          <w:rFonts w:hint="eastAsia" w:ascii="仿宋" w:hAnsi="仿宋" w:eastAsia="仿宋" w:cs="仿宋"/>
          <w:color w:val="auto"/>
          <w:sz w:val="32"/>
          <w:lang w:eastAsia="zh-CN"/>
        </w:rPr>
        <w:t>并支持项目实施，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保障</w:t>
      </w:r>
      <w:r>
        <w:rPr>
          <w:rFonts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管道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1"/>
          <w:szCs w:val="31"/>
          <w:lang w:val="en-US" w:eastAsia="zh-CN" w:bidi="ar"/>
        </w:rPr>
        <w:t>直饮水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工程</w:t>
      </w:r>
      <w:r>
        <w:rPr>
          <w:rFonts w:hint="eastAsia" w:ascii="仿宋" w:hAnsi="仿宋" w:eastAsia="仿宋" w:cs="仿宋"/>
          <w:color w:val="auto"/>
          <w:sz w:val="32"/>
        </w:rPr>
        <w:t>规范、有序推进。</w:t>
      </w:r>
    </w:p>
    <w:p>
      <w:pPr>
        <w:rPr>
          <w:rFonts w:hint="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7" w:lineRule="auto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zEwNTM5NzYwMDRjMzkwZTVkZjY2ODkwMGIxNGU0OTUifQ=="/>
    <w:docVar w:name="KSO_WPS_MARK_KEY" w:val="3cf4c399-308b-4198-b634-cc462adf7f91"/>
  </w:docVars>
  <w:rsids>
    <w:rsidRoot w:val="00000000"/>
    <w:rsid w:val="02353CB7"/>
    <w:rsid w:val="04B162DB"/>
    <w:rsid w:val="06175140"/>
    <w:rsid w:val="0A482C50"/>
    <w:rsid w:val="0F900A2F"/>
    <w:rsid w:val="11D205CD"/>
    <w:rsid w:val="196555FC"/>
    <w:rsid w:val="1DB2687B"/>
    <w:rsid w:val="21FA7BF9"/>
    <w:rsid w:val="27B774BA"/>
    <w:rsid w:val="28A41206"/>
    <w:rsid w:val="2FA22D24"/>
    <w:rsid w:val="327C7176"/>
    <w:rsid w:val="33CB6382"/>
    <w:rsid w:val="39324E8E"/>
    <w:rsid w:val="3B7D7791"/>
    <w:rsid w:val="3DBE0350"/>
    <w:rsid w:val="4DBA65D7"/>
    <w:rsid w:val="55DC03BD"/>
    <w:rsid w:val="5F4B0439"/>
    <w:rsid w:val="5FBD414C"/>
    <w:rsid w:val="60DB2B3C"/>
    <w:rsid w:val="68852109"/>
    <w:rsid w:val="690A5DF3"/>
    <w:rsid w:val="6E01429A"/>
    <w:rsid w:val="73EE042D"/>
    <w:rsid w:val="7B001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5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paragraph" w:customStyle="1" w:styleId="18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1871</Words>
  <Characters>1875</Characters>
  <Lines>92</Lines>
  <Paragraphs>25</Paragraphs>
  <TotalTime>4</TotalTime>
  <ScaleCrop>false</ScaleCrop>
  <LinksUpToDate>false</LinksUpToDate>
  <CharactersWithSpaces>1876</CharactersWithSpaces>
  <Application>WPS Office_11.1.0.12375_F1E327BC-269C-435d-A152-05C5408002CA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黑天白夜</cp:lastModifiedBy>
  <dcterms:modified xsi:type="dcterms:W3CDTF">2025-04-25T02:38:25Z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eyJoZGlkIjoiYTYzNGIxNzYyNTQ1ZjJjMGZjMGFiMjU1YzViZGRmYTciLCJ1c2VySWQiOiIzMTQ3MDYyMjAifQ==</vt:lpwstr>
  </property>
  <property fmtid="{D5CDD505-2E9C-101B-9397-08002B2CF9AE}" pid="3" name="KSOProductBuildVer">
    <vt:lpwstr>2052-11.1.0.12375</vt:lpwstr>
  </property>
  <property fmtid="{D5CDD505-2E9C-101B-9397-08002B2CF9AE}" pid="4" name="ICV">
    <vt:lpwstr>7C5980C4D45A4886AD65A6EAF1602D06_12</vt:lpwstr>
  </property>
</Properties>
</file>