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DE96F1">
      <w:pPr>
        <w:spacing w:line="600" w:lineRule="exact"/>
        <w:jc w:val="center"/>
        <w:rPr>
          <w:rFonts w:ascii="方正小标宋简体" w:eastAsia="方正小标宋简体" w:cs="方正小标宋简体"/>
          <w:sz w:val="44"/>
          <w:szCs w:val="44"/>
          <w:shd w:val="clear" w:color="auto" w:fill="FFFFFF"/>
        </w:rPr>
      </w:pPr>
      <w:r>
        <w:rPr>
          <w:rFonts w:hint="eastAsia" w:ascii="方正小标宋简体" w:eastAsia="方正小标宋简体" w:cs="方正小标宋简体"/>
          <w:sz w:val="44"/>
          <w:szCs w:val="44"/>
          <w:shd w:val="clear" w:color="auto" w:fill="FFFFFF"/>
        </w:rPr>
        <w:t>《</w:t>
      </w:r>
      <w:r>
        <w:rPr>
          <w:rFonts w:hint="eastAsia" w:ascii="方正小标宋简体" w:eastAsia="方正小标宋简体" w:cs="方正小标宋简体"/>
          <w:sz w:val="44"/>
          <w:szCs w:val="44"/>
          <w:shd w:val="clear" w:color="auto" w:fill="FFFFFF"/>
          <w:lang w:eastAsia="zh-CN"/>
        </w:rPr>
        <w:t>龙湾</w:t>
      </w:r>
      <w:r>
        <w:rPr>
          <w:rFonts w:hint="eastAsia" w:ascii="方正小标宋简体" w:eastAsia="方正小标宋简体" w:cs="方正小标宋简体"/>
          <w:sz w:val="44"/>
          <w:szCs w:val="44"/>
          <w:shd w:val="clear" w:color="auto" w:fill="FFFFFF"/>
        </w:rPr>
        <w:t>区乡村道公路网布局规划（2024—2035年）》</w:t>
      </w:r>
      <w:r>
        <w:rPr>
          <w:rFonts w:hint="eastAsia" w:ascii="方正小标宋简体" w:eastAsia="方正小标宋简体" w:cs="方正小标宋简体"/>
          <w:sz w:val="44"/>
          <w:szCs w:val="44"/>
          <w:shd w:val="clear" w:color="auto" w:fill="FFFFFF"/>
          <w:lang w:eastAsia="zh-CN"/>
        </w:rPr>
        <w:t>（征求意见稿）</w:t>
      </w:r>
      <w:r>
        <w:rPr>
          <w:rFonts w:hint="eastAsia" w:ascii="方正小标宋简体" w:eastAsia="方正小标宋简体" w:cs="方正小标宋简体"/>
          <w:sz w:val="44"/>
          <w:szCs w:val="44"/>
          <w:shd w:val="clear" w:color="auto" w:fill="FFFFFF"/>
        </w:rPr>
        <w:t>起草说明</w:t>
      </w:r>
    </w:p>
    <w:p w14:paraId="0008D711">
      <w:pPr>
        <w:ind w:firstLine="640" w:firstLineChars="200"/>
        <w:rPr>
          <w:rFonts w:ascii="仿宋_GB2312" w:eastAsia="仿宋_GB2312" w:cs="仿宋_GB2312"/>
          <w:sz w:val="32"/>
          <w:szCs w:val="32"/>
          <w:shd w:val="clear" w:color="auto" w:fill="FFFFFF"/>
        </w:rPr>
      </w:pPr>
      <w:bookmarkStart w:id="0" w:name="_GoBack"/>
      <w:bookmarkEnd w:id="0"/>
    </w:p>
    <w:p w14:paraId="15B739A1">
      <w:pPr>
        <w:ind w:firstLine="640" w:firstLineChars="200"/>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现就《龙湾区乡、村道公路网布局规划（2024—2035年）》制定情况和主要内容说明如下：</w:t>
      </w:r>
    </w:p>
    <w:p w14:paraId="4D2FBF92">
      <w:pPr>
        <w:ind w:firstLine="643" w:firstLineChars="200"/>
        <w:rPr>
          <w:rFonts w:hint="eastAsia" w:ascii="仿宋_GB2312" w:hAnsi="仿宋_GB2312" w:eastAsia="仿宋_GB2312" w:cs="仿宋_GB2312"/>
          <w:b/>
          <w:bCs/>
          <w:sz w:val="32"/>
          <w:szCs w:val="32"/>
          <w:shd w:val="clear" w:color="auto" w:fill="FFFFFF"/>
        </w:rPr>
      </w:pPr>
      <w:r>
        <w:rPr>
          <w:rFonts w:hint="eastAsia" w:ascii="仿宋_GB2312" w:hAnsi="仿宋_GB2312" w:eastAsia="仿宋_GB2312" w:cs="仿宋_GB2312"/>
          <w:b/>
          <w:bCs/>
          <w:sz w:val="32"/>
          <w:szCs w:val="32"/>
          <w:shd w:val="clear" w:color="auto" w:fill="FFFFFF"/>
        </w:rPr>
        <w:t>一、制定背景</w:t>
      </w:r>
    </w:p>
    <w:p w14:paraId="3BE65B9A">
      <w:pPr>
        <w:spacing w:line="560" w:lineRule="exact"/>
        <w:ind w:firstLine="640" w:firstLineChars="200"/>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随着《国家公路网规划》《浙江省高速公路网布局规划（2021-2035年）》《浙江省普通省道公路网布局规划（2021-2035年）》《</w:t>
      </w:r>
      <w:r>
        <w:rPr>
          <w:rFonts w:hint="eastAsia" w:ascii="仿宋_GB2312" w:hAnsi="仿宋_GB2312" w:eastAsia="仿宋_GB2312" w:cs="仿宋_GB2312"/>
          <w:sz w:val="32"/>
          <w:szCs w:val="32"/>
          <w:shd w:val="clear" w:color="auto" w:fill="FFFFFF"/>
          <w:lang w:val="en-US" w:eastAsia="zh-CN"/>
        </w:rPr>
        <w:t>龙湾</w:t>
      </w:r>
      <w:r>
        <w:rPr>
          <w:rFonts w:hint="eastAsia" w:ascii="仿宋_GB2312" w:hAnsi="仿宋_GB2312" w:eastAsia="仿宋_GB2312" w:cs="仿宋_GB2312"/>
          <w:sz w:val="32"/>
          <w:szCs w:val="32"/>
          <w:shd w:val="clear" w:color="auto" w:fill="FFFFFF"/>
        </w:rPr>
        <w:t>区县道公路网规划（2021-2035年）》等上位路网规划的正式印发和线位调整工作的开展，</w:t>
      </w:r>
      <w:r>
        <w:rPr>
          <w:rFonts w:hint="eastAsia" w:ascii="仿宋_GB2312" w:hAnsi="仿宋_GB2312" w:eastAsia="仿宋_GB2312" w:cs="仿宋_GB2312"/>
          <w:sz w:val="32"/>
          <w:szCs w:val="32"/>
          <w:shd w:val="clear" w:color="auto" w:fill="FFFFFF"/>
          <w:lang w:eastAsia="zh-CN"/>
        </w:rPr>
        <w:t>龙湾</w:t>
      </w:r>
      <w:r>
        <w:rPr>
          <w:rFonts w:hint="eastAsia" w:ascii="仿宋_GB2312" w:hAnsi="仿宋_GB2312" w:eastAsia="仿宋_GB2312" w:cs="仿宋_GB2312"/>
          <w:sz w:val="32"/>
          <w:szCs w:val="32"/>
          <w:shd w:val="clear" w:color="auto" w:fill="FFFFFF"/>
        </w:rPr>
        <w:t>区农村公路网络形态发生了显著变化，迫切需要对乡村道公路网进行调整和优化，实现与上层路网的有效衔接。为贯彻落实浙江省交通运输厅关于印发《浙江省农村公路网布局规划编制指导意见》的通知（浙交〔2023〕116号）、温州市交通运输局《关于全面开展农村公路网布局规划编制工作的通知》（温交办〔2024〕4号）等文件要求，开展</w:t>
      </w:r>
      <w:r>
        <w:rPr>
          <w:rFonts w:hint="eastAsia" w:ascii="仿宋_GB2312" w:hAnsi="仿宋_GB2312" w:eastAsia="仿宋_GB2312" w:cs="仿宋_GB2312"/>
          <w:sz w:val="32"/>
          <w:szCs w:val="32"/>
          <w:shd w:val="clear" w:color="auto" w:fill="FFFFFF"/>
          <w:lang w:eastAsia="zh-CN"/>
        </w:rPr>
        <w:t>龙湾</w:t>
      </w:r>
      <w:r>
        <w:rPr>
          <w:rFonts w:hint="eastAsia" w:ascii="仿宋_GB2312" w:hAnsi="仿宋_GB2312" w:eastAsia="仿宋_GB2312" w:cs="仿宋_GB2312"/>
          <w:sz w:val="32"/>
          <w:szCs w:val="32"/>
          <w:shd w:val="clear" w:color="auto" w:fill="FFFFFF"/>
        </w:rPr>
        <w:t>区乡、村道公路网规划的编制工作，以科学指导全面建设社会主义现代化国家新征程阶段农村公路建设与发展，服务支撑乡村振兴战略实施和共同富裕示范区创建。</w:t>
      </w:r>
    </w:p>
    <w:p w14:paraId="755666A0">
      <w:pPr>
        <w:ind w:firstLine="643" w:firstLineChars="200"/>
        <w:rPr>
          <w:rFonts w:hint="eastAsia" w:ascii="仿宋_GB2312" w:hAnsi="仿宋_GB2312" w:eastAsia="仿宋_GB2312" w:cs="仿宋_GB2312"/>
          <w:b/>
          <w:bCs/>
          <w:sz w:val="32"/>
          <w:szCs w:val="32"/>
          <w:shd w:val="clear" w:color="auto" w:fill="FFFFFF"/>
        </w:rPr>
      </w:pPr>
      <w:r>
        <w:rPr>
          <w:rFonts w:hint="eastAsia" w:ascii="仿宋_GB2312" w:hAnsi="仿宋_GB2312" w:eastAsia="仿宋_GB2312" w:cs="仿宋_GB2312"/>
          <w:b/>
          <w:bCs/>
          <w:sz w:val="32"/>
          <w:szCs w:val="32"/>
          <w:shd w:val="clear" w:color="auto" w:fill="FFFFFF"/>
        </w:rPr>
        <w:t>二、主要政策依据</w:t>
      </w:r>
    </w:p>
    <w:p w14:paraId="05F0169E">
      <w:pPr>
        <w:ind w:firstLine="640" w:firstLineChars="200"/>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1.《浙江省农村公路网布局规划编制指导意见》（浙交〔2023〕116号）；</w:t>
      </w:r>
    </w:p>
    <w:p w14:paraId="02BD2596">
      <w:pPr>
        <w:ind w:firstLine="640" w:firstLineChars="200"/>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2.《关于全面开展农村公路网布局规划编制工作的通知》（温交办〔2024〕4号）。</w:t>
      </w:r>
    </w:p>
    <w:p w14:paraId="1478FE78">
      <w:pPr>
        <w:ind w:firstLine="643" w:firstLineChars="200"/>
        <w:rPr>
          <w:rFonts w:hint="eastAsia" w:ascii="仿宋_GB2312" w:hAnsi="仿宋_GB2312" w:eastAsia="仿宋_GB2312" w:cs="仿宋_GB2312"/>
          <w:b/>
          <w:bCs/>
          <w:sz w:val="32"/>
          <w:szCs w:val="32"/>
          <w:shd w:val="clear" w:color="auto" w:fill="FFFFFF"/>
        </w:rPr>
      </w:pPr>
      <w:r>
        <w:rPr>
          <w:rFonts w:hint="eastAsia" w:ascii="仿宋_GB2312" w:hAnsi="仿宋_GB2312" w:eastAsia="仿宋_GB2312" w:cs="仿宋_GB2312"/>
          <w:b/>
          <w:bCs/>
          <w:sz w:val="32"/>
          <w:szCs w:val="32"/>
          <w:shd w:val="clear" w:color="auto" w:fill="FFFFFF"/>
        </w:rPr>
        <w:t>三、主要内容</w:t>
      </w:r>
    </w:p>
    <w:p w14:paraId="1C519064">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lang w:eastAsia="zh-CN"/>
        </w:rPr>
        <w:t>龙湾</w:t>
      </w:r>
      <w:r>
        <w:rPr>
          <w:rFonts w:hint="eastAsia" w:ascii="仿宋_GB2312" w:hAnsi="仿宋_GB2312" w:eastAsia="仿宋_GB2312" w:cs="仿宋_GB2312"/>
          <w:sz w:val="32"/>
          <w:szCs w:val="32"/>
          <w:shd w:val="clear" w:color="auto" w:fill="FFFFFF"/>
        </w:rPr>
        <w:t>区乡村道公路网布局规划内容包含八大块，分别为概述、发展基础、发展形势与需求、规划思路、路网布局方案、</w:t>
      </w:r>
      <w:r>
        <w:rPr>
          <w:rFonts w:hint="eastAsia" w:ascii="仿宋_GB2312" w:hAnsi="仿宋_GB2312" w:eastAsia="仿宋_GB2312" w:cs="仿宋_GB2312"/>
          <w:sz w:val="32"/>
          <w:szCs w:val="32"/>
          <w:shd w:val="clear" w:color="auto" w:fill="FFFFFF"/>
          <w:lang w:val="en-US" w:eastAsia="zh-CN"/>
        </w:rPr>
        <w:t>生态美丽农村公路规划</w:t>
      </w:r>
      <w:r>
        <w:rPr>
          <w:rFonts w:hint="eastAsia" w:ascii="仿宋_GB2312" w:hAnsi="仿宋_GB2312" w:eastAsia="仿宋_GB2312" w:cs="仿宋_GB2312"/>
          <w:sz w:val="32"/>
          <w:szCs w:val="32"/>
          <w:shd w:val="clear" w:color="auto" w:fill="FFFFFF"/>
        </w:rPr>
        <w:t>、规划实施和保障措施。主要内容如下：</w:t>
      </w:r>
    </w:p>
    <w:p w14:paraId="094590AD">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（一）指导思想</w:t>
      </w:r>
    </w:p>
    <w:p w14:paraId="59111964">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以习近平新时代中国特色社会主义思想为指导，全面贯彻落实党的二十大精神，践行以人民为中心的发展思想，立足新发展阶段、贯彻新发展理念、构建新发展格局，围绕“乡村振兴”“交通强省”“共同富裕”等国家和省委、省政府重大战略部署，进一步优化农村公路路网结构，推进农村公路与国土空间、旅游发展等规划有机衔接和融合发展，充分发挥农村公路网覆盖范围广的优势，进一步畅通微循环，持续提升农村公路服务能力，为高质量发展建设共同富裕示范区提供坚实保障。</w:t>
      </w:r>
    </w:p>
    <w:p w14:paraId="77DDA2F3">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（二）规划目标</w:t>
      </w:r>
    </w:p>
    <w:p w14:paraId="26DC98E0">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到2035年，基本形成规模结构合理、层次结构分明、内外衔接高效、并适度超前的乡村道公路网空间布局，为服务农村地区人民美好生活、实施乡村振兴战略、建设共同富裕示范区先行标杆提供坚实保障。</w:t>
      </w:r>
    </w:p>
    <w:p w14:paraId="3968D969">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——路网结构加快优化。到2035年</w:t>
      </w:r>
      <w:r>
        <w:rPr>
          <w:rFonts w:hint="eastAsia" w:ascii="仿宋_GB2312" w:hAnsi="仿宋_GB2312" w:eastAsia="仿宋_GB2312" w:cs="仿宋_GB2312"/>
          <w:sz w:val="32"/>
          <w:szCs w:val="32"/>
          <w:lang w:val="en-US" w:eastAsia="zh-CN"/>
        </w:rPr>
        <w:t>县、乡、村道总里程约</w:t>
      </w:r>
      <w:r>
        <w:rPr>
          <w:rFonts w:hint="eastAsia" w:ascii="仿宋_GB2312" w:hAnsi="仿宋_GB2312" w:eastAsia="仿宋_GB2312" w:cs="仿宋_GB2312"/>
          <w:sz w:val="32"/>
          <w:szCs w:val="32"/>
          <w:highlight w:val="none"/>
          <w:lang w:val="en-US" w:eastAsia="zh-CN"/>
        </w:rPr>
        <w:t>345.186</w:t>
      </w:r>
      <w:r>
        <w:rPr>
          <w:rFonts w:hint="eastAsia" w:ascii="仿宋_GB2312" w:hAnsi="仿宋_GB2312" w:eastAsia="仿宋_GB2312" w:cs="仿宋_GB2312"/>
          <w:sz w:val="32"/>
          <w:szCs w:val="32"/>
          <w:lang w:val="en-US" w:eastAsia="zh-CN"/>
        </w:rPr>
        <w:t>公里</w:t>
      </w:r>
      <w:r>
        <w:rPr>
          <w:rFonts w:hint="eastAsia" w:ascii="仿宋_GB2312" w:hAnsi="仿宋_GB2312" w:eastAsia="仿宋_GB2312" w:cs="仿宋_GB2312"/>
          <w:sz w:val="32"/>
          <w:szCs w:val="32"/>
          <w:shd w:val="clear" w:color="auto" w:fill="FFFFFF"/>
        </w:rPr>
        <w:t>，县、乡、村道结构比例调整为</w:t>
      </w:r>
      <w:r>
        <w:rPr>
          <w:rFonts w:hint="eastAsia" w:ascii="仿宋_GB2312" w:hAnsi="仿宋_GB2312" w:eastAsia="仿宋_GB2312" w:cs="仿宋_GB2312"/>
          <w:sz w:val="32"/>
          <w:szCs w:val="32"/>
          <w:highlight w:val="none"/>
          <w:lang w:val="en-US" w:eastAsia="zh-CN"/>
        </w:rPr>
        <w:t>1:0.62: 0.59</w:t>
      </w:r>
      <w:r>
        <w:rPr>
          <w:rFonts w:hint="eastAsia" w:ascii="仿宋_GB2312" w:hAnsi="仿宋_GB2312" w:eastAsia="仿宋_GB2312" w:cs="仿宋_GB2312"/>
          <w:sz w:val="32"/>
          <w:szCs w:val="32"/>
          <w:shd w:val="clear" w:color="auto" w:fill="FFFFFF"/>
        </w:rPr>
        <w:t>，各层级网络功能清晰。</w:t>
      </w:r>
    </w:p>
    <w:p w14:paraId="6C3034F1">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——服务水平不断提升。乡道双车道通行比例达100%，乡道三级及以上等级达</w:t>
      </w:r>
      <w:r>
        <w:rPr>
          <w:rFonts w:hint="eastAsia" w:ascii="仿宋_GB2312" w:hAnsi="仿宋_GB2312" w:eastAsia="仿宋_GB2312" w:cs="仿宋_GB2312"/>
          <w:sz w:val="32"/>
          <w:szCs w:val="32"/>
          <w:shd w:val="clear" w:color="auto" w:fill="FFFFFF"/>
          <w:lang w:val="en-US" w:eastAsia="zh-CN"/>
        </w:rPr>
        <w:t>6</w:t>
      </w:r>
      <w:r>
        <w:rPr>
          <w:rFonts w:hint="eastAsia" w:ascii="仿宋_GB2312" w:hAnsi="仿宋_GB2312" w:eastAsia="仿宋_GB2312" w:cs="仿宋_GB2312"/>
          <w:sz w:val="32"/>
          <w:szCs w:val="32"/>
          <w:shd w:val="clear" w:color="auto" w:fill="FFFFFF"/>
        </w:rPr>
        <w:t>5%以上，村道双车道通行比例达</w:t>
      </w:r>
      <w:r>
        <w:rPr>
          <w:rFonts w:hint="eastAsia" w:ascii="仿宋_GB2312" w:hAnsi="仿宋_GB2312" w:eastAsia="仿宋_GB2312" w:cs="仿宋_GB2312"/>
          <w:sz w:val="32"/>
          <w:szCs w:val="32"/>
          <w:shd w:val="clear" w:color="auto" w:fill="FFFFFF"/>
          <w:lang w:val="en-US" w:eastAsia="zh-CN"/>
        </w:rPr>
        <w:t>10</w:t>
      </w:r>
      <w:r>
        <w:rPr>
          <w:rFonts w:hint="eastAsia" w:ascii="仿宋_GB2312" w:hAnsi="仿宋_GB2312" w:eastAsia="仿宋_GB2312" w:cs="仿宋_GB2312"/>
          <w:sz w:val="32"/>
          <w:szCs w:val="32"/>
          <w:shd w:val="clear" w:color="auto" w:fill="FFFFFF"/>
        </w:rPr>
        <w:t>0%，大罗山龙湾段片区形成联网道路，片区可达性全面提升。</w:t>
      </w:r>
    </w:p>
    <w:p w14:paraId="5971FC27">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（三）路网布局方案</w:t>
      </w:r>
    </w:p>
    <w:p w14:paraId="145BC079">
      <w:pPr>
        <w:ind w:firstLine="640" w:firstLineChars="200"/>
        <w:jc w:val="left"/>
        <w:rPr>
          <w:rFonts w:hint="eastAsia" w:ascii="仿宋_GB2312" w:hAnsi="仿宋_GB2312" w:eastAsia="仿宋_GB2312" w:cs="仿宋_GB2312"/>
          <w:sz w:val="32"/>
          <w:szCs w:val="32"/>
          <w:shd w:val="clear" w:color="auto" w:fill="FFFFFF"/>
          <w:lang w:val="en-US" w:eastAsia="zh-CN"/>
        </w:rPr>
      </w:pPr>
      <w:r>
        <w:rPr>
          <w:rFonts w:hint="eastAsia" w:ascii="仿宋_GB2312" w:hAnsi="仿宋_GB2312" w:eastAsia="仿宋_GB2312" w:cs="仿宋_GB2312"/>
          <w:sz w:val="32"/>
          <w:szCs w:val="32"/>
          <w:shd w:val="clear" w:color="auto" w:fill="FFFFFF"/>
          <w:lang w:val="en-US" w:eastAsia="zh-CN"/>
        </w:rPr>
        <w:t>布局规划后，规划乡道20条线路，总里程96.622公里，增长31.6%；规划村道41条，总里程91.864公里，增加13.63%；</w:t>
      </w:r>
    </w:p>
    <w:p w14:paraId="7D50FACF">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lang w:val="en-US" w:eastAsia="zh-CN"/>
        </w:rPr>
        <w:t>根据“龙湾区县道网规划（2021-2035）”，龙湾区县道网由原6条县道调整为15条县道，形成“五纵九横一联”的县道公路网布局，总里程156.7公里，新增里程105.766公里，其中保留县道5条，降为乡道1条，提升乡道2条，提升村道2条，新增县道6条。</w:t>
      </w:r>
    </w:p>
    <w:p w14:paraId="77B9A004">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1.乡道布局方案</w:t>
      </w:r>
    </w:p>
    <w:p w14:paraId="748C47AE">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龙湾区规划布局乡道由原21条调整为20条，总里程96.622公里，其中现状保留5条，调增7条，新增8条，取消4条，并将5条乡道共计20.935公里移交市政部门。规划到2035年，乡道里程增加23.207公里，三级及以上里程占比达到51.3%公里。</w:t>
      </w:r>
    </w:p>
    <w:p w14:paraId="5E3A0717">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rPr>
        <w:t>2.村道布局方案</w:t>
      </w:r>
    </w:p>
    <w:p w14:paraId="2F80F9B3">
      <w:pPr>
        <w:ind w:firstLine="640" w:firstLineChars="200"/>
        <w:jc w:val="left"/>
        <w:rPr>
          <w:rFonts w:hint="eastAsia" w:ascii="仿宋_GB2312" w:hAnsi="仿宋_GB2312" w:eastAsia="仿宋_GB2312" w:cs="仿宋_GB2312"/>
          <w:sz w:val="32"/>
          <w:szCs w:val="32"/>
          <w:shd w:val="clear" w:color="auto" w:fill="FFFFFF"/>
        </w:rPr>
      </w:pPr>
      <w:r>
        <w:rPr>
          <w:rFonts w:hint="eastAsia" w:ascii="仿宋_GB2312" w:hAnsi="仿宋_GB2312" w:eastAsia="仿宋_GB2312" w:cs="仿宋_GB2312"/>
          <w:sz w:val="32"/>
          <w:szCs w:val="32"/>
          <w:shd w:val="clear" w:color="auto" w:fill="FFFFFF"/>
          <w:lang w:eastAsia="zh-CN"/>
        </w:rPr>
        <w:t>龙湾区规划布局村道由原68条调整为41条，总里程91.864公里，其中现状保留10条，调增6条，新增25条，并将52条村道共计59.70公里移交市政部门。规划到2035年，村道里程增加11.016公里。</w:t>
      </w:r>
    </w:p>
    <w:sectPr>
      <w:footerReference r:id="rId3" w:type="default"/>
      <w:pgSz w:w="11906" w:h="16838"/>
      <w:pgMar w:top="1984"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docPartObj>
        <w:docPartGallery w:val="autotext"/>
      </w:docPartObj>
    </w:sdtPr>
    <w:sdtEndPr>
      <w:rPr>
        <w:rFonts w:ascii="Times New Roman" w:cs="Times New Roman"/>
        <w:sz w:val="21"/>
        <w:szCs w:val="21"/>
      </w:rPr>
    </w:sdtEndPr>
    <w:sdtContent>
      <w:p w14:paraId="366AC298">
        <w:pPr>
          <w:pStyle w:val="3"/>
          <w:jc w:val="center"/>
          <w:rPr>
            <w:rFonts w:ascii="Times New Roman" w:cs="Times New Roman"/>
            <w:sz w:val="21"/>
            <w:szCs w:val="21"/>
          </w:rPr>
        </w:pPr>
        <w:r>
          <w:rPr>
            <w:rFonts w:ascii="Times New Roman" w:cs="Times New Roman"/>
            <w:sz w:val="21"/>
            <w:szCs w:val="21"/>
          </w:rPr>
          <w:fldChar w:fldCharType="begin"/>
        </w:r>
        <w:r>
          <w:rPr>
            <w:rFonts w:ascii="Times New Roman" w:cs="Times New Roman"/>
            <w:sz w:val="21"/>
            <w:szCs w:val="21"/>
          </w:rPr>
          <w:instrText xml:space="preserve">PAGE   \* MERGEFORMAT</w:instrText>
        </w:r>
        <w:r>
          <w:rPr>
            <w:rFonts w:ascii="Times New Roman" w:cs="Times New Roman"/>
            <w:sz w:val="21"/>
            <w:szCs w:val="21"/>
          </w:rPr>
          <w:fldChar w:fldCharType="separate"/>
        </w:r>
        <w:r>
          <w:rPr>
            <w:rFonts w:ascii="Times New Roman" w:cs="Times New Roman"/>
            <w:sz w:val="21"/>
            <w:szCs w:val="21"/>
            <w:lang w:val="zh-CN"/>
          </w:rPr>
          <w:t>2</w:t>
        </w:r>
        <w:r>
          <w:rPr>
            <w:rFonts w:ascii="Times New Roman" w:cs="Times New Roman"/>
            <w:sz w:val="21"/>
            <w:szCs w:val="21"/>
          </w:rPr>
          <w:fldChar w:fldCharType="end"/>
        </w:r>
      </w:p>
    </w:sdtContent>
  </w:sdt>
  <w:p w14:paraId="177FF776">
    <w:pPr>
      <w:pStyle w:val="3"/>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77B"/>
    <w:rsid w:val="0033077B"/>
    <w:rsid w:val="00487AB1"/>
    <w:rsid w:val="009C0F9E"/>
    <w:rsid w:val="0E45160C"/>
    <w:rsid w:val="10B24BC4"/>
    <w:rsid w:val="17A77A97"/>
    <w:rsid w:val="1B675926"/>
    <w:rsid w:val="241810F7"/>
    <w:rsid w:val="707D0B26"/>
    <w:rsid w:val="748869DB"/>
    <w:rsid w:val="7EEC47DF"/>
    <w:rsid w:val="FFBFE53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等线" w:hAnsi="Times New Roman" w:eastAsia="等线" w:cs="Arial"/>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toc 1"/>
    <w:basedOn w:val="1"/>
    <w:next w:val="1"/>
    <w:qFormat/>
    <w:uiPriority w:val="39"/>
    <w:pPr>
      <w:tabs>
        <w:tab w:val="left" w:pos="1050"/>
        <w:tab w:val="right" w:leader="dot" w:pos="9540"/>
      </w:tabs>
      <w:spacing w:before="120" w:beforeLines="0" w:after="120" w:afterLines="0" w:line="240" w:lineRule="atLeast"/>
      <w:jc w:val="left"/>
    </w:pPr>
    <w:rPr>
      <w:b/>
      <w:bCs/>
      <w:caps/>
      <w:sz w:val="28"/>
      <w:szCs w:val="30"/>
    </w:rPr>
  </w:style>
  <w:style w:type="paragraph" w:styleId="3">
    <w:name w:val="footer"/>
    <w:basedOn w:val="1"/>
    <w:link w:val="8"/>
    <w:qFormat/>
    <w:uiPriority w:val="99"/>
    <w:pPr>
      <w:tabs>
        <w:tab w:val="center" w:pos="4153"/>
        <w:tab w:val="right" w:pos="8306"/>
      </w:tabs>
      <w:snapToGrid w:val="0"/>
      <w:jc w:val="left"/>
    </w:pPr>
    <w:rPr>
      <w:sz w:val="18"/>
      <w:szCs w:val="18"/>
    </w:rPr>
  </w:style>
  <w:style w:type="paragraph" w:styleId="4">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character" w:customStyle="1" w:styleId="7">
    <w:name w:val="页眉 Char"/>
    <w:basedOn w:val="6"/>
    <w:link w:val="4"/>
    <w:qFormat/>
    <w:uiPriority w:val="0"/>
    <w:rPr>
      <w:rFonts w:ascii="等线" w:hAnsi="Times New Roman" w:eastAsia="等线" w:cs="Arial"/>
      <w:kern w:val="2"/>
      <w:sz w:val="18"/>
      <w:szCs w:val="18"/>
    </w:rPr>
  </w:style>
  <w:style w:type="character" w:customStyle="1" w:styleId="8">
    <w:name w:val="页脚 Char"/>
    <w:basedOn w:val="6"/>
    <w:link w:val="3"/>
    <w:qFormat/>
    <w:uiPriority w:val="99"/>
    <w:rPr>
      <w:rFonts w:ascii="等线" w:hAnsi="Times New Roman" w:eastAsia="等线" w:cs="Arial"/>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1347</Words>
  <Characters>1518</Characters>
  <Lines>14</Lines>
  <Paragraphs>3</Paragraphs>
  <TotalTime>1</TotalTime>
  <ScaleCrop>false</ScaleCrop>
  <LinksUpToDate>false</LinksUpToDate>
  <CharactersWithSpaces>1519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2025-04-29T09:56:00Z</dcterms:created>
  <dc:creator>admin</dc:creator>
  <cp:lastModifiedBy>GJDN</cp:lastModifiedBy>
  <cp:lastPrinted>2025-05-13T11:52:36Z</cp:lastPrinted>
  <dcterms:modified xsi:type="dcterms:W3CDTF">2025-05-13T11:52:54Z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eyJoZGlkIjoiMjU4MWY3MjZjNGRlY2IyOWNlODE5N2M5MTc4MDI4NjMifQ==</vt:lpwstr>
  </property>
  <property fmtid="{D5CDD505-2E9C-101B-9397-08002B2CF9AE}" pid="4" name="ICV">
    <vt:lpwstr>4EE3AFFB8FE1491F961B92E1E17A5995_13</vt:lpwstr>
  </property>
</Properties>
</file>