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77271">
      <w:pPr>
        <w:pStyle w:val="3"/>
        <w:spacing w:line="600" w:lineRule="exact"/>
        <w:ind w:firstLine="0" w:firstLineChars="0"/>
        <w:jc w:val="left"/>
        <w:rPr>
          <w:rFonts w:hint="eastAsia" w:eastAsia="黑体"/>
          <w:spacing w:val="9"/>
          <w:szCs w:val="32"/>
        </w:rPr>
      </w:pPr>
      <w:r>
        <w:rPr>
          <w:rFonts w:hint="eastAsia" w:eastAsia="黑体"/>
          <w:spacing w:val="9"/>
          <w:szCs w:val="32"/>
        </w:rPr>
        <w:t>附件</w:t>
      </w:r>
    </w:p>
    <w:p w14:paraId="15792260">
      <w:pPr>
        <w:pStyle w:val="2"/>
        <w:rPr>
          <w:rFonts w:hint="eastAsia"/>
        </w:rPr>
      </w:pPr>
    </w:p>
    <w:p w14:paraId="251C848A">
      <w:pPr>
        <w:pStyle w:val="2"/>
      </w:pPr>
    </w:p>
    <w:p w14:paraId="38E8CCC7">
      <w:pPr>
        <w:overflowPunct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马海片区城市有机更新专项政策意见</w:t>
      </w:r>
    </w:p>
    <w:p w14:paraId="28ABE8FE">
      <w:pPr>
        <w:overflowPunct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（试行）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修订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p w14:paraId="1E8E3704">
      <w:pPr>
        <w:pStyle w:val="2"/>
        <w:overflowPunct w:val="0"/>
        <w:adjustRightInd w:val="0"/>
        <w:snapToGrid w:val="0"/>
        <w:spacing w:line="580" w:lineRule="exact"/>
        <w:jc w:val="center"/>
        <w:rPr>
          <w:rFonts w:hint="eastAsia" w:ascii="楷体" w:hAnsi="楷体" w:eastAsia="楷体" w:cs="楷体"/>
          <w:sz w:val="32"/>
          <w:szCs w:val="32"/>
          <w:woUserID w:val="1"/>
        </w:rPr>
      </w:pPr>
      <w:r>
        <w:rPr>
          <w:rFonts w:hint="eastAsia" w:ascii="楷体" w:hAnsi="楷体" w:eastAsia="楷体" w:cs="楷体"/>
          <w:sz w:val="32"/>
          <w:szCs w:val="32"/>
          <w:woUserID w:val="1"/>
        </w:rPr>
        <w:t>（征求意见稿）</w:t>
      </w:r>
    </w:p>
    <w:bookmarkEnd w:id="0"/>
    <w:p w14:paraId="1A71D65A">
      <w:pPr>
        <w:pStyle w:val="7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72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为加快推进袍江马海片区城市有机更新，高标准建设以“泛半导体+”为产业导向的“绍芯谷”，全力打造“腾笼换鸟、凤凰涅槃”的全国典范和“产城融合、宜居宜业”的标杆样板，结合实际，特制定如下政策意见。</w:t>
      </w:r>
    </w:p>
    <w:p w14:paraId="60D668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一、鼓励自主转型</w:t>
      </w:r>
    </w:p>
    <w:p w14:paraId="0162F97D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强化产业引导。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引导不符合片区产业导向的企业转型发展，对企业年度综合效益评价不予降级且豁免D类排序，最多不超过3年。对合法审批设备转移，印染化工电镀企业按既定政策执行，其他企业按可恢复和不可恢复设备评估额分别给予20%和50%补助。对企业合法持有排污、能耗等要素指标按1：1标准平移，排污指标可由政府按规定收储。</w:t>
      </w:r>
    </w:p>
    <w:p w14:paraId="0E8834DF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</w:rPr>
        <w:t>支持企业更新改造。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鼓励马海片区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企业高标准自主更新改造。自片区城市设计和控制性详规确定之日起，马海片区企业按要求微更新改造的，经认定，6个月、12个月、18个月内的实际投资额，分别给予30%、20%、10%的奖励，单个企业累计奖励上限为2000万元；拆除重建的，经认定，12个月、18个月、24个月内的实际投资额，分别给予30%、20%、10%的奖励，单个企业累计奖励上限为5000万元。奖励资金在更新改造完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后</w:t>
      </w:r>
      <w:r>
        <w:rPr>
          <w:rFonts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予以兑付。</w:t>
      </w:r>
    </w:p>
    <w:p w14:paraId="28CE47B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3" w:firstLineChars="200"/>
        <w:textAlignment w:val="auto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（三）允许提高土地容积率。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在规划允许范围内，支持工业企业通过改扩建提高土地容积率，上限放宽至4.0，且不增收土地价款。在办理改扩建手续时，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可享受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《关于加快推进滨海新区工业项目建设进度扶持政策的实施意见》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（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绍滨委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办发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〔202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4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28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号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）政策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。增容项目竣工验收日起5年内如遇政府拆迁征收或收购，以原权证建筑面积为基础，新增建筑面积按重置价补偿。</w:t>
      </w:r>
    </w:p>
    <w:p w14:paraId="752487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二、开展因需征收(收购)</w:t>
      </w:r>
    </w:p>
    <w:p w14:paraId="2466EAE3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（四）推动政府征收。</w:t>
      </w:r>
      <w:r>
        <w:rPr>
          <w:rFonts w:ascii="Times New Roman" w:hAnsi="Times New Roman" w:eastAsia="仿宋_GB2312"/>
          <w:color w:val="000000"/>
          <w:sz w:val="32"/>
          <w:szCs w:val="32"/>
        </w:rPr>
        <w:t>因规划需要，对实施基础设施及公建项目涉及的企业房屋，可进行征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收。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补偿政策按《绍兴市越城区国有土地上房屋征收与补偿实施细则》(越政发（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11号)，按越城区国有土地上房屋征收相关补偿费标准最新文件精神执行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5B06A323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3" w:firstLineChars="200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（五）开展市场收购。</w:t>
      </w:r>
      <w:r>
        <w:rPr>
          <w:rFonts w:hint="eastAsia" w:eastAsia="仿宋_GB2312"/>
          <w:color w:val="000000"/>
          <w:sz w:val="32"/>
          <w:szCs w:val="32"/>
        </w:rPr>
        <w:t>对因政府其他需要的企业地块，以及特别重大产业项目落户等有特殊发展需求的地块，经批准，可由国有企业通过市场化方式对企业原厂区进行收购。</w:t>
      </w:r>
    </w:p>
    <w:p w14:paraId="6C9F4012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三、支持合作开发</w:t>
      </w:r>
    </w:p>
    <w:p w14:paraId="38C55BE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3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（六）推动基金运作。</w:t>
      </w:r>
      <w:r>
        <w:rPr>
          <w:rFonts w:eastAsia="仿宋_GB2312"/>
          <w:color w:val="000000"/>
          <w:sz w:val="32"/>
          <w:szCs w:val="32"/>
        </w:rPr>
        <w:t>组建城市更新基金、产业基金以及人才创业基金，通过与有实力的央企、国企、金融机构、投资公司等社会资本合作，助力马海片区建设投入、招商引资、人才培育及产业社区运营。</w:t>
      </w:r>
    </w:p>
    <w:p w14:paraId="24D2CACF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（七）支持连片开发。</w:t>
      </w:r>
      <w:r>
        <w:rPr>
          <w:rFonts w:ascii="Times New Roman" w:hAnsi="Times New Roman" w:eastAsia="仿宋_GB2312"/>
          <w:color w:val="000000"/>
          <w:sz w:val="32"/>
          <w:szCs w:val="32"/>
        </w:rPr>
        <w:t>支持国有企业以租赁等方式取得10~20年企业厂房使用权，实行连片规划改造。鼓励企业与国有企业、企业间合作片区开发，支持企业将不动产、不动产使用权、设备等作价入股或者以收购补偿款投入到片区开发，分享市场化收益。具体内容在合作协议中明确。</w:t>
      </w:r>
    </w:p>
    <w:p w14:paraId="11FF873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四</w:t>
      </w:r>
      <w:r>
        <w:rPr>
          <w:rFonts w:eastAsia="黑体"/>
          <w:color w:val="000000"/>
          <w:sz w:val="32"/>
          <w:szCs w:val="32"/>
        </w:rPr>
        <w:t>、强化落地保障</w:t>
      </w:r>
    </w:p>
    <w:p w14:paraId="7438E9A4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（八）加大投资补助。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对</w:t>
      </w:r>
      <w:r>
        <w:rPr>
          <w:rFonts w:ascii="Times New Roman" w:hAnsi="Times New Roman" w:eastAsia="仿宋_GB2312"/>
          <w:color w:val="000000"/>
          <w:sz w:val="32"/>
          <w:szCs w:val="32"/>
        </w:rPr>
        <w:t>符合产业导向的生产类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企业，当年</w:t>
      </w:r>
      <w:r>
        <w:rPr>
          <w:rFonts w:ascii="Times New Roman" w:hAnsi="Times New Roman" w:eastAsia="仿宋_GB2312"/>
          <w:color w:val="000000"/>
          <w:sz w:val="32"/>
          <w:szCs w:val="32"/>
        </w:rPr>
        <w:t>实际设备投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资</w:t>
      </w:r>
      <w:r>
        <w:rPr>
          <w:rFonts w:ascii="Times New Roman" w:hAnsi="Times New Roman" w:eastAsia="仿宋_GB2312"/>
          <w:color w:val="000000"/>
          <w:sz w:val="32"/>
          <w:szCs w:val="32"/>
        </w:rPr>
        <w:t>额在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00万元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以上，且项目关键核心装备数控化率达到70%以上的，</w:t>
      </w:r>
      <w:r>
        <w:rPr>
          <w:rFonts w:ascii="Times New Roman" w:hAnsi="Times New Roman" w:eastAsia="仿宋_GB2312"/>
          <w:color w:val="000000"/>
          <w:sz w:val="32"/>
          <w:szCs w:val="32"/>
        </w:rPr>
        <w:t>在市、区普惠政策基础上，再给予实际设备投入额5%的奖励，单个项目奖励上限为1500万元；科技孵化、研发、设计等科技类企业当年实际设备投入额在100万元以上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且研发费用占销售比重达到5%以上的，</w:t>
      </w:r>
      <w:r>
        <w:rPr>
          <w:rFonts w:ascii="Times New Roman" w:hAnsi="Times New Roman" w:eastAsia="仿宋_GB2312"/>
          <w:color w:val="000000"/>
          <w:sz w:val="32"/>
          <w:szCs w:val="32"/>
        </w:rPr>
        <w:t>给予设备投入额20%的奖励，单个项目奖励上限为1000万元。</w:t>
      </w:r>
    </w:p>
    <w:p w14:paraId="7ACCFBDA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（九）提高租赁补贴。</w:t>
      </w:r>
      <w:r>
        <w:rPr>
          <w:rFonts w:ascii="仿宋_GB2312" w:hAnsi="仿宋_GB2312" w:eastAsia="仿宋_GB2312" w:cs="仿宋_GB2312"/>
          <w:color w:val="000000"/>
          <w:sz w:val="31"/>
          <w:szCs w:val="31"/>
        </w:rPr>
        <w:t>对符合产业导向的新租赁厂房项目， 按照实付租金（不</w:t>
      </w:r>
      <w:r>
        <w:rPr>
          <w:rFonts w:ascii="仿宋_GB2312" w:hAnsi="仿宋_GB2312" w:eastAsia="仿宋_GB2312" w:cs="仿宋_GB2312"/>
          <w:color w:val="000000"/>
          <w:sz w:val="31"/>
          <w:szCs w:val="31"/>
          <w:highlight w:val="none"/>
        </w:rPr>
        <w:t>高于市场评估价）给予补贴。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第一年实际使用（完成装修、设备安装）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</w:rPr>
        <w:t>，给予全额补贴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；第二年正式投产，亩均主营业务收入400万元以上，达到小升规条件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</w:rPr>
        <w:t>，给予全额补贴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；第三年，亩均主营业务收入500万元以上，完成升规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</w:rPr>
        <w:t>，给予全额补贴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；第4年、第5年亩均主营业务收入500万元以上，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</w:rPr>
        <w:t>给予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50%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</w:rPr>
        <w:t>补贴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；亩均主营业务收入600万元以上或企业获得省级以上荣誉（包括但不限于新获得省级及以上高新技术、专精特新、隐形冠军企业，省级及以上研究院（技术中心、研发中心），首台套产品等），</w:t>
      </w:r>
      <w:r>
        <w:rPr>
          <w:rFonts w:hint="default" w:ascii="Times New Roman" w:hAnsi="Times New Roman" w:eastAsia="仿宋_GB2312"/>
          <w:color w:val="000000"/>
          <w:kern w:val="0"/>
          <w:sz w:val="32"/>
          <w:szCs w:val="32"/>
          <w:highlight w:val="none"/>
        </w:rPr>
        <w:t>给予全额补贴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</w:rPr>
        <w:t>。对于高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层次人才创业项目，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</w:rPr>
        <w:t>给予前三年全额补贴。</w:t>
      </w:r>
    </w:p>
    <w:p w14:paraId="4732ECC0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0"/>
        <w:textAlignment w:val="auto"/>
        <w:rPr>
          <w:rFonts w:hint="eastAsia" w:eastAsia="楷体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（十）鼓励园区升级。</w:t>
      </w:r>
      <w:r>
        <w:rPr>
          <w:rFonts w:ascii="Times New Roman" w:hAnsi="Times New Roman" w:eastAsia="仿宋_GB2312"/>
          <w:color w:val="000000"/>
          <w:sz w:val="32"/>
          <w:szCs w:val="32"/>
        </w:rPr>
        <w:t>当年新认定省级四星级及以上园区、国家级小微企业创业创新示范基地、省级及以上未来产业园试点等的园区（社区），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园区引进项目均符合产业导向的，在市、区普惠政策基础上，给予加倍奖励</w:t>
      </w:r>
      <w:r>
        <w:rPr>
          <w:rFonts w:ascii="Times New Roman" w:hAnsi="Times New Roman" w:eastAsia="仿宋_GB2312"/>
          <w:color w:val="000000"/>
          <w:sz w:val="32"/>
          <w:szCs w:val="32"/>
        </w:rPr>
        <w:t>。鼓励引进优质园区运营机构，对运营绩效按考核结果给予相应奖励。</w:t>
      </w:r>
    </w:p>
    <w:p w14:paraId="4B10B3C1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0"/>
        <w:textAlignment w:val="auto"/>
        <w:rPr>
          <w:rFonts w:eastAsia="黑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（十一）创新用地方式。</w:t>
      </w:r>
      <w:r>
        <w:rPr>
          <w:rFonts w:ascii="Times New Roman" w:hAnsi="Times New Roman" w:eastAsia="仿宋_GB2312"/>
          <w:color w:val="000000"/>
          <w:sz w:val="32"/>
          <w:szCs w:val="32"/>
        </w:rPr>
        <w:t>推行先租后让、租让结合的工业用地供地方式。支持符合条件的工业用地转型为新型产业用地、混合产业用地，在允许范围内可增加其他产业用途和生活配套设施功能。对符合规划要求的工业用地，经批准，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可按幢为单元办理不动产登记。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cr/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</w:t>
      </w:r>
      <w:r>
        <w:rPr>
          <w:rFonts w:hint="eastAsia" w:eastAsia="黑体"/>
          <w:color w:val="000000"/>
          <w:sz w:val="32"/>
          <w:szCs w:val="32"/>
        </w:rPr>
        <w:t>五</w:t>
      </w:r>
      <w:r>
        <w:rPr>
          <w:rFonts w:eastAsia="黑体"/>
          <w:color w:val="000000"/>
          <w:sz w:val="32"/>
          <w:szCs w:val="32"/>
        </w:rPr>
        <w:t>、淘汰落后产能</w:t>
      </w:r>
    </w:p>
    <w:p w14:paraId="361525AB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0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（十二）严格执法整治。</w:t>
      </w:r>
      <w:r>
        <w:rPr>
          <w:rFonts w:hint="eastAsia" w:ascii="Times New Roman" w:hAnsi="Times New Roman" w:eastAsia="仿宋_GB2312"/>
          <w:sz w:val="32"/>
          <w:szCs w:val="32"/>
        </w:rPr>
        <w:t>充分发挥生产许可约束、标准技术支撑和执法检查作用，依法依规推动低散乱企业整治提升。扎实开展环保、能耗、税务、安全、消防、违法用地、违章建筑等专</w:t>
      </w:r>
      <w:r>
        <w:rPr>
          <w:rFonts w:hint="eastAsia" w:ascii="Times New Roman" w:hAnsi="Times New Roman" w:eastAsia="仿宋_GB2312"/>
          <w:spacing w:val="-6"/>
          <w:sz w:val="32"/>
          <w:szCs w:val="32"/>
        </w:rPr>
        <w:t>项执法检查，严格查处各类违法违规行为，形成执法高压威慑态势。</w:t>
      </w:r>
    </w:p>
    <w:p w14:paraId="470587E5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2"/>
          <w:sz w:val="32"/>
          <w:szCs w:val="32"/>
          <w:lang w:val="en-US" w:eastAsia="zh-CN" w:bidi="ar-SA"/>
        </w:rPr>
        <w:t>（十三）建立淘汰机制。</w:t>
      </w:r>
      <w:r>
        <w:rPr>
          <w:rFonts w:hint="eastAsia" w:ascii="Times New Roman" w:hAnsi="Times New Roman" w:eastAsia="仿宋_GB2312"/>
          <w:sz w:val="32"/>
          <w:szCs w:val="32"/>
        </w:rPr>
        <w:t>强化标准管控，建立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企业淘汰退出评估机制，综合运用亩均效益、</w:t>
      </w:r>
      <w:r>
        <w:rPr>
          <w:rFonts w:hint="eastAsia" w:ascii="Times New Roman" w:hAnsi="Times New Roman" w:eastAsia="仿宋_GB2312"/>
          <w:sz w:val="32"/>
          <w:szCs w:val="32"/>
        </w:rPr>
        <w:t>技术水平、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安全生产、节能减排、负面清单、综合管理、落后产能等指标实行评估验收，</w:t>
      </w:r>
      <w:r>
        <w:rPr>
          <w:rFonts w:ascii="Times New Roman" w:hAnsi="Times New Roman" w:eastAsia="仿宋_GB2312"/>
          <w:sz w:val="32"/>
          <w:szCs w:val="32"/>
        </w:rPr>
        <w:t>对不符合</w:t>
      </w:r>
      <w:r>
        <w:rPr>
          <w:rFonts w:hint="eastAsia" w:ascii="Times New Roman" w:hAnsi="Times New Roman" w:eastAsia="仿宋_GB2312"/>
          <w:sz w:val="32"/>
          <w:szCs w:val="32"/>
        </w:rPr>
        <w:t>产业发展导向的落后或低效产能，根据落户协议、监管协议等约定及时追究违约责任；对涉及行政违法行为的，相关主管部门应严格执法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58C16CF3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六、附则</w:t>
      </w:r>
    </w:p>
    <w:p w14:paraId="21647C28"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（一）本政策实施对象为马海片区（北至曹娥江，南至杭甬高速，西至新闸江，东至越兴路）规划11平方公里范围内注册登记的所有企业。</w:t>
      </w:r>
    </w:p>
    <w:p w14:paraId="47C4B0D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（二）对因逃税骗税、恶意欠薪、故意侵犯知识产权或在生态环境、安全生产、消防安全等领域存在违法行为被有关部门查处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和/或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  <w:highlight w:val="none"/>
        </w:rPr>
        <w:t>列入严重失信名单以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及不符合片区产业导向生产经营的企业，不予享受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本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政策。</w:t>
      </w:r>
    </w:p>
    <w:p w14:paraId="2C941D4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（三）同一企业同一事项符合两项或两项以上扶持条款（含市、区两级政策），按就高不重复原则执行；本政策施行过程中如遇上级法律法规和重大政策变化，涉及条款按上级要求执行。</w:t>
      </w:r>
    </w:p>
    <w:p w14:paraId="181184E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仿宋_GB2312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（四）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  <w:highlight w:val="none"/>
        </w:rPr>
        <w:t>对重大事项或重点招商引资项目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  <w:highlight w:val="none"/>
        </w:rPr>
        <w:t>实行专题研究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  <w:highlight w:val="none"/>
        </w:rPr>
        <w:t>。</w:t>
      </w:r>
    </w:p>
    <w:p w14:paraId="513C829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2" w:lineRule="exact"/>
        <w:ind w:firstLine="420" w:firstLineChars="200"/>
        <w:textAlignment w:val="auto"/>
        <w:rPr>
          <w:rFonts w:hint="eastAsia" w:ascii="仿宋_GB2312" w:hAnsi="Times New Roman" w:eastAsia="仿宋_GB2312" w:cs="Times New Roman"/>
          <w:color w:val="474747"/>
          <w:spacing w:val="-8"/>
          <w:kern w:val="2"/>
          <w:sz w:val="32"/>
          <w:szCs w:val="32"/>
        </w:rPr>
      </w:pPr>
      <w:r>
        <w:rPr>
          <w:rStyle w:val="12"/>
          <w:rFonts w:hint="eastAsia" w:ascii="Times New Roman" w:hAnsi="Times New Roman" w:eastAsia="宋体"/>
          <w:kern w:val="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（五）本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政策意见自发布之日起实施，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原</w:t>
      </w:r>
      <w:r>
        <w:rPr>
          <w:rFonts w:ascii="Times New Roman" w:hAnsi="Times New Roman" w:eastAsia="仿宋_GB2312"/>
          <w:color w:val="000000"/>
          <w:sz w:val="32"/>
          <w:szCs w:val="32"/>
        </w:rPr>
        <w:t>绍滨委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办发</w:t>
      </w:r>
      <w:r>
        <w:rPr>
          <w:rFonts w:ascii="Times New Roman" w:hAnsi="Times New Roman" w:eastAsia="仿宋_GB2312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16</w:t>
      </w:r>
      <w:r>
        <w:rPr>
          <w:rFonts w:ascii="Times New Roman" w:hAnsi="Times New Roman" w:eastAsia="仿宋_GB2312"/>
          <w:color w:val="000000"/>
          <w:sz w:val="32"/>
          <w:szCs w:val="32"/>
        </w:rPr>
        <w:t>号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与该政策不一致的以该政策为准，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具体由袍江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有机更新专班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</w:rPr>
        <w:t>负责解释，相关实施细则另行制</w:t>
      </w:r>
      <w:r>
        <w:rPr>
          <w:rFonts w:hint="eastAsia" w:ascii="Times New Roman" w:hAnsi="Times New Roman" w:eastAsia="仿宋_GB2312"/>
          <w:color w:val="000000"/>
          <w:kern w:val="2"/>
          <w:sz w:val="32"/>
          <w:szCs w:val="32"/>
        </w:rPr>
        <w:t>订。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E82F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D5FBAA">
                          <w:pPr>
                            <w:pStyle w:val="6"/>
                            <w:rPr>
                              <w:rFonts w:hint="eastAsia" w:ascii="宋体" w:hAnsi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</w:rPr>
                            <w:t xml:space="preserve">─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10"/>
                              <w:rFonts w:hint="eastAsia" w:ascii="宋体" w:hAnsi="宋体" w:cs="宋体"/>
                              <w:sz w:val="28"/>
                            </w:rPr>
                            <w:t>─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D5FBAA">
                    <w:pPr>
                      <w:pStyle w:val="6"/>
                      <w:rPr>
                        <w:rFonts w:hint="eastAsia" w:ascii="宋体" w:hAnsi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 w:cs="宋体"/>
                        <w:sz w:val="28"/>
                      </w:rPr>
                      <w:t xml:space="preserve">─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10"/>
                        <w:rFonts w:hint="eastAsia" w:ascii="宋体" w:hAnsi="宋体" w:cs="宋体"/>
                        <w:sz w:val="28"/>
                      </w:rPr>
                      <w:t>─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MDk0NTZhNDNhMzE2YmIzMDJlYThkM2MyYjg3NmEifQ=="/>
  </w:docVars>
  <w:rsids>
    <w:rsidRoot w:val="0A852F38"/>
    <w:rsid w:val="03C4237C"/>
    <w:rsid w:val="09963123"/>
    <w:rsid w:val="0A852F38"/>
    <w:rsid w:val="22B218F6"/>
    <w:rsid w:val="25936472"/>
    <w:rsid w:val="28A57E05"/>
    <w:rsid w:val="36C76E4F"/>
    <w:rsid w:val="3BAF334A"/>
    <w:rsid w:val="4C76404F"/>
    <w:rsid w:val="51805A47"/>
    <w:rsid w:val="551E5284"/>
    <w:rsid w:val="67C747DA"/>
    <w:rsid w:val="685512F1"/>
    <w:rsid w:val="72AF55B7"/>
    <w:rsid w:val="7600574C"/>
    <w:rsid w:val="799F63A6"/>
    <w:rsid w:val="7BFD533F"/>
    <w:rsid w:val="EEFF4D40"/>
    <w:rsid w:val="EFFE9A95"/>
    <w:rsid w:val="FF9FE921"/>
    <w:rsid w:val="FFFEF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黑体" w:hAnsi="黑体" w:eastAsia="黑体"/>
      <w:kern w:val="0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_Style 2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2688</Words>
  <Characters>2801</Characters>
  <Lines>0</Lines>
  <Paragraphs>0</Paragraphs>
  <TotalTime>0</TotalTime>
  <ScaleCrop>false</ScaleCrop>
  <LinksUpToDate>false</LinksUpToDate>
  <CharactersWithSpaces>2813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2025-03-24T15:36:00Z</dcterms:created>
  <dc:creator>王剑琴</dc:creator>
  <cp:lastModifiedBy>何晓笑</cp:lastModifiedBy>
  <dcterms:modified xsi:type="dcterms:W3CDTF">2025-03-26T08:53:39Z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6FC7DC3820944E69BB1190564AB62172_11</vt:lpwstr>
  </property>
  <property fmtid="{D5CDD505-2E9C-101B-9397-08002B2CF9AE}" pid="4" name="KSOTemplateDocerSaveRecord">
    <vt:lpwstr>eyJoZGlkIjoiNWFhODI3OGVhMDMxZmUwYjdiZGI0ZjdjYWEzOTAzOTgiLCJ1c2VySWQiOiIxNjI2MTc1OTk5In0=</vt:lpwstr>
  </property>
</Properties>
</file>