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adjustRightInd w:val="0"/>
        <w:snapToGrid w:val="0"/>
        <w:spacing w:after="0" w:line="58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napToGrid w:val="0"/>
          <w:w w:val="98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w w:val="98"/>
          <w:kern w:val="0"/>
          <w:sz w:val="44"/>
          <w:szCs w:val="44"/>
        </w:rPr>
        <w:t>《</w:t>
      </w:r>
      <w:r>
        <w:rPr>
          <w:rFonts w:hint="eastAsia" w:eastAsia="方正小标宋简体" w:cs="方正小标宋简体"/>
          <w:w w:val="98"/>
          <w:kern w:val="0"/>
          <w:sz w:val="44"/>
          <w:szCs w:val="44"/>
          <w:lang w:val="en-US" w:eastAsia="zh-CN"/>
        </w:rPr>
        <w:t>诸暨</w:t>
      </w:r>
      <w:r>
        <w:rPr>
          <w:rFonts w:hint="eastAsia" w:eastAsia="方正小标宋简体" w:cs="方正小标宋简体"/>
          <w:w w:val="98"/>
          <w:kern w:val="0"/>
          <w:sz w:val="44"/>
          <w:szCs w:val="44"/>
        </w:rPr>
        <w:t>市完善高质量充电基础设施网络体系实施方案（2023—2025年）》</w:t>
      </w:r>
      <w:r>
        <w:rPr>
          <w:rFonts w:hint="eastAsia" w:ascii="Times New Roman" w:hAnsi="Times New Roman" w:eastAsia="方正小标宋简体" w:cs="方正小标宋简体"/>
          <w:snapToGrid w:val="0"/>
          <w:w w:val="98"/>
          <w:kern w:val="0"/>
          <w:sz w:val="44"/>
          <w:szCs w:val="44"/>
        </w:rPr>
        <w:t>起草</w:t>
      </w:r>
      <w:r>
        <w:rPr>
          <w:rFonts w:hint="eastAsia" w:eastAsia="方正小标宋简体" w:cs="方正小标宋简体"/>
          <w:snapToGrid w:val="0"/>
          <w:w w:val="98"/>
          <w:kern w:val="0"/>
          <w:sz w:val="44"/>
          <w:szCs w:val="44"/>
          <w:lang w:val="en-US" w:eastAsia="zh-CN"/>
        </w:rPr>
        <w:t>说明</w:t>
      </w:r>
    </w:p>
    <w:p>
      <w:pPr>
        <w:pStyle w:val="4"/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一、起草背景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随着国家将电动汽车充电桩建设列入“新基建”工程名单，电动汽车充电桩建设迎来进一步的发展机遇。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加快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构建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布局科学、智能开放、快慢互补、经济便捷的城乡充电基础设施网络体系，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提升充电服务保障水平，更好满足人民群众购置使用新能源汽车需要，推动新能源汽车下乡，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实际，我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起草了《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诸暨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市完善高质量充电基础设施网络体系实施方案（2023—2025年）》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以下简称《实施方案》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主要内容</w:t>
      </w:r>
    </w:p>
    <w:p>
      <w:pPr>
        <w:overflowPunct w:val="0"/>
        <w:adjustRightInd w:val="0"/>
        <w:snapToGrid w:val="0"/>
        <w:spacing w:line="600" w:lineRule="atLeas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方案》分总体要求、重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任务、保障措施、实施期限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个部分。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一是总体要求，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到2025年，构建布局科学、安全稳定、智能开放、快慢互补、经济便捷的城乡充电基础设施网络体系。优化全域充电服务网络，到2025年，形成城市5分钟、城乡半小时充电圈；构建开放共享充电生态，到2025年，布局建设公共充电桩1600个以上，力争达到1800个以上，其中乡村地区不少于550个（含旅游景区不少于80个）；争创试点应用市域标杆，争创2个样板乡镇、4个样板项目。</w:t>
      </w:r>
    </w:p>
    <w:p>
      <w:pPr>
        <w:pStyle w:val="3"/>
        <w:snapToGrid w:val="0"/>
        <w:spacing w:line="600" w:lineRule="atLeast"/>
        <w:ind w:firstLine="643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二是重点任务，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优化充电设施建设布局、提升运维管理水平、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</w:rPr>
        <w:t>配套政策支持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方面1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项任务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其中关键两项为：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12" w:firstLine="609" w:firstLineChars="198"/>
        <w:textAlignment w:val="auto"/>
        <w:outlineLvl w:val="1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补齐乡镇充电基础设施建设短板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因地制宜在村（社区）居住区建设集中充电场站，加快在大型村镇、旅游重点村镇、集中安置区、乡镇机关等重点区域规划建设，实现充电基础设施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乡镇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通”全覆盖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。到2025年，乡村地区建成不少于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550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个公共充电桩。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12" w:firstLine="609" w:firstLineChars="198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优化城区充电基础设施建设布局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"/>
        </w:rPr>
        <w:t>推进城市居住区充电基础设施与停车设施一体规划、建设和管理。新建居住区确保固定车位按规定100%建设充电基础设施或预留安装条件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"/>
        </w:rPr>
        <w:t>既有居住区加快推进个人固定车位充电基础设施愿装尽装，纳入改造范围且有条件的老旧小区充电基础设施应装尽装。到2025年，累计完成20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"/>
        </w:rPr>
        <w:t>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"/>
        </w:rPr>
        <w:t>以上老旧小区改造。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" w:eastAsia="zh-CN" w:bidi="ar"/>
        </w:rPr>
        <w:t>实施“智慧停车+充电一体化”路边充电桩项目，到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2025年，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" w:eastAsia="zh-CN" w:bidi="ar"/>
        </w:rPr>
        <w:t>至少打造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" w:eastAsia="zh-CN" w:bidi="ar"/>
        </w:rPr>
        <w:t>个示范项目。</w:t>
      </w:r>
    </w:p>
    <w:p>
      <w:pPr>
        <w:snapToGrid w:val="0"/>
        <w:spacing w:line="600" w:lineRule="atLeas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-SA"/>
        </w:rPr>
        <w:t>三是保障措施，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包括加强组织领导、加强监督管理、加强宣传引导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-SA"/>
        </w:rPr>
        <w:t>四是实施期限，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方案实施的起止时限。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3E2"/>
    <w:rsid w:val="135703C8"/>
    <w:rsid w:val="69A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next w:val="5"/>
    <w:qFormat/>
    <w:uiPriority w:val="0"/>
    <w:pPr>
      <w:keepNext w:val="0"/>
      <w:keepLines w:val="0"/>
      <w:widowControl w:val="0"/>
      <w:suppressLineNumbers w:val="0"/>
      <w:spacing w:after="120" w:afterLines="0" w:afterAutospacing="0" w:line="579" w:lineRule="exact"/>
      <w:ind w:firstLine="872" w:firstLineChars="200"/>
      <w:jc w:val="both"/>
    </w:pPr>
    <w:rPr>
      <w:rFonts w:hint="default" w:ascii="Times New Roman" w:hAnsi="Times New Roman" w:eastAsia="仿宋_GB2312" w:cs="Calibri"/>
      <w:spacing w:val="0"/>
      <w:kern w:val="2"/>
      <w:sz w:val="32"/>
      <w:szCs w:val="32"/>
      <w:lang w:val="en-US" w:eastAsia="zh-CN" w:bidi="ar"/>
    </w:rPr>
  </w:style>
  <w:style w:type="paragraph" w:styleId="5">
    <w:name w:val="Body Text First Indent"/>
    <w:basedOn w:val="4"/>
    <w:next w:val="4"/>
    <w:qFormat/>
    <w:uiPriority w:val="0"/>
    <w:pPr>
      <w:keepNext w:val="0"/>
      <w:keepLines w:val="0"/>
      <w:widowControl w:val="0"/>
      <w:suppressLineNumbers w:val="0"/>
      <w:spacing w:after="120" w:afterLines="0" w:afterAutospacing="0" w:line="579" w:lineRule="exact"/>
      <w:ind w:firstLine="420" w:firstLineChars="100"/>
      <w:jc w:val="both"/>
    </w:pPr>
    <w:rPr>
      <w:rFonts w:hint="default" w:ascii="Times New Roman" w:hAnsi="Times New Roman" w:eastAsia="仿宋_GB2312" w:cs="Calibri"/>
      <w:spacing w:val="0"/>
      <w:kern w:val="2"/>
      <w:sz w:val="32"/>
      <w:szCs w:val="32"/>
      <w:lang w:val="en-US" w:eastAsia="zh-CN" w:bidi="ar"/>
    </w:rPr>
  </w:style>
  <w:style w:type="paragraph" w:styleId="6">
    <w:name w:val="Body Text Indent"/>
    <w:basedOn w:val="1"/>
    <w:next w:val="3"/>
    <w:qFormat/>
    <w:uiPriority w:val="0"/>
    <w:pPr>
      <w:ind w:firstLine="560" w:firstLineChars="200"/>
    </w:pPr>
    <w:rPr>
      <w:sz w:val="28"/>
      <w:szCs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6"/>
    <w:next w:val="6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2023-10-17T09:06:00Z</dcterms:created>
  <dc:creator>Administrator</dc:creator>
  <cp:lastModifiedBy>Administrator</cp:lastModifiedBy>
  <dcterms:modified xsi:type="dcterms:W3CDTF">2024-07-25T09:56:43Z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C6EE101CFF164496AA4DD855953E823A</vt:lpwstr>
  </property>
</Properties>
</file>