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spacing w:after="0" w:line="600" w:lineRule="exact"/>
        <w:jc w:val="center"/>
        <w:textAlignment w:val="auto"/>
        <w:rPr>
          <w:rFonts w:hint="eastAsia" w:ascii="Times New Roman" w:hAnsi="Times New Roman" w:eastAsia="方正小标宋简体" w:cs="Times New Roman"/>
          <w:b w:val="0"/>
          <w:bCs/>
          <w:sz w:val="44"/>
          <w:szCs w:val="44"/>
          <w:lang w:eastAsia="zh-CN"/>
        </w:rPr>
      </w:pPr>
      <w:r>
        <w:rPr>
          <w:rFonts w:hint="eastAsia" w:ascii="Times New Roman" w:hAnsi="Times New Roman" w:eastAsia="方正小标宋简体" w:cs="Times New Roman"/>
          <w:b w:val="0"/>
          <w:bCs/>
          <w:sz w:val="44"/>
          <w:szCs w:val="44"/>
          <w:lang w:val="en-US" w:eastAsia="zh-CN"/>
        </w:rPr>
        <w:t xml:space="preserve">  </w:t>
      </w:r>
      <w:r>
        <w:rPr>
          <w:rFonts w:hint="eastAsia" w:ascii="Times New Roman" w:hAnsi="Times New Roman" w:eastAsia="方正小标宋简体" w:cs="Times New Roman"/>
          <w:b w:val="0"/>
          <w:bCs/>
          <w:sz w:val="44"/>
          <w:szCs w:val="44"/>
          <w:lang w:eastAsia="zh-CN"/>
        </w:rPr>
        <w:t>绍兴市</w:t>
      </w:r>
      <w:r>
        <w:rPr>
          <w:rFonts w:hint="default" w:ascii="Times New Roman" w:hAnsi="Times New Roman" w:eastAsia="方正小标宋简体" w:cs="Times New Roman"/>
          <w:b w:val="0"/>
          <w:bCs/>
          <w:sz w:val="44"/>
          <w:szCs w:val="44"/>
        </w:rPr>
        <w:t>财政</w:t>
      </w:r>
      <w:r>
        <w:rPr>
          <w:rFonts w:hint="eastAsia" w:ascii="Times New Roman" w:hAnsi="Times New Roman" w:eastAsia="方正小标宋简体" w:cs="Times New Roman"/>
          <w:b w:val="0"/>
          <w:bCs/>
          <w:sz w:val="44"/>
          <w:szCs w:val="44"/>
          <w:lang w:eastAsia="zh-CN"/>
        </w:rPr>
        <w:t>局</w:t>
      </w:r>
      <w:r>
        <w:rPr>
          <w:rFonts w:hint="eastAsia" w:ascii="Times New Roman" w:hAnsi="Times New Roman" w:eastAsia="方正小标宋简体" w:cs="Times New Roman"/>
          <w:b w:val="0"/>
          <w:bCs/>
          <w:sz w:val="44"/>
          <w:szCs w:val="44"/>
          <w:lang w:val="en-US" w:eastAsia="zh-CN"/>
        </w:rPr>
        <w:t xml:space="preserve">  绍兴市</w:t>
      </w:r>
      <w:r>
        <w:rPr>
          <w:rFonts w:hint="default" w:ascii="Times New Roman" w:hAnsi="Times New Roman" w:eastAsia="方正小标宋简体" w:cs="Times New Roman"/>
          <w:b w:val="0"/>
          <w:bCs/>
          <w:sz w:val="44"/>
          <w:szCs w:val="44"/>
        </w:rPr>
        <w:t>住房和城乡建设</w:t>
      </w:r>
      <w:r>
        <w:rPr>
          <w:rFonts w:hint="eastAsia" w:ascii="Times New Roman" w:hAnsi="Times New Roman" w:eastAsia="方正小标宋简体" w:cs="Times New Roman"/>
          <w:b w:val="0"/>
          <w:bCs/>
          <w:sz w:val="44"/>
          <w:szCs w:val="44"/>
          <w:lang w:eastAsia="zh-CN"/>
        </w:rPr>
        <w:t>局</w:t>
      </w:r>
    </w:p>
    <w:p>
      <w:pPr>
        <w:keepNext w:val="0"/>
        <w:keepLines w:val="0"/>
        <w:pageBreakBefore w:val="0"/>
        <w:widowControl/>
        <w:kinsoku/>
        <w:wordWrap/>
        <w:overflowPunct/>
        <w:topLinePunct w:val="0"/>
        <w:autoSpaceDE/>
        <w:autoSpaceDN/>
        <w:bidi w:val="0"/>
        <w:adjustRightInd w:val="0"/>
        <w:snapToGrid/>
        <w:spacing w:after="0" w:line="600" w:lineRule="exact"/>
        <w:jc w:val="center"/>
        <w:textAlignment w:val="auto"/>
        <w:rPr>
          <w:rFonts w:hint="default" w:ascii="Times New Roman" w:hAnsi="Times New Roman" w:eastAsia="方正小标宋简体" w:cs="Times New Roman"/>
          <w:b w:val="0"/>
          <w:bCs/>
          <w:color w:val="auto"/>
          <w:sz w:val="44"/>
          <w:szCs w:val="44"/>
          <w:highlight w:val="none"/>
        </w:rPr>
      </w:pPr>
      <w:r>
        <w:rPr>
          <w:rFonts w:hint="eastAsia" w:ascii="Times New Roman" w:hAnsi="Times New Roman" w:eastAsia="方正小标宋简体" w:cs="Times New Roman"/>
          <w:b w:val="0"/>
          <w:bCs/>
          <w:color w:val="auto"/>
          <w:sz w:val="44"/>
          <w:szCs w:val="44"/>
          <w:highlight w:val="none"/>
          <w:lang w:eastAsia="zh-CN"/>
        </w:rPr>
        <w:t>国家税务总局绍兴市税务局</w:t>
      </w:r>
      <w:r>
        <w:rPr>
          <w:rFonts w:hint="default" w:ascii="Times New Roman" w:hAnsi="Times New Roman" w:eastAsia="方正小标宋简体" w:cs="Times New Roman"/>
          <w:b w:val="0"/>
          <w:bCs/>
          <w:color w:val="auto"/>
          <w:sz w:val="44"/>
          <w:szCs w:val="44"/>
          <w:highlight w:val="none"/>
        </w:rPr>
        <w:t>关于规范</w:t>
      </w:r>
    </w:p>
    <w:p>
      <w:pPr>
        <w:keepNext w:val="0"/>
        <w:keepLines w:val="0"/>
        <w:pageBreakBefore w:val="0"/>
        <w:widowControl/>
        <w:kinsoku/>
        <w:wordWrap/>
        <w:overflowPunct/>
        <w:topLinePunct w:val="0"/>
        <w:autoSpaceDE/>
        <w:autoSpaceDN/>
        <w:bidi w:val="0"/>
        <w:adjustRightInd w:val="0"/>
        <w:snapToGrid/>
        <w:spacing w:after="0" w:line="600" w:lineRule="exact"/>
        <w:jc w:val="center"/>
        <w:textAlignment w:val="auto"/>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t>城市基础设施配套费有关事项的通知</w:t>
      </w:r>
    </w:p>
    <w:p>
      <w:pPr>
        <w:keepNext w:val="0"/>
        <w:keepLines w:val="0"/>
        <w:pageBreakBefore w:val="0"/>
        <w:widowControl/>
        <w:kinsoku/>
        <w:wordWrap/>
        <w:overflowPunct/>
        <w:topLinePunct w:val="0"/>
        <w:autoSpaceDE/>
        <w:autoSpaceDN/>
        <w:bidi w:val="0"/>
        <w:adjustRightInd w:val="0"/>
        <w:snapToGrid/>
        <w:spacing w:after="0" w:line="600" w:lineRule="exact"/>
        <w:jc w:val="center"/>
        <w:textAlignment w:val="auto"/>
        <w:rPr>
          <w:rFonts w:hint="default" w:ascii="Times New Roman" w:hAnsi="Times New Roman" w:eastAsia="方正小标宋简体" w:cs="Times New Roman"/>
          <w:b w:val="0"/>
          <w:bCs/>
          <w:color w:val="auto"/>
          <w:sz w:val="44"/>
          <w:szCs w:val="44"/>
          <w:highlight w:val="none"/>
        </w:rPr>
      </w:pPr>
      <w:r>
        <w:rPr>
          <w:rFonts w:hint="eastAsia" w:ascii="Times New Roman" w:hAnsi="Times New Roman" w:eastAsia="方正小标宋简体" w:cs="Times New Roman"/>
          <w:b w:val="0"/>
          <w:bCs/>
          <w:color w:val="auto"/>
          <w:sz w:val="44"/>
          <w:szCs w:val="44"/>
          <w:highlight w:val="none"/>
          <w:lang w:eastAsia="zh-CN"/>
        </w:rPr>
        <w:t>（征求意见稿）</w:t>
      </w:r>
      <w:r>
        <w:rPr>
          <w:rFonts w:hint="default" w:ascii="Times New Roman" w:hAnsi="Times New Roman" w:eastAsia="方正小标宋简体" w:cs="Times New Roman"/>
          <w:b w:val="0"/>
          <w:bCs/>
          <w:color w:val="auto"/>
          <w:sz w:val="44"/>
          <w:szCs w:val="44"/>
          <w:highlight w:val="none"/>
        </w:rPr>
        <w:t xml:space="preserve"> </w:t>
      </w:r>
    </w:p>
    <w:p>
      <w:pPr>
        <w:pStyle w:val="2"/>
        <w:rPr>
          <w:rFonts w:hint="default"/>
          <w:color w:val="auto"/>
          <w:highlight w:val="none"/>
        </w:rPr>
      </w:pPr>
    </w:p>
    <w:p>
      <w:pPr>
        <w:keepNext w:val="0"/>
        <w:keepLines w:val="0"/>
        <w:pageBreakBefore w:val="0"/>
        <w:widowControl w:val="0"/>
        <w:kinsoku/>
        <w:wordWrap/>
        <w:overflowPunct/>
        <w:topLinePunct w:val="0"/>
        <w:autoSpaceDE/>
        <w:autoSpaceDN/>
        <w:bidi w:val="0"/>
        <w:adjustRightInd w:val="0"/>
        <w:snapToGrid w:val="0"/>
        <w:spacing w:after="0" w:line="560" w:lineRule="exact"/>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rPr>
        <w:t>各</w:t>
      </w:r>
      <w:r>
        <w:rPr>
          <w:rFonts w:hint="eastAsia" w:ascii="Times New Roman" w:hAnsi="Times New Roman" w:eastAsia="仿宋_GB2312" w:cs="Times New Roman"/>
          <w:color w:val="auto"/>
          <w:kern w:val="2"/>
          <w:sz w:val="32"/>
          <w:szCs w:val="32"/>
          <w:highlight w:val="none"/>
          <w:lang w:val="en-US" w:eastAsia="zh-CN"/>
        </w:rPr>
        <w:t>区</w:t>
      </w:r>
      <w:r>
        <w:rPr>
          <w:rFonts w:hint="default" w:ascii="Times New Roman" w:hAnsi="Times New Roman" w:eastAsia="仿宋_GB2312" w:cs="Times New Roman"/>
          <w:color w:val="auto"/>
          <w:kern w:val="2"/>
          <w:sz w:val="32"/>
          <w:szCs w:val="32"/>
          <w:highlight w:val="none"/>
          <w:lang w:val="en-US" w:eastAsia="zh-CN"/>
        </w:rPr>
        <w:t>、县</w:t>
      </w:r>
      <w:r>
        <w:rPr>
          <w:rFonts w:hint="eastAsia" w:ascii="Times New Roman" w:hAnsi="Times New Roman" w:eastAsia="仿宋_GB2312" w:cs="Times New Roman"/>
          <w:color w:val="auto"/>
          <w:kern w:val="2"/>
          <w:sz w:val="32"/>
          <w:szCs w:val="32"/>
          <w:highlight w:val="none"/>
          <w:lang w:val="en-US" w:eastAsia="zh-CN"/>
        </w:rPr>
        <w:t>（市）财</w:t>
      </w:r>
      <w:r>
        <w:rPr>
          <w:rFonts w:hint="default" w:ascii="Times New Roman" w:hAnsi="Times New Roman" w:eastAsia="仿宋_GB2312" w:cs="Times New Roman"/>
          <w:color w:val="auto"/>
          <w:kern w:val="2"/>
          <w:sz w:val="32"/>
          <w:szCs w:val="32"/>
          <w:highlight w:val="none"/>
          <w:lang w:val="en-US" w:eastAsia="zh-CN"/>
        </w:rPr>
        <w:t>政局、建设局</w:t>
      </w:r>
      <w:r>
        <w:rPr>
          <w:rFonts w:hint="eastAsia" w:ascii="Times New Roman" w:hAnsi="Times New Roman" w:eastAsia="仿宋_GB2312" w:cs="Times New Roman"/>
          <w:color w:val="auto"/>
          <w:kern w:val="2"/>
          <w:sz w:val="32"/>
          <w:szCs w:val="32"/>
          <w:highlight w:val="none"/>
          <w:lang w:val="en-US" w:eastAsia="zh-CN"/>
        </w:rPr>
        <w:t>、税务局，</w:t>
      </w:r>
      <w:r>
        <w:rPr>
          <w:rFonts w:hint="default" w:ascii="Times New Roman" w:hAnsi="Times New Roman" w:eastAsia="仿宋_GB2312" w:cs="Times New Roman"/>
          <w:color w:val="auto"/>
          <w:kern w:val="2"/>
          <w:sz w:val="32"/>
          <w:szCs w:val="32"/>
          <w:highlight w:val="none"/>
          <w:lang w:val="en-US" w:eastAsia="zh-CN"/>
        </w:rPr>
        <w:t>滨海新区</w:t>
      </w:r>
      <w:r>
        <w:rPr>
          <w:rFonts w:hint="eastAsia" w:ascii="Times New Roman" w:hAnsi="Times New Roman" w:eastAsia="仿宋_GB2312" w:cs="Times New Roman"/>
          <w:color w:val="auto"/>
          <w:kern w:val="2"/>
          <w:sz w:val="32"/>
          <w:szCs w:val="32"/>
          <w:highlight w:val="none"/>
          <w:lang w:val="en-US" w:eastAsia="zh-CN"/>
        </w:rPr>
        <w:t>财政局、</w:t>
      </w:r>
      <w:r>
        <w:rPr>
          <w:rFonts w:hint="default" w:ascii="Times New Roman" w:hAnsi="Times New Roman" w:eastAsia="仿宋_GB2312" w:cs="Times New Roman"/>
          <w:color w:val="auto"/>
          <w:kern w:val="2"/>
          <w:sz w:val="32"/>
          <w:szCs w:val="32"/>
          <w:highlight w:val="none"/>
          <w:lang w:val="en-US" w:eastAsia="zh-CN"/>
        </w:rPr>
        <w:t>规建局</w:t>
      </w:r>
      <w:r>
        <w:rPr>
          <w:rFonts w:hint="eastAsia" w:ascii="Times New Roman" w:hAnsi="Times New Roman" w:eastAsia="仿宋_GB2312" w:cs="Times New Roman"/>
          <w:color w:val="auto"/>
          <w:kern w:val="2"/>
          <w:sz w:val="32"/>
          <w:szCs w:val="32"/>
          <w:highlight w:val="none"/>
          <w:lang w:val="en-US" w:eastAsia="zh-CN"/>
        </w:rPr>
        <w:t>、税务局：</w:t>
      </w:r>
    </w:p>
    <w:p>
      <w:pPr>
        <w:keepNext w:val="0"/>
        <w:keepLines w:val="0"/>
        <w:pageBreakBefore w:val="0"/>
        <w:widowControl w:val="0"/>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为进一步规范全市城市基础设施配套费的征收管理，根据《浙江省政府非税收入管理条例》、《财政部国土资源部中国人民银行关于加强土地成交价款管理规范资金缴库行为的通知》（财综〔2009〕89号）、《财政部关于印发〈政府性基金管理暂行办法》的通知》（财综〔2010〕80号）、《浙江省财政厅 浙江省住房和城乡建设厅关于规范城市基础设施配套费有关事项的通知》（浙财综〔2024〕9号）和</w:t>
      </w:r>
      <w:r>
        <w:rPr>
          <w:rFonts w:hint="eastAsia" w:ascii="仿宋_GB2312" w:eastAsia="仿宋_GB2312"/>
          <w:color w:val="auto"/>
          <w:sz w:val="32"/>
          <w:szCs w:val="32"/>
          <w:highlight w:val="none"/>
          <w:lang w:eastAsia="zh-CN"/>
        </w:rPr>
        <w:t>《财政部 税务总局关于贯彻实施契税法若干事项执行口径的公告》（财政部 税务总局公告2021年第23号）</w:t>
      </w:r>
      <w:r>
        <w:rPr>
          <w:rFonts w:hint="eastAsia" w:ascii="Times New Roman" w:hAnsi="Times New Roman" w:eastAsia="仿宋_GB2312" w:cs="Times New Roman"/>
          <w:color w:val="auto"/>
          <w:kern w:val="2"/>
          <w:sz w:val="32"/>
          <w:szCs w:val="32"/>
          <w:highlight w:val="none"/>
          <w:lang w:val="en-US" w:eastAsia="zh-CN"/>
        </w:rPr>
        <w:t>等规定，以及结合历史文件及制度渊源，现就规范我市城市基础设施配套费有关事项通知如下: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项目性质</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城市基础设施配套费是城市人民政府有关部门征收用于城市基础设施建设的专项资金，属于政府性基金。</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征收范围及对象</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城市基础设施配套费征收对象为我市城市规划区范围内取得土地使用权（包括出让方式及非出让方式）进行建设的各类工程项目的建设单位和个人。</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征收部门</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 xml:space="preserve">城市基础设施配套费按照项目属地原则管理，由住房城乡建设行政主管部门负责具体征收工作，征收职能已划转自然资源和规划（审批）部门的地区，具体职责根据属地人民政府有关规定确定。 </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征收方式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城市基础设施配套费计算方式为：城市基础设施配套费=建设项目地上建筑面积</w:t>
      </w:r>
      <w:r>
        <w:rPr>
          <w:rFonts w:hint="default" w:ascii="Times New Roman" w:hAnsi="Times New Roman" w:eastAsia="仿宋_GB2312" w:cs="Times New Roman"/>
          <w:color w:val="auto"/>
          <w:kern w:val="2"/>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rPr>
        <w:t>收费标准+地下建筑面积（人防面积除外）</w:t>
      </w:r>
      <w:r>
        <w:rPr>
          <w:rFonts w:hint="default" w:ascii="Times New Roman" w:hAnsi="Times New Roman" w:eastAsia="仿宋_GB2312" w:cs="Times New Roman"/>
          <w:color w:val="auto"/>
          <w:kern w:val="2"/>
          <w:sz w:val="32"/>
          <w:szCs w:val="32"/>
          <w:highlight w:val="none"/>
          <w:lang w:val="en-US" w:eastAsia="zh-CN"/>
        </w:rPr>
        <w:t>×</w:t>
      </w:r>
      <w:r>
        <w:rPr>
          <w:rFonts w:hint="eastAsia" w:ascii="Times New Roman" w:hAnsi="Times New Roman" w:eastAsia="仿宋_GB2312" w:cs="Times New Roman"/>
          <w:color w:val="auto"/>
          <w:kern w:val="2"/>
          <w:sz w:val="32"/>
          <w:szCs w:val="32"/>
          <w:highlight w:val="none"/>
          <w:lang w:val="en-US" w:eastAsia="zh-CN"/>
        </w:rPr>
        <w:t>收费标准，建筑面积以《建设工程规划许可证》核定的建筑面积为准；扩建、改建、拆复建项目及旧城改造拆建项目按新增面积征收。</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建设单位或个人应当在开工前缴清城市基础设施配套费；分期核发建设工程规划许可证的可分期缴纳。建设工程竣工规划核实时，建筑面积发生变化、规划功能用途变更的，按现行标准予以补交或按原标准退还配套费差额。</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left="638" w:leftChars="290" w:firstLine="0" w:firstLineChars="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缴纳城市基础设施配套费可实行告知承诺制。</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default"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征收标准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根据我市历史沿革和征收实际，城市基础设施配套费征收标准，在市定指导标准范围内（详见附件1），由</w:t>
      </w:r>
      <w:r>
        <w:rPr>
          <w:rFonts w:hint="default" w:ascii="Times New Roman" w:hAnsi="Times New Roman" w:eastAsia="仿宋_GB2312" w:cs="Times New Roman"/>
          <w:color w:val="auto"/>
          <w:kern w:val="2"/>
          <w:sz w:val="32"/>
          <w:szCs w:val="32"/>
          <w:highlight w:val="none"/>
          <w:lang w:val="en-US" w:eastAsia="zh-CN"/>
        </w:rPr>
        <w:t>各</w:t>
      </w:r>
      <w:r>
        <w:rPr>
          <w:rFonts w:hint="eastAsia" w:ascii="Times New Roman" w:hAnsi="Times New Roman" w:eastAsia="仿宋_GB2312" w:cs="Times New Roman"/>
          <w:color w:val="auto"/>
          <w:kern w:val="2"/>
          <w:sz w:val="32"/>
          <w:szCs w:val="32"/>
          <w:highlight w:val="none"/>
          <w:lang w:val="en-US" w:eastAsia="zh-CN"/>
        </w:rPr>
        <w:t>区</w:t>
      </w:r>
      <w:r>
        <w:rPr>
          <w:rFonts w:hint="default" w:ascii="Times New Roman" w:hAnsi="Times New Roman" w:eastAsia="仿宋_GB2312" w:cs="Times New Roman"/>
          <w:color w:val="auto"/>
          <w:kern w:val="2"/>
          <w:sz w:val="32"/>
          <w:szCs w:val="32"/>
          <w:highlight w:val="none"/>
          <w:lang w:val="en-US" w:eastAsia="zh-CN"/>
        </w:rPr>
        <w:t>、县</w:t>
      </w:r>
      <w:r>
        <w:rPr>
          <w:rFonts w:hint="eastAsia" w:ascii="Times New Roman" w:hAnsi="Times New Roman" w:eastAsia="仿宋_GB2312" w:cs="Times New Roman"/>
          <w:color w:val="auto"/>
          <w:kern w:val="2"/>
          <w:sz w:val="32"/>
          <w:szCs w:val="32"/>
          <w:highlight w:val="none"/>
          <w:lang w:val="en-US" w:eastAsia="zh-CN"/>
        </w:rPr>
        <w:t>（市）及滨海新区建设、财政部门根据城市基础设施建设和管理的需要，兼顾当地经济发展实际和市场主体承受能力等因素，提出本地区具体征收标准建议，报本级人民政府确定。</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对以出让方式取得土地使用权缴纳城市基础设施配套费的单位和个人，应按照《财政部 税务总局关于贯彻实施契税法若干事项执行口径的公告》（财政部 税务总局公告2021年第23号）</w:t>
      </w:r>
      <w:r>
        <w:rPr>
          <w:rFonts w:hint="eastAsia" w:ascii="仿宋_GB2312" w:eastAsia="仿宋_GB2312"/>
          <w:color w:val="auto"/>
          <w:sz w:val="32"/>
          <w:szCs w:val="32"/>
          <w:highlight w:val="none"/>
          <w:lang w:eastAsia="zh-CN"/>
        </w:rPr>
        <w:t>规定申报缴纳契税。</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减免程序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城市基础设施配套费的减免权限按照政府性基金有关规定执行。国家制定的城市基础设施配套费减免政策（详见附件2），各级各部门要逐项落实到位，明确免缴口径、认定方法、减免办理程序，不得以任何借口拒绝和变更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符合国家规定的减免条件的，由项目建设单位或个人向征收部门提出减免申报，征收部门应明确统一的办理流程和减免申报样表。需各相关行业主管部门提供减免认定或信息的，应积极协同配合，确保优惠政策落实到位。经批准执行城市基础设施配套费减免政策的建设项目，改变原批准用途的，按现行标准补缴城市基础设施配套费。</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具体减免政策的执行程序和操作办法由各地征收部门制定。</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预算管理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城市基础设施配套费要严格按照“收支两条线”纳入政府性基金预算管理，实行专款专用。各地征收部门按照浙江省政府非税收入收缴有关规定及时足额上缴同级国库，填列政府收支分类科目第 103类01款56项“城市基础设施配套费收入”。不得与土地成交价款混库。</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票据管理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征收部门在征收城市基础设施配套费时，应当按照规定开具财政票据；不按规定开具财政票据的，公民、法人和其他组织有权拒绝缴纳。</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资金用途</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根据财政部《政府收支分类科目》规定，城市基础设施配套费主要用于城市道路、桥涵、公共交通、道路照明、供排水、燃气、供热等公共设施维护、建设和管理，道路清扫、垃圾清运与处理、污水处理、园林绿化、城市公有房屋维修改造、城市防洪设施建设和维护等支出。</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支出时填列政府收支分类科目第212类13款“城市基础设施配套费支出”所对应的支出科目。</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信息共享</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各级有关部门应建立信息共享机制，加强城市基础设施配套费征收管理数字化改革，在职能范围内向征收部门共享城市基础设施配套费征收和减免的有关信息，共同做好城市基础设施配套费征缴业务衔接。</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监督管理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各级相关监管部门应加强对城市基础设施配套费收支情况的监督检查，对未及时足额缴纳城市基础设施配套费和擅自设立收费项目、提高收费标准、扩大收费范围,擅自减免、截留、挤占、挪用城市基础设施配套费的，按《中华人民共和国预算法》《财政违法行为处罚处分条例》《政府性基金管理暂行办法》《浙江省政府非税收入管理条例》等规定予以处理。</w:t>
      </w:r>
    </w:p>
    <w:p>
      <w:pPr>
        <w:keepNext w:val="0"/>
        <w:keepLines w:val="0"/>
        <w:pageBreakBefore w:val="0"/>
        <w:widowControl w:val="0"/>
        <w:numPr>
          <w:ilvl w:val="0"/>
          <w:numId w:val="1"/>
        </w:numPr>
        <w:kinsoku/>
        <w:wordWrap/>
        <w:overflowPunct/>
        <w:topLinePunct w:val="0"/>
        <w:autoSpaceDE/>
        <w:autoSpaceDN/>
        <w:bidi w:val="0"/>
        <w:adjustRightInd w:val="0"/>
        <w:snapToGrid w:val="0"/>
        <w:spacing w:after="0" w:line="560" w:lineRule="exact"/>
        <w:ind w:left="0" w:leftChars="0" w:firstLine="640" w:firstLineChars="200"/>
        <w:jc w:val="both"/>
        <w:textAlignment w:val="auto"/>
        <w:rPr>
          <w:rFonts w:hint="eastAsia" w:ascii="黑体" w:hAnsi="黑体" w:eastAsia="黑体" w:cs="黑体"/>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其他规定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本通知自2024年6月12日起实施（以《建设工程规划许可证》核发日期为界限）。各地可根据本通知有关规定制定本地区的实施细则。</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《关于征收城市市政基础设施配套费有关问题的通知》（绍市建设计〔2012〕68号）等文件同步废止。</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国家另有规定或新出相关规定的，从其规定。</w:t>
      </w:r>
    </w:p>
    <w:p>
      <w:pPr>
        <w:pStyle w:val="11"/>
        <w:keepNext w:val="0"/>
        <w:keepLines w:val="0"/>
        <w:pageBreakBefore w:val="0"/>
        <w:kinsoku/>
        <w:wordWrap/>
        <w:overflowPunct/>
        <w:topLinePunct w:val="0"/>
        <w:autoSpaceDE/>
        <w:autoSpaceDN/>
        <w:bidi w:val="0"/>
        <w:adjustRightInd w:val="0"/>
        <w:snapToGrid w:val="0"/>
        <w:spacing w:after="0" w:line="560" w:lineRule="exact"/>
        <w:textAlignment w:val="auto"/>
        <w:rPr>
          <w:rFonts w:hint="eastAsia" w:ascii="Times New Roman" w:hAnsi="Times New Roman" w:eastAsia="仿宋_GB2312" w:cs="Times New Roman"/>
          <w:color w:val="auto"/>
          <w:kern w:val="2"/>
          <w:sz w:val="32"/>
          <w:szCs w:val="32"/>
          <w:highlight w:val="none"/>
          <w:lang w:val="en-US" w:eastAsia="zh-CN"/>
        </w:rPr>
      </w:pPr>
    </w:p>
    <w:p>
      <w:pPr>
        <w:pStyle w:val="11"/>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附件：1.绍兴市城市基础设施配套费指导标准</w:t>
      </w:r>
    </w:p>
    <w:p>
      <w:pPr>
        <w:pStyle w:val="11"/>
        <w:keepNext w:val="0"/>
        <w:keepLines w:val="0"/>
        <w:pageBreakBefore w:val="0"/>
        <w:kinsoku/>
        <w:wordWrap/>
        <w:overflowPunct/>
        <w:topLinePunct w:val="0"/>
        <w:autoSpaceDE/>
        <w:autoSpaceDN/>
        <w:bidi w:val="0"/>
        <w:adjustRightInd w:val="0"/>
        <w:snapToGrid w:val="0"/>
        <w:spacing w:after="0" w:line="560" w:lineRule="exact"/>
        <w:ind w:firstLine="1600" w:firstLineChars="500"/>
        <w:textAlignment w:val="auto"/>
        <w:rPr>
          <w:rFonts w:hint="eastAsia" w:ascii="Times New Roman" w:hAnsi="Times New Roman" w:eastAsia="仿宋_GB2312" w:cs="Times New Roman"/>
          <w:color w:val="auto"/>
          <w:kern w:val="2"/>
          <w:sz w:val="32"/>
          <w:szCs w:val="32"/>
          <w:highlight w:val="none"/>
          <w:lang w:val="en-US" w:eastAsia="zh-CN"/>
        </w:rPr>
      </w:pPr>
      <w:r>
        <w:rPr>
          <w:rFonts w:hint="eastAsia" w:ascii="Times New Roman" w:hAnsi="Times New Roman" w:eastAsia="仿宋_GB2312" w:cs="Times New Roman"/>
          <w:color w:val="auto"/>
          <w:kern w:val="2"/>
          <w:sz w:val="32"/>
          <w:szCs w:val="32"/>
          <w:highlight w:val="none"/>
          <w:lang w:val="en-US" w:eastAsia="zh-CN"/>
        </w:rPr>
        <w:t>2.国家规定的城市基础设施配套费减免政策</w:t>
      </w:r>
    </w:p>
    <w:p>
      <w:pPr>
        <w:pStyle w:val="11"/>
        <w:keepNext w:val="0"/>
        <w:keepLines w:val="0"/>
        <w:pageBreakBefore w:val="0"/>
        <w:kinsoku/>
        <w:wordWrap/>
        <w:overflowPunct/>
        <w:topLinePunct w:val="0"/>
        <w:autoSpaceDE/>
        <w:autoSpaceDN/>
        <w:bidi w:val="0"/>
        <w:adjustRightInd w:val="0"/>
        <w:snapToGrid w:val="0"/>
        <w:spacing w:after="0" w:line="560" w:lineRule="exact"/>
        <w:ind w:firstLine="1600" w:firstLineChars="500"/>
        <w:textAlignment w:val="auto"/>
        <w:rPr>
          <w:rFonts w:hint="default" w:ascii="Times New Roman" w:hAnsi="Times New Roman" w:eastAsia="仿宋_GB2312" w:cs="Times New Roman"/>
          <w:color w:val="auto"/>
          <w:kern w:val="2"/>
          <w:sz w:val="32"/>
          <w:szCs w:val="32"/>
          <w:highlight w:val="none"/>
          <w:lang w:val="en-US" w:eastAsia="zh-CN"/>
        </w:rPr>
      </w:pPr>
    </w:p>
    <w:p>
      <w:pPr>
        <w:pStyle w:val="11"/>
        <w:keepNext w:val="0"/>
        <w:keepLines w:val="0"/>
        <w:pageBreakBefore w:val="0"/>
        <w:kinsoku/>
        <w:wordWrap/>
        <w:overflowPunct/>
        <w:topLinePunct w:val="0"/>
        <w:autoSpaceDE/>
        <w:autoSpaceDN/>
        <w:bidi w:val="0"/>
        <w:adjustRightInd w:val="0"/>
        <w:snapToGrid w:val="0"/>
        <w:spacing w:after="0" w:line="560" w:lineRule="exact"/>
        <w:ind w:firstLine="1600" w:firstLineChars="500"/>
        <w:textAlignment w:val="auto"/>
        <w:rPr>
          <w:rFonts w:hint="default" w:ascii="Times New Roman" w:hAnsi="Times New Roman" w:eastAsia="仿宋_GB2312" w:cs="Times New Roman"/>
          <w:color w:val="auto"/>
          <w:kern w:val="2"/>
          <w:sz w:val="32"/>
          <w:szCs w:val="32"/>
          <w:highlight w:val="none"/>
          <w:lang w:val="en-US" w:eastAsia="zh-CN"/>
        </w:rPr>
      </w:pPr>
    </w:p>
    <w:p>
      <w:pPr>
        <w:pStyle w:val="11"/>
        <w:keepNext w:val="0"/>
        <w:keepLines w:val="0"/>
        <w:pageBreakBefore w:val="0"/>
        <w:kinsoku/>
        <w:wordWrap/>
        <w:overflowPunct/>
        <w:topLinePunct w:val="0"/>
        <w:autoSpaceDE/>
        <w:autoSpaceDN/>
        <w:bidi w:val="0"/>
        <w:adjustRightInd w:val="0"/>
        <w:snapToGrid w:val="0"/>
        <w:spacing w:after="0" w:line="560" w:lineRule="exact"/>
        <w:ind w:firstLine="1600" w:firstLineChars="500"/>
        <w:textAlignment w:val="auto"/>
        <w:rPr>
          <w:rFonts w:hint="default" w:ascii="Times New Roman" w:hAnsi="Times New Roman" w:eastAsia="仿宋_GB2312" w:cs="Times New Roman"/>
          <w:color w:val="auto"/>
          <w:kern w:val="2"/>
          <w:sz w:val="32"/>
          <w:szCs w:val="32"/>
          <w:highlight w:val="none"/>
          <w:lang w:val="en-US" w:eastAsia="zh-CN"/>
        </w:rPr>
      </w:pPr>
      <w:bookmarkStart w:id="0" w:name="_GoBack"/>
      <w:bookmarkEnd w:id="0"/>
    </w:p>
    <w:p>
      <w:pPr>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shd w:val="clear" w:color="auto" w:fill="auto"/>
          <w:lang w:val="en-US" w:eastAsia="zh-CN"/>
        </w:rPr>
      </w:pPr>
      <w:r>
        <w:rPr>
          <w:rFonts w:hint="default" w:ascii="Times New Roman" w:hAnsi="Times New Roman" w:eastAsia="仿宋_GB2312" w:cs="Times New Roman"/>
          <w:i w:val="0"/>
          <w:caps w:val="0"/>
          <w:color w:val="auto"/>
          <w:spacing w:val="0"/>
          <w:sz w:val="32"/>
          <w:szCs w:val="32"/>
          <w:highlight w:val="none"/>
          <w:shd w:val="clear" w:color="auto" w:fill="auto"/>
          <w:lang w:val="en-US" w:eastAsia="zh-CN"/>
        </w:rPr>
        <w:t xml:space="preserve">绍兴市财政局       </w:t>
      </w:r>
      <w:r>
        <w:rPr>
          <w:rFonts w:hint="eastAsia" w:ascii="Times New Roman" w:hAnsi="Times New Roman" w:eastAsia="仿宋_GB2312" w:cs="Times New Roman"/>
          <w:i w:val="0"/>
          <w:caps w:val="0"/>
          <w:color w:val="auto"/>
          <w:spacing w:val="0"/>
          <w:sz w:val="32"/>
          <w:szCs w:val="32"/>
          <w:highlight w:val="none"/>
          <w:shd w:val="clear" w:color="auto" w:fill="auto"/>
          <w:lang w:val="en-US" w:eastAsia="zh-CN"/>
        </w:rPr>
        <w:t xml:space="preserve"> </w:t>
      </w:r>
      <w:r>
        <w:rPr>
          <w:rFonts w:hint="default" w:ascii="Times New Roman" w:hAnsi="Times New Roman" w:eastAsia="仿宋_GB2312" w:cs="Times New Roman"/>
          <w:i w:val="0"/>
          <w:caps w:val="0"/>
          <w:color w:val="auto"/>
          <w:spacing w:val="0"/>
          <w:sz w:val="32"/>
          <w:szCs w:val="32"/>
          <w:highlight w:val="none"/>
          <w:shd w:val="clear" w:color="auto" w:fill="auto"/>
          <w:lang w:val="en-US" w:eastAsia="zh-CN"/>
        </w:rPr>
        <w:t xml:space="preserve">  </w:t>
      </w:r>
      <w:r>
        <w:rPr>
          <w:rFonts w:hint="eastAsia" w:ascii="Times New Roman" w:hAnsi="Times New Roman" w:eastAsia="仿宋_GB2312" w:cs="Times New Roman"/>
          <w:i w:val="0"/>
          <w:caps w:val="0"/>
          <w:color w:val="auto"/>
          <w:spacing w:val="0"/>
          <w:sz w:val="32"/>
          <w:szCs w:val="32"/>
          <w:highlight w:val="none"/>
          <w:shd w:val="clear" w:color="auto" w:fill="auto"/>
          <w:lang w:val="en-US" w:eastAsia="zh-CN"/>
        </w:rPr>
        <w:t xml:space="preserve">          </w:t>
      </w:r>
      <w:r>
        <w:rPr>
          <w:rFonts w:hint="default" w:ascii="Times New Roman" w:hAnsi="Times New Roman" w:eastAsia="仿宋_GB2312" w:cs="Times New Roman"/>
          <w:i w:val="0"/>
          <w:caps w:val="0"/>
          <w:color w:val="auto"/>
          <w:spacing w:val="0"/>
          <w:sz w:val="32"/>
          <w:szCs w:val="32"/>
          <w:highlight w:val="none"/>
          <w:shd w:val="clear" w:color="auto" w:fill="auto"/>
          <w:lang w:val="en-US" w:eastAsia="zh-CN"/>
        </w:rPr>
        <w:t xml:space="preserve">  绍兴市住房和城乡建设局 </w:t>
      </w:r>
    </w:p>
    <w:p>
      <w:pPr>
        <w:pStyle w:val="11"/>
        <w:keepNext w:val="0"/>
        <w:keepLines w:val="0"/>
        <w:pageBreakBefore w:val="0"/>
        <w:kinsoku/>
        <w:wordWrap/>
        <w:overflowPunct/>
        <w:topLinePunct w:val="0"/>
        <w:autoSpaceDE/>
        <w:autoSpaceDN/>
        <w:bidi w:val="0"/>
        <w:adjustRightInd w:val="0"/>
        <w:snapToGrid w:val="0"/>
        <w:spacing w:after="0" w:line="560" w:lineRule="exact"/>
        <w:textAlignment w:val="auto"/>
        <w:rPr>
          <w:rFonts w:hint="default"/>
          <w:color w:val="auto"/>
          <w:highlight w:val="none"/>
          <w:lang w:val="en-US" w:eastAsia="zh-CN"/>
        </w:rPr>
      </w:pPr>
    </w:p>
    <w:p>
      <w:pPr>
        <w:pStyle w:val="11"/>
        <w:keepNext w:val="0"/>
        <w:keepLines w:val="0"/>
        <w:pageBreakBefore w:val="0"/>
        <w:kinsoku/>
        <w:wordWrap/>
        <w:overflowPunct/>
        <w:topLinePunct w:val="0"/>
        <w:autoSpaceDE/>
        <w:autoSpaceDN/>
        <w:bidi w:val="0"/>
        <w:adjustRightInd w:val="0"/>
        <w:snapToGrid w:val="0"/>
        <w:spacing w:after="0" w:line="560" w:lineRule="exact"/>
        <w:ind w:firstLine="4160" w:firstLineChars="1300"/>
        <w:textAlignment w:val="auto"/>
        <w:rPr>
          <w:rFonts w:hint="eastAsia" w:ascii="Times New Roman" w:hAnsi="Times New Roman" w:eastAsia="仿宋_GB2312" w:cs="Times New Roman"/>
          <w:i w:val="0"/>
          <w:caps w:val="0"/>
          <w:color w:val="000000"/>
          <w:spacing w:val="0"/>
          <w:sz w:val="32"/>
          <w:szCs w:val="32"/>
          <w:highlight w:val="yellow"/>
          <w:shd w:val="clear" w:color="auto" w:fill="auto"/>
          <w:lang w:val="en-US" w:eastAsia="zh-CN"/>
        </w:rPr>
      </w:pPr>
      <w:r>
        <w:rPr>
          <w:rFonts w:hint="eastAsia" w:ascii="Times New Roman" w:hAnsi="Times New Roman" w:eastAsia="仿宋_GB2312" w:cs="Times New Roman"/>
          <w:i w:val="0"/>
          <w:caps w:val="0"/>
          <w:color w:val="auto"/>
          <w:spacing w:val="0"/>
          <w:sz w:val="32"/>
          <w:szCs w:val="32"/>
          <w:highlight w:val="none"/>
          <w:shd w:val="clear" w:color="auto" w:fill="auto"/>
          <w:lang w:val="en-US" w:eastAsia="zh-CN"/>
        </w:rPr>
        <w:t>国家税务总局绍兴市税务局</w:t>
      </w:r>
    </w:p>
    <w:p>
      <w:pPr>
        <w:pStyle w:val="11"/>
        <w:keepNext w:val="0"/>
        <w:keepLines w:val="0"/>
        <w:pageBreakBefore w:val="0"/>
        <w:kinsoku/>
        <w:wordWrap/>
        <w:overflowPunct/>
        <w:topLinePunct w:val="0"/>
        <w:autoSpaceDE/>
        <w:autoSpaceDN/>
        <w:bidi w:val="0"/>
        <w:adjustRightInd w:val="0"/>
        <w:snapToGrid w:val="0"/>
        <w:spacing w:after="0" w:line="560" w:lineRule="exact"/>
        <w:ind w:firstLine="4160" w:firstLineChars="1300"/>
        <w:textAlignment w:val="auto"/>
        <w:rPr>
          <w:rFonts w:hint="default" w:ascii="Times New Roman" w:hAnsi="Times New Roman" w:eastAsia="仿宋_GB2312" w:cs="Times New Roman"/>
          <w:i w:val="0"/>
          <w:caps w:val="0"/>
          <w:color w:val="000000"/>
          <w:spacing w:val="0"/>
          <w:sz w:val="32"/>
          <w:szCs w:val="32"/>
          <w:highlight w:val="yellow"/>
          <w:shd w:val="clear" w:color="auto" w:fill="auto"/>
          <w:lang w:val="en-US" w:eastAsia="zh-CN"/>
        </w:rPr>
      </w:pPr>
    </w:p>
    <w:p>
      <w:pPr>
        <w:keepNext w:val="0"/>
        <w:keepLines w:val="0"/>
        <w:pageBreakBefore w:val="0"/>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2024年  月  日</w:t>
      </w:r>
    </w:p>
    <w:p>
      <w:pPr>
        <w:pStyle w:val="11"/>
        <w:keepNext w:val="0"/>
        <w:keepLines w:val="0"/>
        <w:pageBreakBefore w:val="0"/>
        <w:kinsoku/>
        <w:wordWrap/>
        <w:overflowPunct/>
        <w:topLinePunct w:val="0"/>
        <w:autoSpaceDE/>
        <w:autoSpaceDN/>
        <w:bidi w:val="0"/>
        <w:adjustRightInd w:val="0"/>
        <w:snapToGrid w:val="0"/>
        <w:spacing w:after="0"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（此件公开发布）</w:t>
      </w:r>
    </w:p>
    <w:p>
      <w:pPr>
        <w:widowControl w:val="0"/>
        <w:numPr>
          <w:ilvl w:val="0"/>
          <w:numId w:val="0"/>
        </w:numPr>
        <w:adjustRightInd w:val="0"/>
        <w:snapToGrid w:val="0"/>
        <w:spacing w:beforeLines="0" w:after="0" w:afterLines="0" w:line="560" w:lineRule="exact"/>
        <w:jc w:val="both"/>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附件1</w:t>
      </w:r>
    </w:p>
    <w:p>
      <w:pPr>
        <w:pStyle w:val="11"/>
        <w:rPr>
          <w:rFonts w:hint="eastAsia" w:ascii="黑体" w:hAnsi="黑体" w:eastAsia="黑体" w:cs="黑体"/>
          <w:color w:val="000000"/>
          <w:kern w:val="2"/>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小标宋简体" w:cs="Times New Roman"/>
          <w:b w:val="0"/>
          <w:bCs/>
          <w:sz w:val="44"/>
          <w:szCs w:val="44"/>
          <w:lang w:val="en-US" w:eastAsia="zh-CN"/>
        </w:rPr>
      </w:pPr>
      <w:r>
        <w:rPr>
          <w:rFonts w:hint="eastAsia" w:ascii="Times New Roman" w:hAnsi="Times New Roman" w:eastAsia="方正小标宋简体" w:cs="Times New Roman"/>
          <w:b w:val="0"/>
          <w:bCs/>
          <w:sz w:val="44"/>
          <w:szCs w:val="44"/>
          <w:lang w:val="en-US" w:eastAsia="zh-CN"/>
        </w:rPr>
        <w:t>绍兴市城市基础设施配套费指导标准</w:t>
      </w:r>
    </w:p>
    <w:p>
      <w:pPr>
        <w:widowControl w:val="0"/>
        <w:numPr>
          <w:ilvl w:val="0"/>
          <w:numId w:val="0"/>
        </w:numPr>
        <w:adjustRightInd w:val="0"/>
        <w:snapToGrid w:val="0"/>
        <w:spacing w:beforeLines="0" w:after="0" w:afterLines="0" w:line="560" w:lineRule="exact"/>
        <w:ind w:firstLine="640" w:firstLineChars="200"/>
        <w:jc w:val="right"/>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单位：（元  /  m</w:t>
      </w:r>
      <w:r>
        <w:rPr>
          <w:rFonts w:hint="eastAsia" w:ascii="Times New Roman" w:hAnsi="Times New Roman" w:eastAsia="仿宋_GB2312" w:cs="Times New Roman"/>
          <w:color w:val="000000"/>
          <w:kern w:val="2"/>
          <w:sz w:val="32"/>
          <w:szCs w:val="32"/>
          <w:vertAlign w:val="superscript"/>
          <w:lang w:val="en-US" w:eastAsia="zh-CN"/>
        </w:rPr>
        <w:t>2</w:t>
      </w:r>
      <w:r>
        <w:rPr>
          <w:rFonts w:hint="eastAsia" w:ascii="Times New Roman" w:hAnsi="Times New Roman" w:eastAsia="仿宋_GB2312" w:cs="Times New Roman"/>
          <w:color w:val="000000"/>
          <w:kern w:val="2"/>
          <w:sz w:val="32"/>
          <w:szCs w:val="32"/>
          <w:lang w:val="en-US" w:eastAsia="zh-CN"/>
        </w:rPr>
        <w:t>）</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350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2180"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default" w:ascii="黑体" w:hAnsi="黑体" w:eastAsia="黑体" w:cs="黑体"/>
                <w:color w:val="000000"/>
                <w:kern w:val="2"/>
                <w:sz w:val="32"/>
                <w:szCs w:val="32"/>
                <w:vertAlign w:val="baseline"/>
                <w:lang w:val="en-US" w:eastAsia="zh-CN"/>
              </w:rPr>
            </w:pPr>
            <w:r>
              <w:rPr>
                <w:rFonts w:hint="eastAsia" w:ascii="黑体" w:hAnsi="黑体" w:eastAsia="黑体" w:cs="黑体"/>
                <w:color w:val="000000"/>
                <w:kern w:val="2"/>
                <w:sz w:val="32"/>
                <w:szCs w:val="32"/>
                <w:vertAlign w:val="baseline"/>
                <w:lang w:val="en-US" w:eastAsia="zh-CN"/>
              </w:rPr>
              <w:t>地区</w:t>
            </w:r>
          </w:p>
        </w:tc>
        <w:tc>
          <w:tcPr>
            <w:tcW w:w="350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default" w:ascii="黑体" w:hAnsi="黑体" w:eastAsia="黑体" w:cs="黑体"/>
                <w:color w:val="000000"/>
                <w:kern w:val="2"/>
                <w:sz w:val="32"/>
                <w:szCs w:val="32"/>
                <w:vertAlign w:val="baseline"/>
                <w:lang w:val="en-US" w:eastAsia="zh-CN"/>
              </w:rPr>
            </w:pPr>
            <w:r>
              <w:rPr>
                <w:rFonts w:hint="eastAsia" w:ascii="黑体" w:hAnsi="黑体" w:eastAsia="黑体" w:cs="黑体"/>
                <w:color w:val="000000"/>
                <w:kern w:val="2"/>
                <w:sz w:val="32"/>
                <w:szCs w:val="32"/>
                <w:vertAlign w:val="baseline"/>
                <w:lang w:val="en-US" w:eastAsia="zh-CN"/>
              </w:rPr>
              <w:t>住宅项目</w:t>
            </w:r>
          </w:p>
        </w:tc>
        <w:tc>
          <w:tcPr>
            <w:tcW w:w="284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default" w:ascii="黑体" w:hAnsi="黑体" w:eastAsia="黑体" w:cs="黑体"/>
                <w:color w:val="000000"/>
                <w:kern w:val="2"/>
                <w:sz w:val="32"/>
                <w:szCs w:val="32"/>
                <w:vertAlign w:val="baseline"/>
                <w:lang w:val="en-US" w:eastAsia="zh-CN"/>
              </w:rPr>
            </w:pPr>
            <w:r>
              <w:rPr>
                <w:rFonts w:hint="eastAsia" w:ascii="黑体" w:hAnsi="黑体" w:eastAsia="黑体" w:cs="黑体"/>
                <w:color w:val="000000"/>
                <w:kern w:val="2"/>
                <w:sz w:val="32"/>
                <w:szCs w:val="32"/>
                <w:vertAlign w:val="baseline"/>
                <w:lang w:val="en-US" w:eastAsia="zh-CN"/>
              </w:rPr>
              <w:t>非住宅项目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180" w:type="dxa"/>
            <w:vAlign w:val="center"/>
          </w:tcPr>
          <w:p>
            <w:pPr>
              <w:widowControl w:val="0"/>
              <w:numPr>
                <w:ilvl w:val="0"/>
                <w:numId w:val="0"/>
              </w:numPr>
              <w:adjustRightInd w:val="0"/>
              <w:snapToGrid w:val="0"/>
              <w:spacing w:beforeLines="0" w:after="0" w:afterLines="0" w:line="560" w:lineRule="exact"/>
              <w:jc w:val="center"/>
              <w:rPr>
                <w:rFonts w:hint="default"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越城区</w:t>
            </w:r>
          </w:p>
        </w:tc>
        <w:tc>
          <w:tcPr>
            <w:tcW w:w="3501" w:type="dxa"/>
            <w:vMerge w:val="restart"/>
            <w:vAlign w:val="center"/>
          </w:tcPr>
          <w:p>
            <w:pPr>
              <w:pStyle w:val="11"/>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default" w:ascii="黑体" w:hAnsi="黑体" w:eastAsia="黑体" w:cs="黑体"/>
                <w:color w:val="000000"/>
                <w:kern w:val="2"/>
                <w:sz w:val="32"/>
                <w:szCs w:val="32"/>
                <w:vertAlign w:val="baseline"/>
                <w:lang w:val="en-US" w:eastAsia="zh-CN"/>
              </w:rPr>
            </w:pPr>
            <w:r>
              <w:rPr>
                <w:rFonts w:hint="eastAsia" w:ascii="Times New Roman" w:hAnsi="Times New Roman" w:eastAsia="仿宋_GB2312" w:cs="Times New Roman"/>
                <w:color w:val="000000"/>
                <w:kern w:val="2"/>
                <w:sz w:val="32"/>
                <w:szCs w:val="32"/>
                <w:lang w:val="en-US" w:eastAsia="zh-CN" w:bidi="ar-SA"/>
              </w:rPr>
              <w:t>30-60</w:t>
            </w:r>
          </w:p>
        </w:tc>
        <w:tc>
          <w:tcPr>
            <w:tcW w:w="2841" w:type="dxa"/>
            <w:vMerge w:val="restart"/>
            <w:vAlign w:val="center"/>
          </w:tcPr>
          <w:p>
            <w:pPr>
              <w:pStyle w:val="11"/>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default" w:ascii="黑体" w:hAnsi="黑体" w:eastAsia="黑体" w:cs="黑体"/>
                <w:color w:val="000000"/>
                <w:kern w:val="2"/>
                <w:sz w:val="32"/>
                <w:szCs w:val="32"/>
                <w:vertAlign w:val="baseline"/>
                <w:lang w:val="en-US" w:eastAsia="zh-CN"/>
              </w:rPr>
            </w:pPr>
            <w:r>
              <w:rPr>
                <w:rFonts w:hint="eastAsia" w:ascii="Times New Roman" w:hAnsi="Times New Roman" w:eastAsia="仿宋_GB2312" w:cs="Times New Roman"/>
                <w:color w:val="000000"/>
                <w:kern w:val="2"/>
                <w:sz w:val="32"/>
                <w:szCs w:val="32"/>
                <w:lang w:val="en-US" w:eastAsia="zh-CN" w:bidi="ar-SA"/>
              </w:rPr>
              <w:t>80-110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180" w:type="dxa"/>
            <w:vAlign w:val="center"/>
          </w:tcPr>
          <w:p>
            <w:pPr>
              <w:widowControl w:val="0"/>
              <w:numPr>
                <w:ilvl w:val="0"/>
                <w:numId w:val="0"/>
              </w:numPr>
              <w:adjustRightInd w:val="0"/>
              <w:snapToGrid w:val="0"/>
              <w:spacing w:beforeLines="0" w:after="0" w:afterLines="0" w:line="560" w:lineRule="exact"/>
              <w:jc w:val="center"/>
              <w:rPr>
                <w:rFonts w:hint="default"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柯桥区</w:t>
            </w:r>
          </w:p>
        </w:tc>
        <w:tc>
          <w:tcPr>
            <w:tcW w:w="3501" w:type="dxa"/>
            <w:vMerge w:val="continue"/>
            <w:vAlign w:val="center"/>
          </w:tcPr>
          <w:p>
            <w:pPr>
              <w:pStyle w:val="11"/>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default" w:ascii="黑体" w:hAnsi="黑体" w:eastAsia="黑体" w:cs="黑体"/>
                <w:color w:val="000000"/>
                <w:kern w:val="2"/>
                <w:sz w:val="32"/>
                <w:szCs w:val="32"/>
                <w:vertAlign w:val="baseline"/>
                <w:lang w:val="en-US" w:eastAsia="zh-CN"/>
              </w:rPr>
            </w:pPr>
          </w:p>
        </w:tc>
        <w:tc>
          <w:tcPr>
            <w:tcW w:w="2841" w:type="dxa"/>
            <w:vMerge w:val="continue"/>
            <w:vAlign w:val="center"/>
          </w:tcPr>
          <w:p>
            <w:pPr>
              <w:pStyle w:val="11"/>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default" w:ascii="黑体" w:hAnsi="黑体" w:eastAsia="黑体" w:cs="黑体"/>
                <w:color w:val="000000"/>
                <w:kern w:val="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180" w:type="dxa"/>
            <w:vAlign w:val="center"/>
          </w:tcPr>
          <w:p>
            <w:pPr>
              <w:widowControl w:val="0"/>
              <w:numPr>
                <w:ilvl w:val="0"/>
                <w:numId w:val="0"/>
              </w:numPr>
              <w:adjustRightInd w:val="0"/>
              <w:snapToGrid w:val="0"/>
              <w:spacing w:beforeLines="0" w:after="0" w:afterLines="0" w:line="560" w:lineRule="exact"/>
              <w:jc w:val="center"/>
              <w:rPr>
                <w:rFonts w:hint="default"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上虞区</w:t>
            </w:r>
          </w:p>
        </w:tc>
        <w:tc>
          <w:tcPr>
            <w:tcW w:w="3501" w:type="dxa"/>
            <w:vMerge w:val="continue"/>
            <w:vAlign w:val="center"/>
          </w:tcPr>
          <w:p>
            <w:pPr>
              <w:pStyle w:val="11"/>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default" w:ascii="黑体" w:hAnsi="黑体" w:eastAsia="黑体" w:cs="黑体"/>
                <w:color w:val="000000"/>
                <w:kern w:val="2"/>
                <w:sz w:val="32"/>
                <w:szCs w:val="32"/>
                <w:vertAlign w:val="baseline"/>
                <w:lang w:val="en-US" w:eastAsia="zh-CN"/>
              </w:rPr>
            </w:pPr>
          </w:p>
        </w:tc>
        <w:tc>
          <w:tcPr>
            <w:tcW w:w="2841" w:type="dxa"/>
            <w:vMerge w:val="continue"/>
            <w:vAlign w:val="center"/>
          </w:tcPr>
          <w:p>
            <w:pPr>
              <w:pStyle w:val="11"/>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default" w:ascii="黑体" w:hAnsi="黑体" w:eastAsia="黑体" w:cs="黑体"/>
                <w:color w:val="000000"/>
                <w:kern w:val="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180" w:type="dxa"/>
            <w:vAlign w:val="center"/>
          </w:tcPr>
          <w:p>
            <w:pPr>
              <w:widowControl w:val="0"/>
              <w:numPr>
                <w:ilvl w:val="0"/>
                <w:numId w:val="0"/>
              </w:numPr>
              <w:adjustRightInd w:val="0"/>
              <w:snapToGrid w:val="0"/>
              <w:spacing w:beforeLines="0" w:after="0" w:afterLines="0" w:line="560" w:lineRule="exact"/>
              <w:jc w:val="center"/>
              <w:rPr>
                <w:rFonts w:hint="eastAsia"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滨海新区</w:t>
            </w:r>
          </w:p>
        </w:tc>
        <w:tc>
          <w:tcPr>
            <w:tcW w:w="3501" w:type="dxa"/>
            <w:vMerge w:val="continue"/>
            <w:vAlign w:val="center"/>
          </w:tcPr>
          <w:p>
            <w:pPr>
              <w:pStyle w:val="11"/>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default" w:ascii="黑体" w:hAnsi="黑体" w:eastAsia="黑体" w:cs="黑体"/>
                <w:color w:val="000000"/>
                <w:kern w:val="2"/>
                <w:sz w:val="32"/>
                <w:szCs w:val="32"/>
                <w:vertAlign w:val="baseline"/>
                <w:lang w:val="en-US" w:eastAsia="zh-CN"/>
              </w:rPr>
            </w:pPr>
          </w:p>
        </w:tc>
        <w:tc>
          <w:tcPr>
            <w:tcW w:w="2841" w:type="dxa"/>
            <w:vMerge w:val="continue"/>
            <w:vAlign w:val="center"/>
          </w:tcPr>
          <w:p>
            <w:pPr>
              <w:pStyle w:val="11"/>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default" w:ascii="黑体" w:hAnsi="黑体" w:eastAsia="黑体" w:cs="黑体"/>
                <w:color w:val="000000"/>
                <w:kern w:val="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180" w:type="dxa"/>
            <w:vAlign w:val="center"/>
          </w:tcPr>
          <w:p>
            <w:pPr>
              <w:widowControl w:val="0"/>
              <w:numPr>
                <w:ilvl w:val="0"/>
                <w:numId w:val="0"/>
              </w:numPr>
              <w:adjustRightInd w:val="0"/>
              <w:snapToGrid w:val="0"/>
              <w:spacing w:beforeLines="0" w:after="0" w:afterLines="0" w:line="560" w:lineRule="exact"/>
              <w:jc w:val="center"/>
              <w:rPr>
                <w:rFonts w:hint="default"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诸暨市</w:t>
            </w:r>
          </w:p>
        </w:tc>
        <w:tc>
          <w:tcPr>
            <w:tcW w:w="3501" w:type="dxa"/>
            <w:vMerge w:val="restart"/>
            <w:vAlign w:val="center"/>
          </w:tcPr>
          <w:p>
            <w:pPr>
              <w:pStyle w:val="11"/>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default" w:ascii="黑体" w:hAnsi="黑体" w:eastAsia="黑体" w:cs="黑体"/>
                <w:color w:val="000000"/>
                <w:kern w:val="2"/>
                <w:sz w:val="32"/>
                <w:szCs w:val="32"/>
                <w:vertAlign w:val="baseline"/>
                <w:lang w:val="en-US" w:eastAsia="zh-CN"/>
              </w:rPr>
            </w:pPr>
            <w:r>
              <w:rPr>
                <w:rFonts w:hint="eastAsia" w:ascii="Times New Roman" w:hAnsi="Times New Roman" w:eastAsia="仿宋_GB2312" w:cs="Times New Roman"/>
                <w:color w:val="000000"/>
                <w:kern w:val="2"/>
                <w:sz w:val="32"/>
                <w:szCs w:val="32"/>
                <w:lang w:val="en-US" w:eastAsia="zh-CN" w:bidi="ar-SA"/>
              </w:rPr>
              <w:t>30-60</w:t>
            </w:r>
          </w:p>
        </w:tc>
        <w:tc>
          <w:tcPr>
            <w:tcW w:w="2841" w:type="dxa"/>
            <w:vMerge w:val="restart"/>
            <w:vAlign w:val="center"/>
          </w:tcPr>
          <w:p>
            <w:pPr>
              <w:pStyle w:val="11"/>
              <w:keepNext w:val="0"/>
              <w:keepLines w:val="0"/>
              <w:pageBreakBefore w:val="0"/>
              <w:widowControl/>
              <w:kinsoku/>
              <w:wordWrap/>
              <w:overflowPunct/>
              <w:topLinePunct w:val="0"/>
              <w:autoSpaceDE/>
              <w:autoSpaceDN/>
              <w:bidi w:val="0"/>
              <w:adjustRightInd w:val="0"/>
              <w:snapToGrid w:val="0"/>
              <w:spacing w:after="0" w:line="520" w:lineRule="exact"/>
              <w:jc w:val="center"/>
              <w:textAlignment w:val="auto"/>
              <w:rPr>
                <w:rFonts w:hint="default" w:ascii="黑体" w:hAnsi="黑体" w:eastAsia="黑体" w:cs="黑体"/>
                <w:color w:val="000000"/>
                <w:kern w:val="2"/>
                <w:sz w:val="32"/>
                <w:szCs w:val="32"/>
                <w:vertAlign w:val="baseline"/>
                <w:lang w:val="en-US" w:eastAsia="zh-CN"/>
              </w:rPr>
            </w:pPr>
            <w:r>
              <w:rPr>
                <w:rFonts w:hint="eastAsia" w:ascii="Times New Roman" w:hAnsi="Times New Roman" w:eastAsia="仿宋_GB2312" w:cs="Times New Roman"/>
                <w:color w:val="000000"/>
                <w:kern w:val="2"/>
                <w:sz w:val="32"/>
                <w:szCs w:val="32"/>
                <w:lang w:val="en-US" w:eastAsia="zh-CN" w:bidi="ar-SA"/>
              </w:rPr>
              <w:t>80-110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180" w:type="dxa"/>
            <w:vAlign w:val="center"/>
          </w:tcPr>
          <w:p>
            <w:pPr>
              <w:widowControl w:val="0"/>
              <w:numPr>
                <w:ilvl w:val="0"/>
                <w:numId w:val="0"/>
              </w:numPr>
              <w:adjustRightInd w:val="0"/>
              <w:snapToGrid w:val="0"/>
              <w:spacing w:beforeLines="0" w:after="0" w:afterLines="0" w:line="560" w:lineRule="exact"/>
              <w:jc w:val="center"/>
              <w:rPr>
                <w:rFonts w:hint="default"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嵊州市</w:t>
            </w:r>
          </w:p>
        </w:tc>
        <w:tc>
          <w:tcPr>
            <w:tcW w:w="3501" w:type="dxa"/>
            <w:vMerge w:val="continue"/>
          </w:tcPr>
          <w:p>
            <w:pPr>
              <w:pStyle w:val="11"/>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default" w:ascii="黑体" w:hAnsi="黑体" w:eastAsia="黑体" w:cs="黑体"/>
                <w:color w:val="000000"/>
                <w:kern w:val="2"/>
                <w:sz w:val="32"/>
                <w:szCs w:val="32"/>
                <w:vertAlign w:val="baseline"/>
                <w:lang w:val="en-US" w:eastAsia="zh-CN"/>
              </w:rPr>
            </w:pPr>
          </w:p>
        </w:tc>
        <w:tc>
          <w:tcPr>
            <w:tcW w:w="2841" w:type="dxa"/>
            <w:vMerge w:val="continue"/>
          </w:tcPr>
          <w:p>
            <w:pPr>
              <w:pStyle w:val="11"/>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default" w:ascii="黑体" w:hAnsi="黑体" w:eastAsia="黑体" w:cs="黑体"/>
                <w:color w:val="000000"/>
                <w:kern w:val="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2180" w:type="dxa"/>
            <w:vAlign w:val="center"/>
          </w:tcPr>
          <w:p>
            <w:pPr>
              <w:widowControl w:val="0"/>
              <w:numPr>
                <w:ilvl w:val="0"/>
                <w:numId w:val="0"/>
              </w:numPr>
              <w:adjustRightInd w:val="0"/>
              <w:snapToGrid w:val="0"/>
              <w:spacing w:beforeLines="0" w:after="0" w:afterLines="0" w:line="560" w:lineRule="exact"/>
              <w:jc w:val="center"/>
              <w:rPr>
                <w:rFonts w:hint="default" w:ascii="Times New Roman" w:hAnsi="Times New Roman" w:eastAsia="仿宋_GB2312" w:cs="Times New Roman"/>
                <w:color w:val="000000"/>
                <w:kern w:val="2"/>
                <w:sz w:val="32"/>
                <w:szCs w:val="32"/>
                <w:lang w:val="en-US" w:eastAsia="zh-CN"/>
              </w:rPr>
            </w:pPr>
            <w:r>
              <w:rPr>
                <w:rFonts w:hint="eastAsia" w:ascii="Times New Roman" w:hAnsi="Times New Roman" w:eastAsia="仿宋_GB2312" w:cs="Times New Roman"/>
                <w:color w:val="000000"/>
                <w:kern w:val="2"/>
                <w:sz w:val="32"/>
                <w:szCs w:val="32"/>
                <w:lang w:val="en-US" w:eastAsia="zh-CN"/>
              </w:rPr>
              <w:t>新昌县</w:t>
            </w:r>
          </w:p>
        </w:tc>
        <w:tc>
          <w:tcPr>
            <w:tcW w:w="3501" w:type="dxa"/>
            <w:vMerge w:val="continue"/>
          </w:tcPr>
          <w:p>
            <w:pPr>
              <w:pStyle w:val="11"/>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default" w:ascii="黑体" w:hAnsi="黑体" w:eastAsia="黑体" w:cs="黑体"/>
                <w:color w:val="000000"/>
                <w:kern w:val="2"/>
                <w:sz w:val="32"/>
                <w:szCs w:val="32"/>
                <w:vertAlign w:val="baseline"/>
                <w:lang w:val="en-US" w:eastAsia="zh-CN"/>
              </w:rPr>
            </w:pPr>
          </w:p>
        </w:tc>
        <w:tc>
          <w:tcPr>
            <w:tcW w:w="2841" w:type="dxa"/>
            <w:vMerge w:val="continue"/>
          </w:tcPr>
          <w:p>
            <w:pPr>
              <w:pStyle w:val="11"/>
              <w:keepNext w:val="0"/>
              <w:keepLines w:val="0"/>
              <w:pageBreakBefore w:val="0"/>
              <w:widowControl/>
              <w:kinsoku/>
              <w:wordWrap/>
              <w:overflowPunct/>
              <w:topLinePunct w:val="0"/>
              <w:autoSpaceDE/>
              <w:autoSpaceDN/>
              <w:bidi w:val="0"/>
              <w:adjustRightInd w:val="0"/>
              <w:snapToGrid w:val="0"/>
              <w:spacing w:after="0" w:line="520" w:lineRule="exact"/>
              <w:jc w:val="both"/>
              <w:textAlignment w:val="auto"/>
              <w:rPr>
                <w:rFonts w:hint="default" w:ascii="黑体" w:hAnsi="黑体" w:eastAsia="黑体" w:cs="黑体"/>
                <w:color w:val="000000"/>
                <w:kern w:val="2"/>
                <w:sz w:val="32"/>
                <w:szCs w:val="32"/>
                <w:vertAlign w:val="baseline"/>
                <w:lang w:val="en-US" w:eastAsia="zh-CN"/>
              </w:rPr>
            </w:pPr>
          </w:p>
        </w:tc>
      </w:tr>
    </w:tbl>
    <w:p>
      <w:pPr>
        <w:pStyle w:val="11"/>
        <w:rPr>
          <w:rFonts w:hint="default" w:ascii="黑体" w:hAnsi="黑体" w:eastAsia="黑体" w:cs="黑体"/>
          <w:color w:val="000000"/>
          <w:kern w:val="2"/>
          <w:sz w:val="32"/>
          <w:szCs w:val="32"/>
          <w:lang w:val="en-US" w:eastAsia="zh-CN"/>
        </w:rPr>
      </w:pPr>
    </w:p>
    <w:p>
      <w:pPr>
        <w:pStyle w:val="11"/>
        <w:rPr>
          <w:rFonts w:hint="default" w:ascii="黑体" w:hAnsi="黑体" w:eastAsia="黑体" w:cs="黑体"/>
          <w:color w:val="000000"/>
          <w:kern w:val="2"/>
          <w:sz w:val="32"/>
          <w:szCs w:val="32"/>
          <w:lang w:val="en-US" w:eastAsia="zh-CN"/>
        </w:rPr>
      </w:pPr>
    </w:p>
    <w:p>
      <w:pPr>
        <w:widowControl w:val="0"/>
        <w:numPr>
          <w:ilvl w:val="0"/>
          <w:numId w:val="0"/>
        </w:numPr>
        <w:adjustRightInd w:val="0"/>
        <w:snapToGrid w:val="0"/>
        <w:spacing w:beforeLines="0" w:after="0" w:afterLines="0" w:line="560" w:lineRule="exact"/>
        <w:jc w:val="both"/>
        <w:rPr>
          <w:rFonts w:hint="eastAsia" w:ascii="黑体" w:hAnsi="黑体" w:eastAsia="黑体" w:cs="黑体"/>
          <w:color w:val="000000"/>
          <w:kern w:val="2"/>
          <w:sz w:val="32"/>
          <w:szCs w:val="32"/>
          <w:lang w:val="en-US" w:eastAsia="zh-CN"/>
        </w:rPr>
      </w:pPr>
      <w:r>
        <w:rPr>
          <w:rFonts w:hint="eastAsia" w:ascii="黑体" w:hAnsi="黑体" w:eastAsia="黑体" w:cs="黑体"/>
          <w:color w:val="000000"/>
          <w:kern w:val="2"/>
          <w:sz w:val="32"/>
          <w:szCs w:val="32"/>
          <w:lang w:val="en-US" w:eastAsia="zh-CN"/>
        </w:rPr>
        <w:t>附件2</w:t>
      </w:r>
    </w:p>
    <w:p>
      <w:pPr>
        <w:pStyle w:val="11"/>
        <w:keepNext w:val="0"/>
        <w:keepLines w:val="0"/>
        <w:pageBreakBefore w:val="0"/>
        <w:widowControl/>
        <w:kinsoku/>
        <w:wordWrap/>
        <w:overflowPunct/>
        <w:topLinePunct w:val="0"/>
        <w:autoSpaceDE/>
        <w:autoSpaceDN/>
        <w:bidi w:val="0"/>
        <w:adjustRightInd w:val="0"/>
        <w:snapToGrid w:val="0"/>
        <w:spacing w:after="0"/>
        <w:textAlignment w:val="auto"/>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Times New Roman" w:hAnsi="Times New Roman" w:eastAsia="方正小标宋简体" w:cs="Times New Roman"/>
          <w:b w:val="0"/>
          <w:bCs/>
          <w:sz w:val="44"/>
          <w:szCs w:val="44"/>
          <w:lang w:val="en-US" w:eastAsia="zh-CN"/>
        </w:rPr>
      </w:pPr>
      <w:r>
        <w:rPr>
          <w:rFonts w:hint="eastAsia" w:ascii="Times New Roman" w:hAnsi="Times New Roman" w:eastAsia="方正小标宋简体" w:cs="Times New Roman"/>
          <w:b w:val="0"/>
          <w:bCs/>
          <w:sz w:val="44"/>
          <w:szCs w:val="44"/>
          <w:lang w:val="en-US" w:eastAsia="zh-CN"/>
        </w:rPr>
        <w:t>国家规定的城市基础设施配套费减免政策</w:t>
      </w:r>
    </w:p>
    <w:tbl>
      <w:tblPr>
        <w:tblStyle w:val="10"/>
        <w:tblpPr w:leftFromText="180" w:rightFromText="180" w:vertAnchor="text" w:horzAnchor="page" w:tblpX="1558" w:tblpY="251"/>
        <w:tblOverlap w:val="never"/>
        <w:tblW w:w="8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1532"/>
        <w:gridCol w:w="2202"/>
        <w:gridCol w:w="2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blHeader/>
        </w:trPr>
        <w:tc>
          <w:tcPr>
            <w:tcW w:w="232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default" w:ascii="黑体" w:hAnsi="黑体" w:eastAsia="黑体" w:cs="黑体"/>
                <w:color w:val="000000"/>
                <w:kern w:val="2"/>
                <w:sz w:val="28"/>
                <w:szCs w:val="28"/>
                <w:vertAlign w:val="baseline"/>
                <w:lang w:val="en-US" w:eastAsia="zh-CN"/>
              </w:rPr>
            </w:pPr>
            <w:r>
              <w:rPr>
                <w:rFonts w:hint="eastAsia" w:ascii="黑体" w:hAnsi="黑体" w:eastAsia="黑体" w:cs="黑体"/>
                <w:color w:val="000000"/>
                <w:kern w:val="2"/>
                <w:sz w:val="28"/>
                <w:szCs w:val="28"/>
                <w:vertAlign w:val="baseline"/>
                <w:lang w:val="en-US" w:eastAsia="zh-CN"/>
              </w:rPr>
              <w:t>项目名称</w:t>
            </w:r>
          </w:p>
        </w:tc>
        <w:tc>
          <w:tcPr>
            <w:tcW w:w="1532"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default" w:ascii="黑体" w:hAnsi="黑体" w:eastAsia="黑体" w:cs="黑体"/>
                <w:color w:val="000000"/>
                <w:kern w:val="2"/>
                <w:sz w:val="28"/>
                <w:szCs w:val="28"/>
                <w:vertAlign w:val="baseline"/>
                <w:lang w:val="en-US" w:eastAsia="zh-CN"/>
              </w:rPr>
            </w:pPr>
            <w:r>
              <w:rPr>
                <w:rFonts w:hint="eastAsia" w:ascii="黑体" w:hAnsi="黑体" w:eastAsia="黑体" w:cs="黑体"/>
                <w:color w:val="000000"/>
                <w:kern w:val="2"/>
                <w:sz w:val="28"/>
                <w:szCs w:val="28"/>
                <w:vertAlign w:val="baseline"/>
                <w:lang w:val="en-US" w:eastAsia="zh-CN"/>
              </w:rPr>
              <w:t>减免方式</w:t>
            </w:r>
          </w:p>
        </w:tc>
        <w:tc>
          <w:tcPr>
            <w:tcW w:w="2202"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default" w:ascii="黑体" w:hAnsi="黑体" w:eastAsia="黑体" w:cs="黑体"/>
                <w:color w:val="000000"/>
                <w:kern w:val="2"/>
                <w:sz w:val="28"/>
                <w:szCs w:val="28"/>
                <w:vertAlign w:val="baseline"/>
                <w:lang w:val="en-US" w:eastAsia="zh-CN"/>
              </w:rPr>
            </w:pPr>
            <w:r>
              <w:rPr>
                <w:rFonts w:hint="eastAsia" w:ascii="黑体" w:hAnsi="黑体" w:eastAsia="黑体" w:cs="黑体"/>
                <w:color w:val="000000"/>
                <w:kern w:val="2"/>
                <w:sz w:val="28"/>
                <w:szCs w:val="28"/>
                <w:vertAlign w:val="baseline"/>
                <w:lang w:val="en-US" w:eastAsia="zh-CN"/>
              </w:rPr>
              <w:t>文件依据</w:t>
            </w:r>
          </w:p>
        </w:tc>
        <w:tc>
          <w:tcPr>
            <w:tcW w:w="292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80" w:lineRule="exact"/>
              <w:jc w:val="center"/>
              <w:textAlignment w:val="auto"/>
              <w:rPr>
                <w:rFonts w:hint="default" w:ascii="黑体" w:hAnsi="黑体" w:eastAsia="黑体" w:cs="黑体"/>
                <w:color w:val="000000"/>
                <w:kern w:val="2"/>
                <w:sz w:val="28"/>
                <w:szCs w:val="28"/>
                <w:vertAlign w:val="baseline"/>
                <w:lang w:val="en-US" w:eastAsia="zh-CN"/>
              </w:rPr>
            </w:pPr>
            <w:r>
              <w:rPr>
                <w:rFonts w:hint="eastAsia" w:ascii="黑体" w:hAnsi="黑体" w:eastAsia="黑体" w:cs="黑体"/>
                <w:color w:val="000000"/>
                <w:kern w:val="2"/>
                <w:sz w:val="28"/>
                <w:szCs w:val="28"/>
                <w:vertAlign w:val="baseline"/>
                <w:lang w:val="en-US"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8" w:hRule="atLeast"/>
        </w:trPr>
        <w:tc>
          <w:tcPr>
            <w:tcW w:w="232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廉租住房和经济适用房建设、户区改造、旧住宅区整治项目</w:t>
            </w:r>
          </w:p>
        </w:tc>
        <w:tc>
          <w:tcPr>
            <w:tcW w:w="1532"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免征</w:t>
            </w:r>
          </w:p>
        </w:tc>
        <w:tc>
          <w:tcPr>
            <w:tcW w:w="2202"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国发</w:t>
            </w:r>
            <w:r>
              <w:rPr>
                <w:rFonts w:hint="eastAsia" w:ascii="Times New Roman" w:hAnsi="Times New Roman" w:eastAsia="仿宋_GB2312" w:cs="Times New Roman"/>
                <w:color w:val="000000"/>
                <w:kern w:val="2"/>
                <w:sz w:val="28"/>
                <w:szCs w:val="28"/>
                <w:lang w:val="en-US" w:eastAsia="zh-CN"/>
              </w:rPr>
              <w:t>〔</w:t>
            </w:r>
            <w:r>
              <w:rPr>
                <w:rFonts w:hint="default" w:ascii="Times New Roman" w:hAnsi="Times New Roman" w:eastAsia="仿宋_GB2312" w:cs="Times New Roman"/>
                <w:color w:val="000000"/>
                <w:kern w:val="2"/>
                <w:sz w:val="28"/>
                <w:szCs w:val="28"/>
                <w:lang w:val="en-US" w:eastAsia="zh-CN" w:bidi="ar-SA"/>
              </w:rPr>
              <w:t>2007</w:t>
            </w:r>
            <w:r>
              <w:rPr>
                <w:rFonts w:hint="eastAsia" w:ascii="Times New Roman" w:hAnsi="Times New Roman" w:eastAsia="仿宋_GB2312" w:cs="Times New Roman"/>
                <w:color w:val="000000"/>
                <w:kern w:val="2"/>
                <w:sz w:val="28"/>
                <w:szCs w:val="28"/>
                <w:lang w:val="en-US" w:eastAsia="zh-CN"/>
              </w:rPr>
              <w:t>〕</w:t>
            </w:r>
            <w:r>
              <w:rPr>
                <w:rFonts w:hint="default" w:ascii="Times New Roman" w:hAnsi="Times New Roman" w:eastAsia="仿宋_GB2312" w:cs="Times New Roman"/>
                <w:color w:val="000000"/>
                <w:kern w:val="2"/>
                <w:sz w:val="28"/>
                <w:szCs w:val="28"/>
                <w:lang w:val="en-US" w:eastAsia="zh-CN" w:bidi="ar-SA"/>
              </w:rPr>
              <w:t>24号</w:t>
            </w:r>
          </w:p>
        </w:tc>
        <w:tc>
          <w:tcPr>
            <w:tcW w:w="292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i w:val="0"/>
                <w:caps w:val="0"/>
                <w:color w:val="000000"/>
                <w:spacing w:val="0"/>
                <w:sz w:val="28"/>
                <w:szCs w:val="28"/>
                <w:shd w:val="clear" w:color="auto" w:fill="auto"/>
                <w:lang w:val="en-US" w:eastAsia="zh-CN" w:bidi="ar-SA"/>
              </w:rPr>
              <w:t>“（</w:t>
            </w:r>
            <w:r>
              <w:rPr>
                <w:rFonts w:hint="default" w:ascii="Times New Roman" w:hAnsi="Times New Roman" w:eastAsia="仿宋_GB2312" w:cs="Times New Roman"/>
                <w:i w:val="0"/>
                <w:caps w:val="0"/>
                <w:color w:val="000000"/>
                <w:spacing w:val="0"/>
                <w:sz w:val="28"/>
                <w:szCs w:val="28"/>
                <w:shd w:val="clear" w:color="auto" w:fill="auto"/>
                <w:lang w:val="en-US" w:eastAsia="zh-CN" w:bidi="ar-SA"/>
              </w:rPr>
              <w:t>十六</w:t>
            </w:r>
            <w:r>
              <w:rPr>
                <w:rFonts w:hint="eastAsia" w:ascii="Times New Roman" w:hAnsi="Times New Roman" w:eastAsia="仿宋_GB2312" w:cs="Times New Roman"/>
                <w:i w:val="0"/>
                <w:caps w:val="0"/>
                <w:color w:val="000000"/>
                <w:spacing w:val="0"/>
                <w:sz w:val="28"/>
                <w:szCs w:val="28"/>
                <w:shd w:val="clear" w:color="auto" w:fill="auto"/>
                <w:lang w:val="en-US" w:eastAsia="zh-CN" w:bidi="ar-SA"/>
              </w:rPr>
              <w:t>）</w:t>
            </w:r>
            <w:r>
              <w:rPr>
                <w:rFonts w:hint="default" w:ascii="Times New Roman" w:hAnsi="Times New Roman" w:eastAsia="仿宋_GB2312" w:cs="Times New Roman"/>
                <w:i w:val="0"/>
                <w:caps w:val="0"/>
                <w:color w:val="000000"/>
                <w:spacing w:val="0"/>
                <w:sz w:val="28"/>
                <w:szCs w:val="28"/>
                <w:shd w:val="clear" w:color="auto" w:fill="auto"/>
                <w:lang w:val="en-US" w:eastAsia="zh-CN" w:bidi="ar-SA"/>
              </w:rPr>
              <w:t>一是廉租住房和经济适用住房建设、棚户区改造、旧住宅区整治一律免收城市基础设施配套费等各种行政事业性收费和政府性基金。</w:t>
            </w:r>
            <w:r>
              <w:rPr>
                <w:rFonts w:hint="eastAsia" w:ascii="Times New Roman" w:hAnsi="Times New Roman" w:eastAsia="仿宋_GB2312" w:cs="Times New Roman"/>
                <w:i w:val="0"/>
                <w:caps w:val="0"/>
                <w:color w:val="000000"/>
                <w:spacing w:val="0"/>
                <w:sz w:val="28"/>
                <w:szCs w:val="28"/>
                <w:shd w:val="clear" w:color="auto" w:fill="auto"/>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2" w:hRule="atLeast"/>
        </w:trPr>
        <w:tc>
          <w:tcPr>
            <w:tcW w:w="232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廉租住房、公共租赁住房、经济适用房住房和棚户区改造安置住房</w:t>
            </w:r>
          </w:p>
        </w:tc>
        <w:tc>
          <w:tcPr>
            <w:tcW w:w="1532"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免征</w:t>
            </w:r>
          </w:p>
        </w:tc>
        <w:tc>
          <w:tcPr>
            <w:tcW w:w="2202"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国</w:t>
            </w:r>
            <w:r>
              <w:rPr>
                <w:rFonts w:hint="eastAsia" w:ascii="Times New Roman" w:hAnsi="Times New Roman" w:eastAsia="仿宋_GB2312" w:cs="Times New Roman"/>
                <w:color w:val="000000"/>
                <w:kern w:val="2"/>
                <w:sz w:val="28"/>
                <w:szCs w:val="28"/>
                <w:lang w:val="en-US" w:eastAsia="zh-CN" w:bidi="ar-SA"/>
              </w:rPr>
              <w:t>办</w:t>
            </w:r>
            <w:r>
              <w:rPr>
                <w:rFonts w:hint="default" w:ascii="Times New Roman" w:hAnsi="Times New Roman" w:eastAsia="仿宋_GB2312" w:cs="Times New Roman"/>
                <w:color w:val="000000"/>
                <w:kern w:val="2"/>
                <w:sz w:val="28"/>
                <w:szCs w:val="28"/>
                <w:lang w:val="en-US" w:eastAsia="zh-CN" w:bidi="ar-SA"/>
              </w:rPr>
              <w:t>发</w:t>
            </w:r>
            <w:r>
              <w:rPr>
                <w:rFonts w:hint="eastAsia" w:ascii="Times New Roman" w:hAnsi="Times New Roman" w:eastAsia="仿宋_GB2312" w:cs="Times New Roman"/>
                <w:color w:val="000000"/>
                <w:kern w:val="2"/>
                <w:sz w:val="28"/>
                <w:szCs w:val="28"/>
                <w:lang w:val="en-US" w:eastAsia="zh-CN"/>
              </w:rPr>
              <w:t>〔</w:t>
            </w:r>
            <w:r>
              <w:rPr>
                <w:rFonts w:hint="default" w:ascii="Times New Roman" w:hAnsi="Times New Roman" w:eastAsia="仿宋_GB2312" w:cs="Times New Roman"/>
                <w:color w:val="000000"/>
                <w:kern w:val="2"/>
                <w:sz w:val="28"/>
                <w:szCs w:val="28"/>
                <w:lang w:val="en-US" w:eastAsia="zh-CN" w:bidi="ar-SA"/>
              </w:rPr>
              <w:t>20</w:t>
            </w:r>
            <w:r>
              <w:rPr>
                <w:rFonts w:hint="eastAsia" w:ascii="Times New Roman" w:hAnsi="Times New Roman" w:eastAsia="仿宋_GB2312" w:cs="Times New Roman"/>
                <w:color w:val="000000"/>
                <w:kern w:val="2"/>
                <w:sz w:val="28"/>
                <w:szCs w:val="28"/>
                <w:lang w:val="en-US" w:eastAsia="zh-CN" w:bidi="ar-SA"/>
              </w:rPr>
              <w:t>11</w:t>
            </w:r>
            <w:r>
              <w:rPr>
                <w:rFonts w:hint="eastAsia" w:ascii="Times New Roman" w:hAnsi="Times New Roman" w:eastAsia="仿宋_GB2312" w:cs="Times New Roman"/>
                <w:color w:val="000000"/>
                <w:kern w:val="2"/>
                <w:sz w:val="28"/>
                <w:szCs w:val="28"/>
                <w:lang w:val="en-US" w:eastAsia="zh-CN"/>
              </w:rPr>
              <w:t>〕</w:t>
            </w:r>
            <w:r>
              <w:rPr>
                <w:rFonts w:hint="eastAsia" w:ascii="Times New Roman" w:hAnsi="Times New Roman" w:eastAsia="仿宋_GB2312" w:cs="Times New Roman"/>
                <w:color w:val="000000"/>
                <w:kern w:val="2"/>
                <w:sz w:val="28"/>
                <w:szCs w:val="28"/>
                <w:lang w:val="en-US" w:eastAsia="zh-CN" w:bidi="ar-SA"/>
              </w:rPr>
              <w:t>45</w:t>
            </w:r>
            <w:r>
              <w:rPr>
                <w:rFonts w:hint="default" w:ascii="Times New Roman" w:hAnsi="Times New Roman" w:eastAsia="仿宋_GB2312" w:cs="Times New Roman"/>
                <w:color w:val="000000"/>
                <w:kern w:val="2"/>
                <w:sz w:val="28"/>
                <w:szCs w:val="28"/>
                <w:lang w:val="en-US" w:eastAsia="zh-CN" w:bidi="ar-SA"/>
              </w:rPr>
              <w:t>号</w:t>
            </w:r>
          </w:p>
        </w:tc>
        <w:tc>
          <w:tcPr>
            <w:tcW w:w="292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五</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落实税费减免政策，对廉租住房、公共租赁住房、经济适用住房和棚户区改造安置住房，要切实落实现行建设、买卖、经营等环节税收优惠政策，免收城市基础设施配套费等各种行政事业性收费和政府性基金</w:t>
            </w:r>
            <w:r>
              <w:rPr>
                <w:rFonts w:hint="eastAsia" w:ascii="Times New Roman" w:hAnsi="Times New Roman" w:eastAsia="仿宋_GB2312" w:cs="Times New Roman"/>
                <w:color w:val="00000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4" w:hRule="atLeast"/>
        </w:trPr>
        <w:tc>
          <w:tcPr>
            <w:tcW w:w="232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军队后勤保障社会化需要配套改造的项目</w:t>
            </w:r>
          </w:p>
        </w:tc>
        <w:tc>
          <w:tcPr>
            <w:tcW w:w="1532"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免征</w:t>
            </w:r>
          </w:p>
        </w:tc>
        <w:tc>
          <w:tcPr>
            <w:tcW w:w="2202"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国发</w:t>
            </w:r>
            <w:r>
              <w:rPr>
                <w:rFonts w:hint="eastAsia" w:ascii="Times New Roman" w:hAnsi="Times New Roman" w:eastAsia="仿宋_GB2312" w:cs="Times New Roman"/>
                <w:color w:val="000000"/>
                <w:kern w:val="2"/>
                <w:sz w:val="28"/>
                <w:szCs w:val="28"/>
                <w:lang w:val="en-US" w:eastAsia="zh-CN"/>
              </w:rPr>
              <w:t>〔</w:t>
            </w:r>
            <w:r>
              <w:rPr>
                <w:rFonts w:hint="default" w:ascii="Times New Roman" w:hAnsi="Times New Roman" w:eastAsia="仿宋_GB2312" w:cs="Times New Roman"/>
                <w:color w:val="000000"/>
                <w:kern w:val="2"/>
                <w:sz w:val="28"/>
                <w:szCs w:val="28"/>
                <w:lang w:val="en-US" w:eastAsia="zh-CN" w:bidi="ar-SA"/>
              </w:rPr>
              <w:t>20</w:t>
            </w:r>
            <w:r>
              <w:rPr>
                <w:rFonts w:hint="eastAsia" w:ascii="Times New Roman" w:hAnsi="Times New Roman" w:eastAsia="仿宋_GB2312" w:cs="Times New Roman"/>
                <w:color w:val="000000"/>
                <w:kern w:val="2"/>
                <w:sz w:val="28"/>
                <w:szCs w:val="28"/>
                <w:lang w:val="en-US" w:eastAsia="zh-CN" w:bidi="ar-SA"/>
              </w:rPr>
              <w:t>02</w:t>
            </w:r>
            <w:r>
              <w:rPr>
                <w:rFonts w:hint="eastAsia" w:ascii="Times New Roman" w:hAnsi="Times New Roman" w:eastAsia="仿宋_GB2312" w:cs="Times New Roman"/>
                <w:color w:val="000000"/>
                <w:kern w:val="2"/>
                <w:sz w:val="28"/>
                <w:szCs w:val="28"/>
                <w:lang w:val="en-US" w:eastAsia="zh-CN"/>
              </w:rPr>
              <w:t>〕</w:t>
            </w:r>
            <w:r>
              <w:rPr>
                <w:rFonts w:hint="eastAsia" w:ascii="Times New Roman" w:hAnsi="Times New Roman" w:eastAsia="仿宋_GB2312" w:cs="Times New Roman"/>
                <w:color w:val="000000"/>
                <w:kern w:val="2"/>
                <w:sz w:val="28"/>
                <w:szCs w:val="28"/>
                <w:lang w:val="en-US" w:eastAsia="zh-CN" w:bidi="ar-SA"/>
              </w:rPr>
              <w:t>20</w:t>
            </w:r>
            <w:r>
              <w:rPr>
                <w:rFonts w:hint="default" w:ascii="Times New Roman" w:hAnsi="Times New Roman" w:eastAsia="仿宋_GB2312" w:cs="Times New Roman"/>
                <w:color w:val="000000"/>
                <w:kern w:val="2"/>
                <w:sz w:val="28"/>
                <w:szCs w:val="28"/>
                <w:lang w:val="en-US" w:eastAsia="zh-CN" w:bidi="ar-SA"/>
              </w:rPr>
              <w:t>号</w:t>
            </w:r>
          </w:p>
        </w:tc>
        <w:tc>
          <w:tcPr>
            <w:tcW w:w="292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一、关于营房保障</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二</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对军队后勤保障社会化需要配套改造的项目，免征城市基础设施配套费</w:t>
            </w:r>
            <w:r>
              <w:rPr>
                <w:rFonts w:hint="eastAsia" w:ascii="Times New Roman" w:hAnsi="Times New Roman" w:eastAsia="仿宋_GB2312" w:cs="Times New Roman"/>
                <w:color w:val="00000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4" w:hRule="atLeast"/>
        </w:trPr>
        <w:tc>
          <w:tcPr>
            <w:tcW w:w="232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城镇和农村、公立和民办、教育系统和非教育系统的所有中小学校(含幼儿园)校舍建设项目</w:t>
            </w:r>
            <w:r>
              <w:rPr>
                <w:rFonts w:hint="default" w:ascii="Times New Roman" w:hAnsi="Times New Roman" w:eastAsia="仿宋_GB2312" w:cs="Times New Roman"/>
                <w:color w:val="000000"/>
                <w:kern w:val="2"/>
                <w:sz w:val="28"/>
                <w:szCs w:val="28"/>
                <w:lang w:val="en-US" w:eastAsia="zh-CN" w:bidi="ar-SA"/>
              </w:rPr>
              <w:tab/>
            </w:r>
          </w:p>
        </w:tc>
        <w:tc>
          <w:tcPr>
            <w:tcW w:w="1532"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免征</w:t>
            </w:r>
          </w:p>
        </w:tc>
        <w:tc>
          <w:tcPr>
            <w:tcW w:w="2202"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国</w:t>
            </w:r>
            <w:r>
              <w:rPr>
                <w:rFonts w:hint="eastAsia" w:ascii="Times New Roman" w:hAnsi="Times New Roman" w:eastAsia="仿宋_GB2312" w:cs="Times New Roman"/>
                <w:color w:val="000000"/>
                <w:kern w:val="2"/>
                <w:sz w:val="28"/>
                <w:szCs w:val="28"/>
                <w:lang w:val="en-US" w:eastAsia="zh-CN" w:bidi="ar-SA"/>
              </w:rPr>
              <w:t>办</w:t>
            </w:r>
            <w:r>
              <w:rPr>
                <w:rFonts w:hint="default" w:ascii="Times New Roman" w:hAnsi="Times New Roman" w:eastAsia="仿宋_GB2312" w:cs="Times New Roman"/>
                <w:color w:val="000000"/>
                <w:kern w:val="2"/>
                <w:sz w:val="28"/>
                <w:szCs w:val="28"/>
                <w:lang w:val="en-US" w:eastAsia="zh-CN" w:bidi="ar-SA"/>
              </w:rPr>
              <w:t>发</w:t>
            </w:r>
            <w:r>
              <w:rPr>
                <w:rFonts w:hint="eastAsia" w:ascii="Times New Roman" w:hAnsi="Times New Roman" w:eastAsia="仿宋_GB2312" w:cs="Times New Roman"/>
                <w:color w:val="000000"/>
                <w:kern w:val="2"/>
                <w:sz w:val="28"/>
                <w:szCs w:val="28"/>
                <w:lang w:val="en-US" w:eastAsia="zh-CN"/>
              </w:rPr>
              <w:t>〔</w:t>
            </w:r>
            <w:r>
              <w:rPr>
                <w:rFonts w:hint="default" w:ascii="Times New Roman" w:hAnsi="Times New Roman" w:eastAsia="仿宋_GB2312" w:cs="Times New Roman"/>
                <w:color w:val="000000"/>
                <w:kern w:val="2"/>
                <w:sz w:val="28"/>
                <w:szCs w:val="28"/>
                <w:lang w:val="en-US" w:eastAsia="zh-CN" w:bidi="ar-SA"/>
              </w:rPr>
              <w:t>20</w:t>
            </w:r>
            <w:r>
              <w:rPr>
                <w:rFonts w:hint="eastAsia" w:ascii="Times New Roman" w:hAnsi="Times New Roman" w:eastAsia="仿宋_GB2312" w:cs="Times New Roman"/>
                <w:color w:val="000000"/>
                <w:kern w:val="2"/>
                <w:sz w:val="28"/>
                <w:szCs w:val="28"/>
                <w:lang w:val="en-US" w:eastAsia="zh-CN" w:bidi="ar-SA"/>
              </w:rPr>
              <w:t>13</w:t>
            </w:r>
            <w:r>
              <w:rPr>
                <w:rFonts w:hint="eastAsia" w:ascii="Times New Roman" w:hAnsi="Times New Roman" w:eastAsia="仿宋_GB2312" w:cs="Times New Roman"/>
                <w:color w:val="000000"/>
                <w:kern w:val="2"/>
                <w:sz w:val="28"/>
                <w:szCs w:val="28"/>
                <w:lang w:val="en-US" w:eastAsia="zh-CN"/>
              </w:rPr>
              <w:t>〕</w:t>
            </w:r>
            <w:r>
              <w:rPr>
                <w:rFonts w:hint="eastAsia" w:ascii="Times New Roman" w:hAnsi="Times New Roman" w:eastAsia="仿宋_GB2312" w:cs="Times New Roman"/>
                <w:color w:val="000000"/>
                <w:kern w:val="2"/>
                <w:sz w:val="28"/>
                <w:szCs w:val="28"/>
                <w:lang w:val="en-US" w:eastAsia="zh-CN" w:bidi="ar-SA"/>
              </w:rPr>
              <w:t>103</w:t>
            </w:r>
            <w:r>
              <w:rPr>
                <w:rFonts w:hint="default" w:ascii="Times New Roman" w:hAnsi="Times New Roman" w:eastAsia="仿宋_GB2312" w:cs="Times New Roman"/>
                <w:color w:val="000000"/>
                <w:kern w:val="2"/>
                <w:sz w:val="28"/>
                <w:szCs w:val="28"/>
                <w:lang w:val="en-US" w:eastAsia="zh-CN" w:bidi="ar-SA"/>
              </w:rPr>
              <w:t>号</w:t>
            </w:r>
          </w:p>
        </w:tc>
        <w:tc>
          <w:tcPr>
            <w:tcW w:w="292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“二、</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一</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覆盖范围</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全国城镇和农村、公立和民办、教育系统和非教育系统的所有中小学(含幼儿</w:t>
            </w:r>
            <w:r>
              <w:rPr>
                <w:rFonts w:hint="eastAsia" w:ascii="Times New Roman" w:hAnsi="Times New Roman" w:eastAsia="仿宋_GB2312" w:cs="Times New Roman"/>
                <w:color w:val="000000"/>
                <w:kern w:val="2"/>
                <w:sz w:val="28"/>
                <w:szCs w:val="28"/>
                <w:lang w:val="en-US" w:eastAsia="zh-CN" w:bidi="ar-SA"/>
              </w:rPr>
              <w:t>园）”“（</w:t>
            </w:r>
            <w:r>
              <w:rPr>
                <w:rFonts w:hint="default" w:ascii="Times New Roman" w:hAnsi="Times New Roman" w:eastAsia="仿宋_GB2312" w:cs="Times New Roman"/>
                <w:color w:val="000000"/>
                <w:kern w:val="2"/>
                <w:sz w:val="28"/>
                <w:szCs w:val="28"/>
                <w:lang w:val="en-US" w:eastAsia="zh-CN" w:bidi="ar-SA"/>
              </w:rPr>
              <w:t>三</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落实扶持鼓励政策，校舍建设项目涉及的行政事业性收费和政府性基金，应予以免收。</w:t>
            </w:r>
            <w:r>
              <w:rPr>
                <w:rFonts w:hint="eastAsia" w:ascii="Times New Roman" w:hAnsi="Times New Roman" w:eastAsia="仿宋_GB2312" w:cs="Times New Roman"/>
                <w:color w:val="00000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7" w:hRule="atLeast"/>
        </w:trPr>
        <w:tc>
          <w:tcPr>
            <w:tcW w:w="232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易地扶贫搬迁项</w:t>
            </w:r>
          </w:p>
        </w:tc>
        <w:tc>
          <w:tcPr>
            <w:tcW w:w="1532"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免征</w:t>
            </w:r>
          </w:p>
        </w:tc>
        <w:tc>
          <w:tcPr>
            <w:tcW w:w="2202"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财税</w:t>
            </w:r>
            <w:r>
              <w:rPr>
                <w:rFonts w:hint="eastAsia" w:ascii="Times New Roman" w:hAnsi="Times New Roman" w:eastAsia="仿宋_GB2312" w:cs="Times New Roman"/>
                <w:color w:val="000000"/>
                <w:kern w:val="2"/>
                <w:sz w:val="28"/>
                <w:szCs w:val="28"/>
                <w:lang w:val="en-US" w:eastAsia="zh-CN"/>
              </w:rPr>
              <w:t>〔</w:t>
            </w:r>
            <w:r>
              <w:rPr>
                <w:rFonts w:hint="default" w:ascii="Times New Roman" w:hAnsi="Times New Roman" w:eastAsia="仿宋_GB2312" w:cs="Times New Roman"/>
                <w:color w:val="000000"/>
                <w:kern w:val="2"/>
                <w:sz w:val="28"/>
                <w:szCs w:val="28"/>
                <w:lang w:val="en-US" w:eastAsia="zh-CN" w:bidi="ar-SA"/>
              </w:rPr>
              <w:t>20</w:t>
            </w:r>
            <w:r>
              <w:rPr>
                <w:rFonts w:hint="eastAsia" w:ascii="Times New Roman" w:hAnsi="Times New Roman" w:eastAsia="仿宋_GB2312" w:cs="Times New Roman"/>
                <w:color w:val="000000"/>
                <w:kern w:val="2"/>
                <w:sz w:val="28"/>
                <w:szCs w:val="28"/>
                <w:lang w:val="en-US" w:eastAsia="zh-CN" w:bidi="ar-SA"/>
              </w:rPr>
              <w:t>19</w:t>
            </w:r>
            <w:r>
              <w:rPr>
                <w:rFonts w:hint="eastAsia" w:ascii="Times New Roman" w:hAnsi="Times New Roman" w:eastAsia="仿宋_GB2312" w:cs="Times New Roman"/>
                <w:color w:val="000000"/>
                <w:kern w:val="2"/>
                <w:sz w:val="28"/>
                <w:szCs w:val="28"/>
                <w:lang w:val="en-US" w:eastAsia="zh-CN"/>
              </w:rPr>
              <w:t>〕</w:t>
            </w:r>
            <w:r>
              <w:rPr>
                <w:rFonts w:hint="eastAsia" w:ascii="Times New Roman" w:hAnsi="Times New Roman" w:eastAsia="仿宋_GB2312" w:cs="Times New Roman"/>
                <w:color w:val="000000"/>
                <w:kern w:val="2"/>
                <w:sz w:val="28"/>
                <w:szCs w:val="28"/>
                <w:lang w:val="en-US" w:eastAsia="zh-CN" w:bidi="ar-SA"/>
              </w:rPr>
              <w:t>53</w:t>
            </w:r>
            <w:r>
              <w:rPr>
                <w:rFonts w:hint="default" w:ascii="Times New Roman" w:hAnsi="Times New Roman" w:eastAsia="仿宋_GB2312" w:cs="Times New Roman"/>
                <w:color w:val="000000"/>
                <w:kern w:val="2"/>
                <w:sz w:val="28"/>
                <w:szCs w:val="28"/>
                <w:lang w:val="en-US" w:eastAsia="zh-CN" w:bidi="ar-SA"/>
              </w:rPr>
              <w:t>号</w:t>
            </w:r>
          </w:p>
        </w:tc>
        <w:tc>
          <w:tcPr>
            <w:tcW w:w="292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一</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对易地扶贫搬迁项目免征城市基础设施配套费、不动产登记费。</w:t>
            </w:r>
            <w:r>
              <w:rPr>
                <w:rFonts w:hint="eastAsia" w:ascii="Times New Roman" w:hAnsi="Times New Roman" w:eastAsia="仿宋_GB2312" w:cs="Times New Roman"/>
                <w:color w:val="00000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1" w:hRule="atLeast"/>
        </w:trPr>
        <w:tc>
          <w:tcPr>
            <w:tcW w:w="232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用于提供社区养老、托育、家政服务的建设项目</w:t>
            </w:r>
          </w:p>
        </w:tc>
        <w:tc>
          <w:tcPr>
            <w:tcW w:w="1532"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免征</w:t>
            </w:r>
          </w:p>
        </w:tc>
        <w:tc>
          <w:tcPr>
            <w:tcW w:w="2202"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财政部等6部门2019年第76号公告</w:t>
            </w:r>
          </w:p>
        </w:tc>
        <w:tc>
          <w:tcPr>
            <w:tcW w:w="292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用于提供社区养老、托育、家政服务的建设项目,免征城市基础设施配套费</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自2019年6月1日起执行至2025年12月31日</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w:t>
            </w:r>
            <w:r>
              <w:rPr>
                <w:rFonts w:hint="eastAsia" w:ascii="Times New Roman" w:hAnsi="Times New Roman" w:eastAsia="仿宋_GB2312" w:cs="Times New Roman"/>
                <w:color w:val="00000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1" w:hRule="atLeast"/>
        </w:trPr>
        <w:tc>
          <w:tcPr>
            <w:tcW w:w="232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保障性租赁住房项目</w:t>
            </w:r>
          </w:p>
        </w:tc>
        <w:tc>
          <w:tcPr>
            <w:tcW w:w="1532"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免征</w:t>
            </w:r>
          </w:p>
        </w:tc>
        <w:tc>
          <w:tcPr>
            <w:tcW w:w="2202"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国</w:t>
            </w:r>
            <w:r>
              <w:rPr>
                <w:rFonts w:hint="eastAsia" w:ascii="Times New Roman" w:hAnsi="Times New Roman" w:eastAsia="仿宋_GB2312" w:cs="Times New Roman"/>
                <w:color w:val="000000"/>
                <w:kern w:val="2"/>
                <w:sz w:val="28"/>
                <w:szCs w:val="28"/>
                <w:lang w:val="en-US" w:eastAsia="zh-CN" w:bidi="ar-SA"/>
              </w:rPr>
              <w:t>办</w:t>
            </w:r>
            <w:r>
              <w:rPr>
                <w:rFonts w:hint="default" w:ascii="Times New Roman" w:hAnsi="Times New Roman" w:eastAsia="仿宋_GB2312" w:cs="Times New Roman"/>
                <w:color w:val="000000"/>
                <w:kern w:val="2"/>
                <w:sz w:val="28"/>
                <w:szCs w:val="28"/>
                <w:lang w:val="en-US" w:eastAsia="zh-CN" w:bidi="ar-SA"/>
              </w:rPr>
              <w:t>发</w:t>
            </w:r>
            <w:r>
              <w:rPr>
                <w:rFonts w:hint="eastAsia" w:ascii="Times New Roman" w:hAnsi="Times New Roman" w:eastAsia="仿宋_GB2312" w:cs="Times New Roman"/>
                <w:color w:val="000000"/>
                <w:kern w:val="2"/>
                <w:sz w:val="28"/>
                <w:szCs w:val="28"/>
                <w:lang w:val="en-US" w:eastAsia="zh-CN"/>
              </w:rPr>
              <w:t>〔</w:t>
            </w:r>
            <w:r>
              <w:rPr>
                <w:rFonts w:hint="default" w:ascii="Times New Roman" w:hAnsi="Times New Roman" w:eastAsia="仿宋_GB2312" w:cs="Times New Roman"/>
                <w:color w:val="000000"/>
                <w:kern w:val="2"/>
                <w:sz w:val="28"/>
                <w:szCs w:val="28"/>
                <w:lang w:val="en-US" w:eastAsia="zh-CN" w:bidi="ar-SA"/>
              </w:rPr>
              <w:t>20</w:t>
            </w:r>
            <w:r>
              <w:rPr>
                <w:rFonts w:hint="eastAsia" w:ascii="Times New Roman" w:hAnsi="Times New Roman" w:eastAsia="仿宋_GB2312" w:cs="Times New Roman"/>
                <w:color w:val="000000"/>
                <w:kern w:val="2"/>
                <w:sz w:val="28"/>
                <w:szCs w:val="28"/>
                <w:lang w:val="en-US" w:eastAsia="zh-CN" w:bidi="ar-SA"/>
              </w:rPr>
              <w:t>21</w:t>
            </w:r>
            <w:r>
              <w:rPr>
                <w:rFonts w:hint="eastAsia" w:ascii="Times New Roman" w:hAnsi="Times New Roman" w:eastAsia="仿宋_GB2312" w:cs="Times New Roman"/>
                <w:color w:val="000000"/>
                <w:kern w:val="2"/>
                <w:sz w:val="28"/>
                <w:szCs w:val="28"/>
                <w:lang w:val="en-US" w:eastAsia="zh-CN"/>
              </w:rPr>
              <w:t>〕</w:t>
            </w:r>
            <w:r>
              <w:rPr>
                <w:rFonts w:hint="eastAsia" w:ascii="Times New Roman" w:hAnsi="Times New Roman" w:eastAsia="仿宋_GB2312" w:cs="Times New Roman"/>
                <w:color w:val="000000"/>
                <w:kern w:val="2"/>
                <w:sz w:val="28"/>
                <w:szCs w:val="28"/>
                <w:lang w:val="en-US" w:eastAsia="zh-CN" w:bidi="ar-SA"/>
              </w:rPr>
              <w:t>22</w:t>
            </w:r>
            <w:r>
              <w:rPr>
                <w:rFonts w:hint="default" w:ascii="Times New Roman" w:hAnsi="Times New Roman" w:eastAsia="仿宋_GB2312" w:cs="Times New Roman"/>
                <w:color w:val="000000"/>
                <w:kern w:val="2"/>
                <w:sz w:val="28"/>
                <w:szCs w:val="28"/>
                <w:lang w:val="en-US" w:eastAsia="zh-CN" w:bidi="ar-SA"/>
              </w:rPr>
              <w:t>号</w:t>
            </w:r>
          </w:p>
        </w:tc>
        <w:tc>
          <w:tcPr>
            <w:tcW w:w="292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四</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降低税费负担。对保障性租赁住房项目免收城市基础设施配套费。”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5" w:hRule="atLeast"/>
        </w:trPr>
        <w:tc>
          <w:tcPr>
            <w:tcW w:w="232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保障性住房</w:t>
            </w:r>
          </w:p>
        </w:tc>
        <w:tc>
          <w:tcPr>
            <w:tcW w:w="1532" w:type="dxa"/>
            <w:vAlign w:val="center"/>
          </w:tcPr>
          <w:p>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免征</w:t>
            </w:r>
          </w:p>
        </w:tc>
        <w:tc>
          <w:tcPr>
            <w:tcW w:w="2202"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国发</w:t>
            </w:r>
            <w:r>
              <w:rPr>
                <w:rFonts w:hint="eastAsia" w:ascii="Times New Roman" w:hAnsi="Times New Roman" w:eastAsia="仿宋_GB2312" w:cs="Times New Roman"/>
                <w:color w:val="000000"/>
                <w:kern w:val="2"/>
                <w:sz w:val="28"/>
                <w:szCs w:val="28"/>
                <w:lang w:val="en-US" w:eastAsia="zh-CN"/>
              </w:rPr>
              <w:t>〔</w:t>
            </w:r>
            <w:r>
              <w:rPr>
                <w:rFonts w:hint="default" w:ascii="Times New Roman" w:hAnsi="Times New Roman" w:eastAsia="仿宋_GB2312" w:cs="Times New Roman"/>
                <w:color w:val="000000"/>
                <w:kern w:val="2"/>
                <w:sz w:val="28"/>
                <w:szCs w:val="28"/>
                <w:lang w:val="en-US" w:eastAsia="zh-CN" w:bidi="ar-SA"/>
              </w:rPr>
              <w:t>20</w:t>
            </w:r>
            <w:r>
              <w:rPr>
                <w:rFonts w:hint="eastAsia" w:ascii="Times New Roman" w:hAnsi="Times New Roman" w:eastAsia="仿宋_GB2312" w:cs="Times New Roman"/>
                <w:color w:val="000000"/>
                <w:kern w:val="2"/>
                <w:sz w:val="28"/>
                <w:szCs w:val="28"/>
                <w:lang w:val="en-US" w:eastAsia="zh-CN" w:bidi="ar-SA"/>
              </w:rPr>
              <w:t>23</w:t>
            </w:r>
            <w:r>
              <w:rPr>
                <w:rFonts w:hint="eastAsia" w:ascii="Times New Roman" w:hAnsi="Times New Roman" w:eastAsia="仿宋_GB2312" w:cs="Times New Roman"/>
                <w:color w:val="000000"/>
                <w:kern w:val="2"/>
                <w:sz w:val="28"/>
                <w:szCs w:val="28"/>
                <w:lang w:val="en-US" w:eastAsia="zh-CN"/>
              </w:rPr>
              <w:t>〕</w:t>
            </w:r>
            <w:r>
              <w:rPr>
                <w:rFonts w:hint="eastAsia" w:ascii="Times New Roman" w:hAnsi="Times New Roman" w:eastAsia="仿宋_GB2312" w:cs="Times New Roman"/>
                <w:color w:val="000000"/>
                <w:kern w:val="2"/>
                <w:sz w:val="28"/>
                <w:szCs w:val="28"/>
                <w:lang w:val="en-US" w:eastAsia="zh-CN" w:bidi="ar-SA"/>
              </w:rPr>
              <w:t>14</w:t>
            </w:r>
            <w:r>
              <w:rPr>
                <w:rFonts w:hint="default" w:ascii="Times New Roman" w:hAnsi="Times New Roman" w:eastAsia="仿宋_GB2312" w:cs="Times New Roman"/>
                <w:color w:val="000000"/>
                <w:kern w:val="2"/>
                <w:sz w:val="28"/>
                <w:szCs w:val="28"/>
                <w:lang w:val="en-US" w:eastAsia="zh-CN" w:bidi="ar-SA"/>
              </w:rPr>
              <w:t>号</w:t>
            </w:r>
          </w:p>
        </w:tc>
        <w:tc>
          <w:tcPr>
            <w:tcW w:w="292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三、支持政策。符合条件的保障性住房项目适用经济适用住房有关税费支持政策。</w:t>
            </w:r>
            <w:r>
              <w:rPr>
                <w:rFonts w:hint="eastAsia" w:ascii="Times New Roman" w:hAnsi="Times New Roman" w:eastAsia="仿宋_GB2312" w:cs="Times New Roman"/>
                <w:color w:val="00000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7" w:hRule="atLeast"/>
        </w:trPr>
        <w:tc>
          <w:tcPr>
            <w:tcW w:w="232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城中村改造项目</w:t>
            </w:r>
          </w:p>
        </w:tc>
        <w:tc>
          <w:tcPr>
            <w:tcW w:w="1532"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免征</w:t>
            </w:r>
          </w:p>
        </w:tc>
        <w:tc>
          <w:tcPr>
            <w:tcW w:w="2202"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国</w:t>
            </w:r>
            <w:r>
              <w:rPr>
                <w:rFonts w:hint="eastAsia" w:ascii="Times New Roman" w:hAnsi="Times New Roman" w:eastAsia="仿宋_GB2312" w:cs="Times New Roman"/>
                <w:color w:val="000000"/>
                <w:kern w:val="2"/>
                <w:sz w:val="28"/>
                <w:szCs w:val="28"/>
                <w:lang w:val="en-US" w:eastAsia="zh-CN" w:bidi="ar-SA"/>
              </w:rPr>
              <w:t>办</w:t>
            </w:r>
            <w:r>
              <w:rPr>
                <w:rFonts w:hint="default" w:ascii="Times New Roman" w:hAnsi="Times New Roman" w:eastAsia="仿宋_GB2312" w:cs="Times New Roman"/>
                <w:color w:val="000000"/>
                <w:kern w:val="2"/>
                <w:sz w:val="28"/>
                <w:szCs w:val="28"/>
                <w:lang w:val="en-US" w:eastAsia="zh-CN" w:bidi="ar-SA"/>
              </w:rPr>
              <w:t>发</w:t>
            </w:r>
            <w:r>
              <w:rPr>
                <w:rFonts w:hint="eastAsia" w:ascii="Times New Roman" w:hAnsi="Times New Roman" w:eastAsia="仿宋_GB2312" w:cs="Times New Roman"/>
                <w:color w:val="000000"/>
                <w:kern w:val="2"/>
                <w:sz w:val="28"/>
                <w:szCs w:val="28"/>
                <w:lang w:val="en-US" w:eastAsia="zh-CN"/>
              </w:rPr>
              <w:t>〔</w:t>
            </w:r>
            <w:r>
              <w:rPr>
                <w:rFonts w:hint="default" w:ascii="Times New Roman" w:hAnsi="Times New Roman" w:eastAsia="仿宋_GB2312" w:cs="Times New Roman"/>
                <w:color w:val="000000"/>
                <w:kern w:val="2"/>
                <w:sz w:val="28"/>
                <w:szCs w:val="28"/>
                <w:lang w:val="en-US" w:eastAsia="zh-CN" w:bidi="ar-SA"/>
              </w:rPr>
              <w:t>20</w:t>
            </w:r>
            <w:r>
              <w:rPr>
                <w:rFonts w:hint="eastAsia" w:ascii="Times New Roman" w:hAnsi="Times New Roman" w:eastAsia="仿宋_GB2312" w:cs="Times New Roman"/>
                <w:color w:val="000000"/>
                <w:kern w:val="2"/>
                <w:sz w:val="28"/>
                <w:szCs w:val="28"/>
                <w:lang w:val="en-US" w:eastAsia="zh-CN" w:bidi="ar-SA"/>
              </w:rPr>
              <w:t>23</w:t>
            </w:r>
            <w:r>
              <w:rPr>
                <w:rFonts w:hint="eastAsia" w:ascii="Times New Roman" w:hAnsi="Times New Roman" w:eastAsia="仿宋_GB2312" w:cs="Times New Roman"/>
                <w:color w:val="000000"/>
                <w:kern w:val="2"/>
                <w:sz w:val="28"/>
                <w:szCs w:val="28"/>
                <w:lang w:val="en-US" w:eastAsia="zh-CN"/>
              </w:rPr>
              <w:t>〕</w:t>
            </w:r>
            <w:r>
              <w:rPr>
                <w:rFonts w:hint="eastAsia" w:ascii="Times New Roman" w:hAnsi="Times New Roman" w:eastAsia="仿宋_GB2312" w:cs="Times New Roman"/>
                <w:color w:val="000000"/>
                <w:kern w:val="2"/>
                <w:sz w:val="28"/>
                <w:szCs w:val="28"/>
                <w:lang w:val="en-US" w:eastAsia="zh-CN" w:bidi="ar-SA"/>
              </w:rPr>
              <w:t>25</w:t>
            </w:r>
            <w:r>
              <w:rPr>
                <w:rFonts w:hint="default" w:ascii="Times New Roman" w:hAnsi="Times New Roman" w:eastAsia="仿宋_GB2312" w:cs="Times New Roman"/>
                <w:color w:val="000000"/>
                <w:kern w:val="2"/>
                <w:sz w:val="28"/>
                <w:szCs w:val="28"/>
                <w:lang w:val="en-US" w:eastAsia="zh-CN" w:bidi="ar-SA"/>
              </w:rPr>
              <w:t>号</w:t>
            </w:r>
          </w:p>
        </w:tc>
        <w:tc>
          <w:tcPr>
            <w:tcW w:w="2921" w:type="dxa"/>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三、支持政策。符合条件的城中村改造项目适用现行棚户区改造有关税费支持政策。</w:t>
            </w:r>
            <w:r>
              <w:rPr>
                <w:rFonts w:hint="eastAsia" w:ascii="Times New Roman" w:hAnsi="Times New Roman" w:eastAsia="仿宋_GB2312" w:cs="Times New Roman"/>
                <w:color w:val="000000"/>
                <w:kern w:val="2"/>
                <w:sz w:val="28"/>
                <w:szCs w:val="28"/>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8976" w:type="dxa"/>
            <w:gridSpan w:val="4"/>
            <w:vAlign w:val="center"/>
          </w:tcPr>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国家对减免城市基础设施配套费的其他规定或有新规定的，从其规定。</w:t>
            </w:r>
          </w:p>
        </w:tc>
      </w:tr>
    </w:tbl>
    <w:p>
      <w:pPr>
        <w:pStyle w:val="11"/>
        <w:keepNext w:val="0"/>
        <w:keepLines w:val="0"/>
        <w:pageBreakBefore w:val="0"/>
        <w:widowControl/>
        <w:kinsoku/>
        <w:wordWrap/>
        <w:overflowPunct/>
        <w:topLinePunct w:val="0"/>
        <w:autoSpaceDE/>
        <w:autoSpaceDN/>
        <w:bidi w:val="0"/>
        <w:adjustRightInd w:val="0"/>
        <w:snapToGrid w:val="0"/>
        <w:spacing w:after="0"/>
        <w:textAlignment w:val="auto"/>
        <w:rPr>
          <w:rFonts w:hint="default"/>
          <w:lang w:val="en-US" w:eastAsia="zh-CN"/>
        </w:rPr>
      </w:pPr>
    </w:p>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eastAsia" w:ascii="Times New Roman" w:hAnsi="Times New Roman" w:eastAsia="仿宋_GB2312" w:cs="Times New Roman"/>
          <w:color w:val="000000"/>
          <w:kern w:val="2"/>
          <w:sz w:val="28"/>
          <w:szCs w:val="28"/>
          <w:lang w:val="en-US" w:eastAsia="zh-CN" w:bidi="ar-SA"/>
        </w:rPr>
      </w:pPr>
      <w:r>
        <w:rPr>
          <w:rFonts w:hint="default" w:ascii="Times New Roman" w:hAnsi="Times New Roman" w:eastAsia="仿宋_GB2312" w:cs="Times New Roman"/>
          <w:color w:val="000000"/>
          <w:kern w:val="2"/>
          <w:sz w:val="28"/>
          <w:szCs w:val="28"/>
          <w:lang w:val="en-US" w:eastAsia="zh-CN" w:bidi="ar-SA"/>
        </w:rPr>
        <w:t>备注</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此表仅是对国家相关文件规定的摘录。国家出台的减免政策最终解释权</w:t>
      </w:r>
      <w:r>
        <w:rPr>
          <w:rFonts w:hint="eastAsia" w:ascii="Times New Roman" w:hAnsi="Times New Roman" w:eastAsia="仿宋_GB2312" w:cs="Times New Roman"/>
          <w:color w:val="000000"/>
          <w:kern w:val="2"/>
          <w:sz w:val="28"/>
          <w:szCs w:val="28"/>
          <w:lang w:val="en-US" w:eastAsia="zh-CN" w:bidi="ar-SA"/>
        </w:rPr>
        <w:t>，</w:t>
      </w:r>
      <w:r>
        <w:rPr>
          <w:rFonts w:hint="default" w:ascii="Times New Roman" w:hAnsi="Times New Roman" w:eastAsia="仿宋_GB2312" w:cs="Times New Roman"/>
          <w:color w:val="000000"/>
          <w:kern w:val="2"/>
          <w:sz w:val="28"/>
          <w:szCs w:val="28"/>
          <w:lang w:val="en-US" w:eastAsia="zh-CN" w:bidi="ar-SA"/>
        </w:rPr>
        <w:t>由中央相关职能部门负责解释</w:t>
      </w:r>
      <w:r>
        <w:rPr>
          <w:rFonts w:hint="eastAsia" w:ascii="Times New Roman" w:hAnsi="Times New Roman" w:eastAsia="仿宋_GB2312" w:cs="Times New Roman"/>
          <w:color w:val="000000"/>
          <w:kern w:val="2"/>
          <w:sz w:val="28"/>
          <w:szCs w:val="28"/>
          <w:lang w:val="en-US" w:eastAsia="zh-CN" w:bidi="ar-SA"/>
        </w:rPr>
        <w:t>。</w:t>
      </w:r>
    </w:p>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p>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p>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p>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p>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p>
    <w:p>
      <w:pPr>
        <w:pStyle w:val="11"/>
        <w:keepNext w:val="0"/>
        <w:keepLines w:val="0"/>
        <w:pageBreakBefore w:val="0"/>
        <w:widowControl/>
        <w:kinsoku/>
        <w:wordWrap/>
        <w:overflowPunct/>
        <w:topLinePunct w:val="0"/>
        <w:autoSpaceDE/>
        <w:autoSpaceDN/>
        <w:bidi w:val="0"/>
        <w:adjustRightInd w:val="0"/>
        <w:snapToGrid w:val="0"/>
        <w:spacing w:after="0" w:line="400" w:lineRule="exact"/>
        <w:jc w:val="left"/>
        <w:textAlignment w:val="auto"/>
        <w:rPr>
          <w:rFonts w:hint="default" w:ascii="Times New Roman" w:hAnsi="Times New Roman" w:eastAsia="仿宋_GB2312" w:cs="Times New Roman"/>
          <w:color w:val="000000"/>
          <w:kern w:val="2"/>
          <w:sz w:val="28"/>
          <w:szCs w:val="28"/>
          <w:lang w:val="en-US" w:eastAsia="zh-CN" w:bidi="ar-SA"/>
        </w:rPr>
      </w:pPr>
    </w:p>
    <w:p>
      <w:pPr>
        <w:jc w:val="both"/>
        <w:rPr>
          <w:rFonts w:hint="default" w:ascii="Times New Roman" w:hAnsi="Times New Roman" w:eastAsia="仿宋_GB2312" w:cs="Times New Roman"/>
          <w:sz w:val="28"/>
          <w:szCs w:val="28"/>
          <w:lang w:val="en-US" w:eastAsia="zh-CN"/>
        </w:rPr>
      </w:pPr>
    </w:p>
    <w:sectPr>
      <w:footerReference r:id="rId3" w:type="default"/>
      <w:pgSz w:w="11906" w:h="16838"/>
      <w:pgMar w:top="2098" w:right="1474" w:bottom="1984" w:left="1587"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Theme="minorEastAsia" w:hAnsiTheme="minorEastAsia" w:eastAsiaTheme="minorEastAsia" w:cstheme="minorEastAsia"/>
                              <w:sz w:val="28"/>
                              <w:szCs w:val="28"/>
                            </w:rPr>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eh0Vq4BAABLAwAADgAAAGRycy9lMm9Eb2MueG1srVPNahsxEL4X8g5C&#10;91hrQ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16HRW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t>—</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760BC"/>
    <w:multiLevelType w:val="singleLevel"/>
    <w:tmpl w:val="199760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16F66AF"/>
    <w:rsid w:val="0195414A"/>
    <w:rsid w:val="049110F9"/>
    <w:rsid w:val="07F17746"/>
    <w:rsid w:val="0C7C5E28"/>
    <w:rsid w:val="13D90C2A"/>
    <w:rsid w:val="16354BE2"/>
    <w:rsid w:val="19826E2E"/>
    <w:rsid w:val="2196087F"/>
    <w:rsid w:val="2491335A"/>
    <w:rsid w:val="27467AF3"/>
    <w:rsid w:val="2C6E1AFE"/>
    <w:rsid w:val="3AA06D7A"/>
    <w:rsid w:val="3AAE4F1E"/>
    <w:rsid w:val="3B91241B"/>
    <w:rsid w:val="3F0E16A2"/>
    <w:rsid w:val="4232579D"/>
    <w:rsid w:val="427A2489"/>
    <w:rsid w:val="43475D0E"/>
    <w:rsid w:val="47AA04C1"/>
    <w:rsid w:val="48E14BF9"/>
    <w:rsid w:val="4A986FA9"/>
    <w:rsid w:val="519154A5"/>
    <w:rsid w:val="52671F54"/>
    <w:rsid w:val="535913E2"/>
    <w:rsid w:val="54C10DD8"/>
    <w:rsid w:val="61953145"/>
    <w:rsid w:val="62CC6143"/>
    <w:rsid w:val="647405C4"/>
    <w:rsid w:val="64824460"/>
    <w:rsid w:val="68DD0117"/>
    <w:rsid w:val="6FE34C8A"/>
    <w:rsid w:val="713E527C"/>
    <w:rsid w:val="731F408C"/>
    <w:rsid w:val="772D1161"/>
    <w:rsid w:val="7B8700B2"/>
    <w:rsid w:val="7C77505F"/>
    <w:rsid w:val="7CBF1172"/>
    <w:rsid w:val="BDFD529D"/>
    <w:rsid w:val="C4FE238E"/>
    <w:rsid w:val="CFEF568E"/>
    <w:rsid w:val="DF7FD81B"/>
    <w:rsid w:val="F1A8714A"/>
    <w:rsid w:val="F9BA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Indent"/>
    <w:basedOn w:val="1"/>
    <w:qFormat/>
    <w:uiPriority w:val="0"/>
    <w:pPr>
      <w:spacing w:after="120"/>
      <w:ind w:left="420" w:leftChars="200"/>
    </w:p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Administrator</cp:lastModifiedBy>
  <cp:lastPrinted>2024-05-23T01:26:00Z</cp:lastPrinted>
  <dcterms:modified xsi:type="dcterms:W3CDTF">2024-05-31T07:04:57Z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