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ascii="黑体" w:hAnsi="宋体" w:eastAsia="黑体" w:cs="黑体"/>
          <w:i w:val="0"/>
          <w:caps w:val="0"/>
          <w:color w:val="404040"/>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945" w:right="0" w:hanging="945" w:hangingChars="300"/>
        <w:jc w:val="both"/>
        <w:rPr>
          <w:rFonts w:ascii="黑体" w:hAnsi="宋体" w:eastAsia="黑体" w:cs="黑体"/>
          <w:i w:val="0"/>
          <w:caps w:val="0"/>
          <w:color w:val="404040"/>
          <w:spacing w:val="0"/>
          <w:sz w:val="31"/>
          <w:szCs w:val="31"/>
          <w:bdr w:val="none" w:color="auto" w:sz="0" w:space="0"/>
          <w:shd w:val="clear" w:fill="FFFFFF"/>
        </w:rPr>
      </w:pPr>
      <w:bookmarkStart w:id="0" w:name="_GoBack"/>
      <w:r>
        <w:rPr>
          <w:rFonts w:hint="eastAsia" w:ascii="黑体" w:hAnsi="宋体" w:eastAsia="黑体" w:cs="黑体"/>
          <w:i w:val="0"/>
          <w:caps w:val="0"/>
          <w:color w:val="404040"/>
          <w:spacing w:val="0"/>
          <w:sz w:val="31"/>
          <w:szCs w:val="31"/>
          <w:bdr w:val="none" w:color="auto" w:sz="0" w:space="0"/>
          <w:shd w:val="clear" w:fill="FFFFFF"/>
          <w:lang w:val="en-US" w:eastAsia="zh-CN"/>
        </w:rPr>
        <w:t>附件：</w:t>
      </w:r>
      <w:r>
        <w:rPr>
          <w:rFonts w:hint="default" w:ascii="黑体" w:hAnsi="宋体" w:eastAsia="黑体" w:cs="黑体"/>
          <w:i w:val="0"/>
          <w:caps w:val="0"/>
          <w:color w:val="404040"/>
          <w:spacing w:val="0"/>
          <w:sz w:val="31"/>
          <w:szCs w:val="31"/>
          <w:shd w:val="clear" w:fill="FFFFFF"/>
          <w:lang w:val="en-US" w:eastAsia="zh-CN"/>
        </w:rPr>
        <w:t>《关于进一步加强工业固体废物环境管理的通知》</w:t>
      </w:r>
      <w:r>
        <w:rPr>
          <w:rFonts w:hint="eastAsia" w:ascii="黑体" w:hAnsi="宋体" w:eastAsia="黑体" w:cs="黑体"/>
          <w:i w:val="0"/>
          <w:caps w:val="0"/>
          <w:color w:val="404040"/>
          <w:spacing w:val="0"/>
          <w:sz w:val="31"/>
          <w:szCs w:val="31"/>
          <w:shd w:val="clear" w:fill="FFFFFF"/>
          <w:lang w:val="en-US" w:eastAsia="zh-CN"/>
        </w:rPr>
        <w:t>起草说明</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ascii="Verdana" w:hAnsi="Verdana" w:cs="Verdana"/>
          <w:i w:val="0"/>
          <w:caps w:val="0"/>
          <w:color w:val="404040"/>
          <w:spacing w:val="0"/>
          <w:sz w:val="21"/>
          <w:szCs w:val="21"/>
        </w:rPr>
      </w:pPr>
      <w:r>
        <w:rPr>
          <w:rFonts w:ascii="黑体" w:hAnsi="宋体" w:eastAsia="黑体" w:cs="黑体"/>
          <w:i w:val="0"/>
          <w:caps w:val="0"/>
          <w:color w:val="404040"/>
          <w:spacing w:val="0"/>
          <w:sz w:val="31"/>
          <w:szCs w:val="31"/>
          <w:bdr w:val="none" w:color="auto" w:sz="0" w:space="0"/>
          <w:shd w:val="clear" w:fill="FFFFFF"/>
        </w:rPr>
        <w:t>一、制订背景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default" w:ascii="Verdana" w:hAnsi="Verdana" w:cs="Verdana"/>
          <w:i w:val="0"/>
          <w:caps w:val="0"/>
          <w:color w:val="404040"/>
          <w:spacing w:val="0"/>
          <w:sz w:val="21"/>
          <w:szCs w:val="21"/>
        </w:rPr>
      </w:pPr>
      <w:r>
        <w:rPr>
          <w:rFonts w:ascii="仿宋_GB2312" w:hAnsi="Verdana" w:eastAsia="仿宋_GB2312" w:cs="仿宋_GB2312"/>
          <w:i w:val="0"/>
          <w:caps w:val="0"/>
          <w:color w:val="404040"/>
          <w:spacing w:val="0"/>
          <w:sz w:val="31"/>
          <w:szCs w:val="31"/>
          <w:bdr w:val="none" w:color="auto" w:sz="0" w:space="0"/>
          <w:shd w:val="clear" w:fill="FFFFFF"/>
        </w:rPr>
        <w:t>　　</w:t>
      </w:r>
      <w:r>
        <w:rPr>
          <w:rFonts w:hint="default" w:ascii="仿宋_GB2312" w:hAnsi="Verdana" w:eastAsia="仿宋_GB2312" w:cs="仿宋_GB2312"/>
          <w:i w:val="0"/>
          <w:caps w:val="0"/>
          <w:color w:val="404040"/>
          <w:spacing w:val="0"/>
          <w:sz w:val="31"/>
          <w:szCs w:val="31"/>
          <w:bdr w:val="none" w:color="auto" w:sz="0" w:space="0"/>
          <w:shd w:val="clear" w:fill="FFFFFF"/>
        </w:rPr>
        <w:t>党的十八大以来，中央将固体废物污染防治工作作为生态环保的一项重点工作来抓，力度不断加码</w:t>
      </w:r>
      <w:r>
        <w:rPr>
          <w:rFonts w:hint="default" w:ascii="仿宋_GB2312" w:hAnsi="Times New Roman" w:eastAsia="仿宋_GB2312" w:cs="仿宋_GB2312"/>
          <w:i w:val="0"/>
          <w:caps w:val="0"/>
          <w:color w:val="404040"/>
          <w:spacing w:val="0"/>
          <w:sz w:val="31"/>
          <w:szCs w:val="31"/>
          <w:bdr w:val="none" w:color="auto" w:sz="0" w:space="0"/>
          <w:shd w:val="clear" w:fill="FFFFFF"/>
        </w:rPr>
        <w:t>，</w:t>
      </w:r>
      <w:r>
        <w:rPr>
          <w:rFonts w:hint="default" w:ascii="仿宋_GB2312" w:hAnsi="Verdana" w:eastAsia="仿宋_GB2312" w:cs="仿宋_GB2312"/>
          <w:i w:val="0"/>
          <w:caps w:val="0"/>
          <w:color w:val="404040"/>
          <w:spacing w:val="0"/>
          <w:sz w:val="31"/>
          <w:szCs w:val="31"/>
          <w:bdr w:val="none" w:color="auto" w:sz="0" w:space="0"/>
          <w:shd w:val="clear" w:fill="FFFFFF"/>
        </w:rPr>
        <w:t>党的十九大，更是将加强固废处置监管与气、水、土污染防治摆到了相同的层面，固废污染防治工作进入了生态文明建设的主战场。省委、省政府</w:t>
      </w:r>
      <w:r>
        <w:rPr>
          <w:rFonts w:hint="default" w:ascii="仿宋_GB2312" w:hAnsi="Times New Roman" w:eastAsia="仿宋_GB2312" w:cs="仿宋_GB2312"/>
          <w:i w:val="0"/>
          <w:caps w:val="0"/>
          <w:color w:val="404040"/>
          <w:spacing w:val="0"/>
          <w:sz w:val="31"/>
          <w:szCs w:val="31"/>
          <w:bdr w:val="none" w:color="auto" w:sz="0" w:space="0"/>
          <w:shd w:val="clear" w:fill="FFFFFF"/>
        </w:rPr>
        <w:t>相继出台《关于进一步加强危险废物和污泥处置监管工作的意见》（浙政办发〔</w:t>
      </w:r>
      <w:r>
        <w:rPr>
          <w:rFonts w:hint="default" w:ascii="Times New Roman" w:hAnsi="Times New Roman" w:cs="Times New Roman"/>
          <w:i w:val="0"/>
          <w:caps w:val="0"/>
          <w:color w:val="404040"/>
          <w:spacing w:val="0"/>
          <w:sz w:val="31"/>
          <w:szCs w:val="31"/>
          <w:bdr w:val="none" w:color="auto" w:sz="0" w:space="0"/>
          <w:shd w:val="clear" w:fill="FFFFFF"/>
        </w:rPr>
        <w:t>2013</w:t>
      </w:r>
      <w:r>
        <w:rPr>
          <w:rFonts w:hint="default" w:ascii="仿宋_GB2312" w:hAnsi="Times New Roman" w:eastAsia="仿宋_GB2312" w:cs="仿宋_GB2312"/>
          <w:i w:val="0"/>
          <w:caps w:val="0"/>
          <w:color w:val="404040"/>
          <w:spacing w:val="0"/>
          <w:sz w:val="31"/>
          <w:szCs w:val="31"/>
          <w:bdr w:val="none" w:color="auto" w:sz="0" w:space="0"/>
          <w:shd w:val="clear" w:fill="FFFFFF"/>
        </w:rPr>
        <w:t>〕</w:t>
      </w:r>
      <w:r>
        <w:rPr>
          <w:rFonts w:hint="default" w:ascii="Times New Roman" w:hAnsi="Times New Roman" w:cs="Times New Roman"/>
          <w:i w:val="0"/>
          <w:caps w:val="0"/>
          <w:color w:val="404040"/>
          <w:spacing w:val="0"/>
          <w:sz w:val="31"/>
          <w:szCs w:val="31"/>
          <w:bdr w:val="none" w:color="auto" w:sz="0" w:space="0"/>
          <w:shd w:val="clear" w:fill="FFFFFF"/>
        </w:rPr>
        <w:t>152</w:t>
      </w:r>
      <w:r>
        <w:rPr>
          <w:rFonts w:hint="default" w:ascii="仿宋_GB2312" w:hAnsi="Times New Roman" w:eastAsia="仿宋_GB2312" w:cs="仿宋_GB2312"/>
          <w:i w:val="0"/>
          <w:caps w:val="0"/>
          <w:color w:val="404040"/>
          <w:spacing w:val="0"/>
          <w:sz w:val="31"/>
          <w:szCs w:val="31"/>
          <w:bdr w:val="none" w:color="auto" w:sz="0" w:space="0"/>
          <w:shd w:val="clear" w:fill="FFFFFF"/>
        </w:rPr>
        <w:t>号）《浙江省人民政府办公厅关于印发浙江省危险废物处置监管三年行动计划（</w:t>
      </w:r>
      <w:r>
        <w:rPr>
          <w:rFonts w:hint="default" w:ascii="Times New Roman" w:hAnsi="Times New Roman" w:cs="Times New Roman"/>
          <w:i w:val="0"/>
          <w:caps w:val="0"/>
          <w:color w:val="404040"/>
          <w:spacing w:val="0"/>
          <w:sz w:val="31"/>
          <w:szCs w:val="31"/>
          <w:bdr w:val="none" w:color="auto" w:sz="0" w:space="0"/>
          <w:shd w:val="clear" w:fill="FFFFFF"/>
        </w:rPr>
        <w:t>2016-2018</w:t>
      </w:r>
      <w:r>
        <w:rPr>
          <w:rFonts w:hint="default" w:ascii="仿宋_GB2312" w:hAnsi="Times New Roman" w:eastAsia="仿宋_GB2312" w:cs="仿宋_GB2312"/>
          <w:i w:val="0"/>
          <w:caps w:val="0"/>
          <w:color w:val="404040"/>
          <w:spacing w:val="0"/>
          <w:sz w:val="31"/>
          <w:szCs w:val="31"/>
          <w:bdr w:val="none" w:color="auto" w:sz="0" w:space="0"/>
          <w:shd w:val="clear" w:fill="FFFFFF"/>
        </w:rPr>
        <w:t>年）的通知》（浙政办发〔</w:t>
      </w:r>
      <w:r>
        <w:rPr>
          <w:rFonts w:hint="default" w:ascii="Times New Roman" w:hAnsi="Times New Roman" w:cs="Times New Roman"/>
          <w:i w:val="0"/>
          <w:caps w:val="0"/>
          <w:color w:val="404040"/>
          <w:spacing w:val="0"/>
          <w:sz w:val="31"/>
          <w:szCs w:val="31"/>
          <w:bdr w:val="none" w:color="auto" w:sz="0" w:space="0"/>
          <w:shd w:val="clear" w:fill="FFFFFF"/>
        </w:rPr>
        <w:t>2016</w:t>
      </w:r>
      <w:r>
        <w:rPr>
          <w:rFonts w:hint="default" w:ascii="仿宋_GB2312" w:hAnsi="Times New Roman" w:eastAsia="仿宋_GB2312" w:cs="仿宋_GB2312"/>
          <w:i w:val="0"/>
          <w:caps w:val="0"/>
          <w:color w:val="404040"/>
          <w:spacing w:val="0"/>
          <w:sz w:val="31"/>
          <w:szCs w:val="31"/>
          <w:bdr w:val="none" w:color="auto" w:sz="0" w:space="0"/>
          <w:shd w:val="clear" w:fill="FFFFFF"/>
        </w:rPr>
        <w:t>〕</w:t>
      </w:r>
      <w:r>
        <w:rPr>
          <w:rFonts w:hint="default" w:ascii="Times New Roman" w:hAnsi="Times New Roman" w:cs="Times New Roman"/>
          <w:i w:val="0"/>
          <w:caps w:val="0"/>
          <w:color w:val="404040"/>
          <w:spacing w:val="0"/>
          <w:sz w:val="31"/>
          <w:szCs w:val="31"/>
          <w:bdr w:val="none" w:color="auto" w:sz="0" w:space="0"/>
          <w:shd w:val="clear" w:fill="FFFFFF"/>
        </w:rPr>
        <w:t>13</w:t>
      </w:r>
      <w:r>
        <w:rPr>
          <w:rFonts w:hint="default" w:ascii="仿宋_GB2312" w:hAnsi="Times New Roman" w:eastAsia="仿宋_GB2312" w:cs="仿宋_GB2312"/>
          <w:i w:val="0"/>
          <w:caps w:val="0"/>
          <w:color w:val="404040"/>
          <w:spacing w:val="0"/>
          <w:sz w:val="31"/>
          <w:szCs w:val="31"/>
          <w:bdr w:val="none" w:color="auto" w:sz="0" w:space="0"/>
          <w:shd w:val="clear" w:fill="FFFFFF"/>
        </w:rPr>
        <w:t>号）</w:t>
      </w:r>
      <w:r>
        <w:rPr>
          <w:rFonts w:hint="default" w:ascii="仿宋_GB2312" w:hAnsi="Verdana" w:eastAsia="仿宋_GB2312" w:cs="仿宋_GB2312"/>
          <w:i w:val="0"/>
          <w:caps w:val="0"/>
          <w:color w:val="404040"/>
          <w:spacing w:val="0"/>
          <w:sz w:val="31"/>
          <w:szCs w:val="31"/>
          <w:bdr w:val="none" w:color="auto" w:sz="0" w:space="0"/>
          <w:shd w:val="clear" w:fill="FFFFFF"/>
        </w:rPr>
        <w:t>《浙江省清废行动实施方案》（</w:t>
      </w:r>
      <w:r>
        <w:rPr>
          <w:rFonts w:hint="default" w:ascii="仿宋_GB2312" w:hAnsi="Times New Roman" w:eastAsia="仿宋_GB2312" w:cs="仿宋_GB2312"/>
          <w:i w:val="0"/>
          <w:caps w:val="0"/>
          <w:color w:val="404040"/>
          <w:spacing w:val="0"/>
          <w:sz w:val="31"/>
          <w:szCs w:val="31"/>
          <w:bdr w:val="none" w:color="auto" w:sz="0" w:space="0"/>
          <w:shd w:val="clear" w:fill="FFFFFF"/>
        </w:rPr>
        <w:t>浙政办发〔</w:t>
      </w:r>
      <w:r>
        <w:rPr>
          <w:rFonts w:hint="default" w:ascii="Times New Roman" w:hAnsi="Times New Roman" w:cs="Times New Roman"/>
          <w:i w:val="0"/>
          <w:caps w:val="0"/>
          <w:color w:val="404040"/>
          <w:spacing w:val="0"/>
          <w:sz w:val="31"/>
          <w:szCs w:val="31"/>
          <w:bdr w:val="none" w:color="auto" w:sz="0" w:space="0"/>
          <w:shd w:val="clear" w:fill="FFFFFF"/>
        </w:rPr>
        <w:t>201</w:t>
      </w:r>
      <w:r>
        <w:rPr>
          <w:rFonts w:hint="default" w:ascii="Times New Roman" w:hAnsi="Times New Roman" w:eastAsia="仿宋_GB2312" w:cs="Times New Roman"/>
          <w:i w:val="0"/>
          <w:caps w:val="0"/>
          <w:color w:val="404040"/>
          <w:spacing w:val="0"/>
          <w:sz w:val="31"/>
          <w:szCs w:val="31"/>
          <w:bdr w:val="none" w:color="auto" w:sz="0" w:space="0"/>
          <w:shd w:val="clear" w:fill="FFFFFF"/>
        </w:rPr>
        <w:t>8</w:t>
      </w:r>
      <w:r>
        <w:rPr>
          <w:rFonts w:hint="default" w:ascii="仿宋_GB2312" w:hAnsi="Times New Roman" w:eastAsia="仿宋_GB2312" w:cs="仿宋_GB2312"/>
          <w:i w:val="0"/>
          <w:caps w:val="0"/>
          <w:color w:val="404040"/>
          <w:spacing w:val="0"/>
          <w:sz w:val="31"/>
          <w:szCs w:val="31"/>
          <w:bdr w:val="none" w:color="auto" w:sz="0" w:space="0"/>
          <w:shd w:val="clear" w:fill="FFFFFF"/>
        </w:rPr>
        <w:t>〕</w:t>
      </w:r>
      <w:r>
        <w:rPr>
          <w:rFonts w:hint="default" w:ascii="Times New Roman" w:hAnsi="Times New Roman" w:eastAsia="仿宋_GB2312" w:cs="Times New Roman"/>
          <w:i w:val="0"/>
          <w:caps w:val="0"/>
          <w:color w:val="404040"/>
          <w:spacing w:val="0"/>
          <w:sz w:val="31"/>
          <w:szCs w:val="31"/>
          <w:bdr w:val="none" w:color="auto" w:sz="0" w:space="0"/>
          <w:shd w:val="clear" w:fill="FFFFFF"/>
        </w:rPr>
        <w:t>86</w:t>
      </w:r>
      <w:r>
        <w:rPr>
          <w:rFonts w:hint="default" w:ascii="仿宋_GB2312" w:hAnsi="Times New Roman" w:eastAsia="仿宋_GB2312" w:cs="仿宋_GB2312"/>
          <w:i w:val="0"/>
          <w:caps w:val="0"/>
          <w:color w:val="404040"/>
          <w:spacing w:val="0"/>
          <w:sz w:val="31"/>
          <w:szCs w:val="31"/>
          <w:bdr w:val="none" w:color="auto" w:sz="0" w:space="0"/>
          <w:shd w:val="clear" w:fill="FFFFFF"/>
        </w:rPr>
        <w:t>号</w:t>
      </w:r>
      <w:r>
        <w:rPr>
          <w:rFonts w:hint="default" w:ascii="仿宋_GB2312" w:hAnsi="Verdana" w:eastAsia="仿宋_GB2312" w:cs="仿宋_GB2312"/>
          <w:i w:val="0"/>
          <w:caps w:val="0"/>
          <w:color w:val="404040"/>
          <w:spacing w:val="0"/>
          <w:sz w:val="31"/>
          <w:szCs w:val="31"/>
          <w:bdr w:val="none" w:color="auto" w:sz="0" w:space="0"/>
          <w:shd w:val="clear" w:fill="FFFFFF"/>
        </w:rPr>
        <w:t>）等文件，我市也结合实际制订印发了《金华市清废行动实施方案》（金政办发</w:t>
      </w:r>
      <w:r>
        <w:rPr>
          <w:rFonts w:hint="default" w:ascii="仿宋_GB2312" w:hAnsi="Times New Roman" w:eastAsia="仿宋_GB2312" w:cs="仿宋_GB2312"/>
          <w:i w:val="0"/>
          <w:caps w:val="0"/>
          <w:color w:val="404040"/>
          <w:spacing w:val="0"/>
          <w:sz w:val="31"/>
          <w:szCs w:val="31"/>
          <w:bdr w:val="none" w:color="auto" w:sz="0" w:space="0"/>
          <w:shd w:val="clear" w:fill="FFFFFF"/>
        </w:rPr>
        <w:t>〔</w:t>
      </w:r>
      <w:r>
        <w:rPr>
          <w:rFonts w:hint="default" w:ascii="Times New Roman" w:hAnsi="Times New Roman" w:cs="Times New Roman"/>
          <w:i w:val="0"/>
          <w:caps w:val="0"/>
          <w:color w:val="404040"/>
          <w:spacing w:val="0"/>
          <w:sz w:val="31"/>
          <w:szCs w:val="31"/>
          <w:bdr w:val="none" w:color="auto" w:sz="0" w:space="0"/>
          <w:shd w:val="clear" w:fill="FFFFFF"/>
        </w:rPr>
        <w:t>201</w:t>
      </w:r>
      <w:r>
        <w:rPr>
          <w:rFonts w:hint="default" w:ascii="Times New Roman" w:hAnsi="Times New Roman" w:eastAsia="仿宋_GB2312" w:cs="Times New Roman"/>
          <w:i w:val="0"/>
          <w:caps w:val="0"/>
          <w:color w:val="404040"/>
          <w:spacing w:val="0"/>
          <w:sz w:val="31"/>
          <w:szCs w:val="31"/>
          <w:bdr w:val="none" w:color="auto" w:sz="0" w:space="0"/>
          <w:shd w:val="clear" w:fill="FFFFFF"/>
        </w:rPr>
        <w:t>9</w:t>
      </w:r>
      <w:r>
        <w:rPr>
          <w:rFonts w:hint="default" w:ascii="仿宋_GB2312" w:hAnsi="Times New Roman" w:eastAsia="仿宋_GB2312" w:cs="仿宋_GB2312"/>
          <w:i w:val="0"/>
          <w:caps w:val="0"/>
          <w:color w:val="404040"/>
          <w:spacing w:val="0"/>
          <w:sz w:val="31"/>
          <w:szCs w:val="31"/>
          <w:bdr w:val="none" w:color="auto" w:sz="0" w:space="0"/>
          <w:shd w:val="clear" w:fill="FFFFFF"/>
        </w:rPr>
        <w:t>〕</w:t>
      </w:r>
      <w:r>
        <w:rPr>
          <w:rFonts w:hint="default" w:ascii="Times New Roman" w:hAnsi="Times New Roman" w:cs="Times New Roman"/>
          <w:i w:val="0"/>
          <w:caps w:val="0"/>
          <w:color w:val="404040"/>
          <w:spacing w:val="0"/>
          <w:sz w:val="31"/>
          <w:szCs w:val="31"/>
          <w:bdr w:val="none" w:color="auto" w:sz="0" w:space="0"/>
          <w:shd w:val="clear" w:fill="FFFFFF"/>
        </w:rPr>
        <w:t>17</w:t>
      </w:r>
      <w:r>
        <w:rPr>
          <w:rFonts w:hint="default" w:ascii="仿宋_GB2312" w:hAnsi="Verdana" w:eastAsia="仿宋_GB2312" w:cs="仿宋_GB2312"/>
          <w:i w:val="0"/>
          <w:caps w:val="0"/>
          <w:color w:val="404040"/>
          <w:spacing w:val="0"/>
          <w:sz w:val="31"/>
          <w:szCs w:val="31"/>
          <w:bdr w:val="none" w:color="auto" w:sz="0" w:space="0"/>
          <w:shd w:val="clear" w:fill="FFFFFF"/>
        </w:rPr>
        <w:t>号）（以下简称《清废行动方案》）等文件。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default" w:ascii="Verdana" w:hAnsi="Verdana" w:cs="Verdana"/>
          <w:i w:val="0"/>
          <w:caps w:val="0"/>
          <w:color w:val="404040"/>
          <w:spacing w:val="0"/>
          <w:sz w:val="21"/>
          <w:szCs w:val="21"/>
        </w:rPr>
      </w:pPr>
      <w:r>
        <w:rPr>
          <w:rFonts w:hint="default" w:ascii="仿宋_GB2312" w:hAnsi="Verdana" w:eastAsia="仿宋_GB2312" w:cs="仿宋_GB2312"/>
          <w:i w:val="0"/>
          <w:caps w:val="0"/>
          <w:color w:val="404040"/>
          <w:spacing w:val="0"/>
          <w:sz w:val="31"/>
          <w:szCs w:val="31"/>
          <w:bdr w:val="none" w:color="auto" w:sz="0" w:space="0"/>
          <w:shd w:val="clear" w:fill="FFFFFF"/>
        </w:rPr>
        <w:t>随着新《中华人民共和国固体废物污染环境防治法》于2020年9月１日实施，省、市领导相继提出了“源头管控精细化、收运过程专业化、处置能力匹配化、存量清零动态化、高压严管常态化”的具体要求，并要求对制度进行梳理并构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default" w:ascii="Verdana" w:hAnsi="Verdana" w:cs="Verdana"/>
          <w:i w:val="0"/>
          <w:caps w:val="0"/>
          <w:color w:val="404040"/>
          <w:spacing w:val="0"/>
          <w:sz w:val="21"/>
          <w:szCs w:val="21"/>
        </w:rPr>
      </w:pPr>
      <w:r>
        <w:rPr>
          <w:rFonts w:hint="default" w:ascii="仿宋_GB2312" w:hAnsi="Verdana" w:eastAsia="仿宋_GB2312" w:cs="仿宋_GB2312"/>
          <w:i w:val="0"/>
          <w:caps w:val="0"/>
          <w:color w:val="404040"/>
          <w:spacing w:val="0"/>
          <w:sz w:val="31"/>
          <w:szCs w:val="31"/>
          <w:bdr w:val="none" w:color="auto" w:sz="0" w:space="0"/>
          <w:shd w:val="clear" w:fill="FFFFFF"/>
        </w:rPr>
        <w:t>为切实贯彻省委、省政府和市委、市政府的指示精神，有效落实《清废行动方案》，进一步明确《清废行动方案》中各项工作任务的具体要求，加快完善我市工业固体废物源头管控、收集转运、能力建设、存量清零、执法监管等各环节的闭环管理，保障我市净土清废攻坚战取得实效，确保我市环境安全，特提出本《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default" w:ascii="Verdana" w:hAnsi="Verdana" w:cs="Verdana"/>
          <w:i w:val="0"/>
          <w:caps w:val="0"/>
          <w:color w:val="404040"/>
          <w:spacing w:val="0"/>
          <w:sz w:val="21"/>
          <w:szCs w:val="21"/>
        </w:rPr>
      </w:pPr>
      <w:r>
        <w:rPr>
          <w:rFonts w:hint="eastAsia" w:ascii="黑体" w:hAnsi="宋体" w:eastAsia="黑体" w:cs="黑体"/>
          <w:i w:val="0"/>
          <w:caps w:val="0"/>
          <w:color w:val="404040"/>
          <w:spacing w:val="0"/>
          <w:sz w:val="31"/>
          <w:szCs w:val="31"/>
          <w:bdr w:val="none" w:color="auto" w:sz="0" w:space="0"/>
          <w:shd w:val="clear" w:fill="FFFFFF"/>
        </w:rPr>
        <w:t>二、主要内容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default" w:ascii="Verdana" w:hAnsi="Verdana" w:cs="Verdana"/>
          <w:i w:val="0"/>
          <w:caps w:val="0"/>
          <w:color w:val="404040"/>
          <w:spacing w:val="0"/>
          <w:sz w:val="21"/>
          <w:szCs w:val="21"/>
        </w:rPr>
      </w:pPr>
      <w:r>
        <w:rPr>
          <w:rFonts w:hint="default" w:ascii="仿宋_GB2312" w:hAnsi="Verdana" w:eastAsia="仿宋_GB2312" w:cs="仿宋_GB2312"/>
          <w:i w:val="0"/>
          <w:caps w:val="0"/>
          <w:color w:val="404040"/>
          <w:spacing w:val="0"/>
          <w:sz w:val="31"/>
          <w:szCs w:val="31"/>
          <w:bdr w:val="none" w:color="auto" w:sz="0" w:space="0"/>
          <w:shd w:val="clear" w:fill="FFFFFF"/>
        </w:rPr>
        <w:t>《通知》分为源头管控、收运过程、固废处置、存量清零、高压严管五个部分。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default" w:ascii="Verdana" w:hAnsi="Verdana" w:cs="Verdana"/>
          <w:i w:val="0"/>
          <w:caps w:val="0"/>
          <w:color w:val="404040"/>
          <w:spacing w:val="0"/>
          <w:sz w:val="21"/>
          <w:szCs w:val="21"/>
        </w:rPr>
      </w:pPr>
      <w:r>
        <w:rPr>
          <w:rFonts w:hint="default" w:ascii="仿宋_GB2312" w:hAnsi="Verdana" w:eastAsia="仿宋_GB2312" w:cs="仿宋_GB2312"/>
          <w:i w:val="0"/>
          <w:caps w:val="0"/>
          <w:color w:val="404040"/>
          <w:spacing w:val="0"/>
          <w:sz w:val="31"/>
          <w:szCs w:val="31"/>
          <w:bdr w:val="none" w:color="auto" w:sz="0" w:space="0"/>
          <w:shd w:val="clear" w:fill="FFFFFF"/>
        </w:rPr>
        <w:t>　　</w:t>
      </w:r>
      <w:r>
        <w:rPr>
          <w:rFonts w:ascii="楷体_GB2312" w:hAnsi="Verdana" w:eastAsia="楷体_GB2312" w:cs="楷体_GB2312"/>
          <w:i w:val="0"/>
          <w:caps w:val="0"/>
          <w:color w:val="404040"/>
          <w:spacing w:val="0"/>
          <w:sz w:val="31"/>
          <w:szCs w:val="31"/>
          <w:bdr w:val="none" w:color="auto" w:sz="0" w:space="0"/>
          <w:shd w:val="clear" w:fill="FFFFFF"/>
        </w:rPr>
        <w:t>（一）</w:t>
      </w:r>
      <w:r>
        <w:rPr>
          <w:rFonts w:hint="default" w:ascii="楷体_GB2312" w:hAnsi="Verdana" w:eastAsia="楷体_GB2312" w:cs="楷体_GB2312"/>
          <w:i w:val="0"/>
          <w:caps w:val="0"/>
          <w:color w:val="404040"/>
          <w:spacing w:val="0"/>
          <w:sz w:val="31"/>
          <w:szCs w:val="31"/>
          <w:bdr w:val="none" w:color="auto" w:sz="0" w:space="0"/>
          <w:shd w:val="clear" w:fill="FFFFFF"/>
        </w:rPr>
        <w:t>进一步推进源头管控精细化。</w:t>
      </w:r>
      <w:r>
        <w:rPr>
          <w:rFonts w:hint="default" w:ascii="仿宋_GB2312" w:hAnsi="Verdana" w:eastAsia="仿宋_GB2312" w:cs="仿宋_GB2312"/>
          <w:i w:val="0"/>
          <w:caps w:val="0"/>
          <w:color w:val="404040"/>
          <w:spacing w:val="0"/>
          <w:sz w:val="31"/>
          <w:szCs w:val="31"/>
          <w:bdr w:val="none" w:color="auto" w:sz="0" w:space="0"/>
          <w:shd w:val="clear" w:fill="FFFFFF"/>
        </w:rPr>
        <w:t>从强化建设项目固体废物管理、引导企业源头减量、全面开展工业固体废物产生情况核查、严格落实工业固体废物管理台账制度和规范开展固体废物鉴别等五个方面工作，进行了明确，确保工业固体废物管理从源头抓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default" w:ascii="Verdana" w:hAnsi="Verdana" w:cs="Verdana"/>
          <w:i w:val="0"/>
          <w:caps w:val="0"/>
          <w:color w:val="404040"/>
          <w:spacing w:val="0"/>
          <w:sz w:val="21"/>
          <w:szCs w:val="21"/>
        </w:rPr>
      </w:pPr>
      <w:r>
        <w:rPr>
          <w:rFonts w:hint="default" w:ascii="楷体_GB2312" w:hAnsi="Verdana" w:eastAsia="楷体_GB2312" w:cs="楷体_GB2312"/>
          <w:i w:val="0"/>
          <w:caps w:val="0"/>
          <w:color w:val="404040"/>
          <w:spacing w:val="0"/>
          <w:sz w:val="31"/>
          <w:szCs w:val="31"/>
          <w:bdr w:val="none" w:color="auto" w:sz="0" w:space="0"/>
          <w:shd w:val="clear" w:fill="FFFFFF"/>
        </w:rPr>
        <w:t>（二）进一步推进收运过程专业化。从</w:t>
      </w:r>
      <w:r>
        <w:rPr>
          <w:rFonts w:hint="default" w:ascii="仿宋_GB2312" w:hAnsi="Verdana" w:eastAsia="仿宋_GB2312" w:cs="仿宋_GB2312"/>
          <w:i w:val="0"/>
          <w:caps w:val="0"/>
          <w:color w:val="404040"/>
          <w:spacing w:val="0"/>
          <w:sz w:val="31"/>
          <w:szCs w:val="31"/>
          <w:bdr w:val="none" w:color="auto" w:sz="0" w:space="0"/>
          <w:shd w:val="clear" w:fill="FFFFFF"/>
        </w:rPr>
        <w:t>建立一般工业固废分拣处理体系、严格落实工业固体废物运输安全制度、强化转运管理及跨省转移审批和严格落实工业固废转移制度等四个方面，对我市工业固体废物收运工作进行规范和统一。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default" w:ascii="Verdana" w:hAnsi="Verdana" w:cs="Verdana"/>
          <w:i w:val="0"/>
          <w:caps w:val="0"/>
          <w:color w:val="404040"/>
          <w:spacing w:val="0"/>
          <w:sz w:val="21"/>
          <w:szCs w:val="21"/>
        </w:rPr>
      </w:pPr>
      <w:r>
        <w:rPr>
          <w:rFonts w:hint="default" w:ascii="仿宋_GB2312" w:hAnsi="Verdana" w:eastAsia="仿宋_GB2312" w:cs="仿宋_GB2312"/>
          <w:i w:val="0"/>
          <w:caps w:val="0"/>
          <w:color w:val="404040"/>
          <w:spacing w:val="0"/>
          <w:sz w:val="31"/>
          <w:szCs w:val="31"/>
          <w:bdr w:val="none" w:color="auto" w:sz="0" w:space="0"/>
          <w:shd w:val="clear" w:fill="FFFFFF"/>
        </w:rPr>
        <w:t>　　</w:t>
      </w:r>
      <w:r>
        <w:rPr>
          <w:rFonts w:hint="default" w:ascii="楷体_GB2312" w:hAnsi="Verdana" w:eastAsia="楷体_GB2312" w:cs="楷体_GB2312"/>
          <w:i w:val="0"/>
          <w:caps w:val="0"/>
          <w:color w:val="404040"/>
          <w:spacing w:val="0"/>
          <w:sz w:val="31"/>
          <w:szCs w:val="31"/>
          <w:bdr w:val="none" w:color="auto" w:sz="0" w:space="0"/>
          <w:shd w:val="clear" w:fill="FFFFFF"/>
        </w:rPr>
        <w:t>（三）进一步推进固废处置规范化。</w:t>
      </w:r>
      <w:r>
        <w:rPr>
          <w:rFonts w:hint="default" w:ascii="仿宋_GB2312" w:hAnsi="Verdana" w:eastAsia="仿宋_GB2312" w:cs="仿宋_GB2312"/>
          <w:i w:val="0"/>
          <w:caps w:val="0"/>
          <w:color w:val="404040"/>
          <w:spacing w:val="0"/>
          <w:sz w:val="31"/>
          <w:szCs w:val="31"/>
          <w:bdr w:val="none" w:color="auto" w:sz="0" w:space="0"/>
          <w:shd w:val="clear" w:fill="FFFFFF"/>
        </w:rPr>
        <w:t>从拓宽工业固体废物综合利用渠道、推进工业固体废物处置能力提升、严格落实工业固废规范处置制度、实施危险废物利用处置行业整治提升行动等方面，规范我市固体废物综合利用与处置工作。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default" w:ascii="Verdana" w:hAnsi="Verdana" w:cs="Verdana"/>
          <w:i w:val="0"/>
          <w:caps w:val="0"/>
          <w:color w:val="404040"/>
          <w:spacing w:val="0"/>
          <w:sz w:val="21"/>
          <w:szCs w:val="21"/>
        </w:rPr>
      </w:pPr>
      <w:r>
        <w:rPr>
          <w:rFonts w:hint="default" w:ascii="仿宋_GB2312" w:hAnsi="Verdana" w:eastAsia="仿宋_GB2312" w:cs="仿宋_GB2312"/>
          <w:i w:val="0"/>
          <w:caps w:val="0"/>
          <w:color w:val="404040"/>
          <w:spacing w:val="0"/>
          <w:sz w:val="31"/>
          <w:szCs w:val="31"/>
          <w:bdr w:val="none" w:color="auto" w:sz="0" w:space="0"/>
          <w:shd w:val="clear" w:fill="FFFFFF"/>
        </w:rPr>
        <w:t>　　</w:t>
      </w:r>
      <w:r>
        <w:rPr>
          <w:rFonts w:hint="default" w:ascii="楷体_GB2312" w:hAnsi="Verdana" w:eastAsia="楷体_GB2312" w:cs="楷体_GB2312"/>
          <w:i w:val="0"/>
          <w:caps w:val="0"/>
          <w:color w:val="404040"/>
          <w:spacing w:val="0"/>
          <w:sz w:val="31"/>
          <w:szCs w:val="31"/>
          <w:bdr w:val="none" w:color="auto" w:sz="0" w:space="0"/>
          <w:shd w:val="clear" w:fill="FFFFFF"/>
        </w:rPr>
        <w:t>（四）进一步推进存量清零动态化。</w:t>
      </w:r>
      <w:r>
        <w:rPr>
          <w:rFonts w:hint="default" w:ascii="仿宋_GB2312" w:hAnsi="Verdana" w:eastAsia="仿宋_GB2312" w:cs="仿宋_GB2312"/>
          <w:i w:val="0"/>
          <w:caps w:val="0"/>
          <w:color w:val="404040"/>
          <w:spacing w:val="0"/>
          <w:sz w:val="31"/>
          <w:szCs w:val="31"/>
          <w:bdr w:val="none" w:color="auto" w:sz="0" w:space="0"/>
          <w:shd w:val="clear" w:fill="FFFFFF"/>
        </w:rPr>
        <w:t>从提升清零工作的信息化水平和压实清零工作的主体责任两个方面，对工业固体废物存量清零工作进行明确与规范。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default" w:ascii="Verdana" w:hAnsi="Verdana" w:cs="Verdana"/>
          <w:i w:val="0"/>
          <w:caps w:val="0"/>
          <w:color w:val="404040"/>
          <w:spacing w:val="0"/>
          <w:sz w:val="21"/>
          <w:szCs w:val="21"/>
        </w:rPr>
      </w:pPr>
      <w:r>
        <w:rPr>
          <w:rFonts w:hint="default" w:ascii="楷体_GB2312" w:hAnsi="Verdana" w:eastAsia="楷体_GB2312" w:cs="楷体_GB2312"/>
          <w:i w:val="0"/>
          <w:caps w:val="0"/>
          <w:color w:val="404040"/>
          <w:spacing w:val="0"/>
          <w:sz w:val="31"/>
          <w:szCs w:val="31"/>
          <w:bdr w:val="none" w:color="auto" w:sz="0" w:space="0"/>
          <w:shd w:val="clear" w:fill="FFFFFF"/>
        </w:rPr>
        <w:t>　　（五）进一步推进高压严管常态化。</w:t>
      </w:r>
      <w:r>
        <w:rPr>
          <w:rFonts w:hint="default" w:ascii="仿宋_GB2312" w:hAnsi="Verdana" w:eastAsia="仿宋_GB2312" w:cs="仿宋_GB2312"/>
          <w:i w:val="0"/>
          <w:caps w:val="0"/>
          <w:color w:val="404040"/>
          <w:spacing w:val="0"/>
          <w:sz w:val="31"/>
          <w:szCs w:val="31"/>
          <w:bdr w:val="none" w:color="auto" w:sz="0" w:space="0"/>
          <w:shd w:val="clear" w:fill="FFFFFF"/>
        </w:rPr>
        <w:t>从加强工业固体废物全过程监管、进一步加大执法力度和营造高压严管社会氛围三个方面，明确监管要求，强化公众参与，确保严格执法，不断提升环境违法“成本”，有效营造执法高压态势，震慑环境犯罪分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2C41F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2023-08-22T03:18:31Z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