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default" w:eastAsia="方正小标宋简体"/>
          <w:b/>
          <w:sz w:val="40"/>
          <w:szCs w:val="40"/>
          <w:lang w:val="en-US" w:eastAsia="zh-CN"/>
        </w:rPr>
      </w:pPr>
      <w:r>
        <w:rPr>
          <w:rFonts w:hint="eastAsia" w:ascii="Times New Roman" w:hAnsi="Times New Roman" w:eastAsia="方正小标宋简体"/>
          <w:sz w:val="44"/>
          <w:szCs w:val="44"/>
        </w:rPr>
        <w:t>《</w:t>
      </w:r>
      <w:r>
        <w:rPr>
          <w:rFonts w:hint="eastAsia" w:ascii="Times New Roman" w:hAnsi="Times New Roman" w:eastAsia="方正小标宋简体"/>
          <w:sz w:val="44"/>
          <w:szCs w:val="44"/>
          <w:lang w:eastAsia="zh-CN"/>
        </w:rPr>
        <w:t>关于优化提升职业健康监管领域营商环境的实施意见</w:t>
      </w:r>
      <w:r>
        <w:rPr>
          <w:rFonts w:hint="eastAsia" w:ascii="Times New Roman" w:hAnsi="Times New Roman" w:eastAsia="方正小标宋简体"/>
          <w:sz w:val="44"/>
          <w:szCs w:val="44"/>
        </w:rPr>
        <w:t>》</w:t>
      </w: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lang w:val="en-US" w:eastAsia="zh-CN"/>
        </w:rPr>
        <w:t>征求意见稿</w:t>
      </w:r>
      <w:r>
        <w:rPr>
          <w:rFonts w:hint="eastAsia" w:ascii="Times New Roman" w:hAnsi="Times New Roman" w:eastAsia="方正小标宋简体"/>
          <w:sz w:val="44"/>
          <w:szCs w:val="44"/>
          <w:lang w:eastAsia="zh-CN"/>
        </w:rPr>
        <w:t>）</w:t>
      </w:r>
      <w:r>
        <w:rPr>
          <w:rFonts w:hint="eastAsia" w:ascii="Times New Roman" w:hAnsi="Times New Roman" w:eastAsia="方正小标宋简体"/>
          <w:sz w:val="44"/>
          <w:szCs w:val="44"/>
          <w:lang w:val="en-US" w:eastAsia="zh-CN"/>
        </w:rPr>
        <w:t>起草说明</w:t>
      </w:r>
    </w:p>
    <w:p>
      <w:pPr>
        <w:keepNext w:val="0"/>
        <w:keepLines w:val="0"/>
        <w:pageBreakBefore w:val="0"/>
        <w:widowControl w:val="0"/>
        <w:numPr>
          <w:ilvl w:val="0"/>
          <w:numId w:val="0"/>
        </w:numPr>
        <w:kinsoku/>
        <w:wordWrap/>
        <w:overflowPunct/>
        <w:topLinePunct w:val="0"/>
        <w:autoSpaceDE/>
        <w:autoSpaceDN/>
        <w:bidi w:val="0"/>
        <w:spacing w:line="600" w:lineRule="exact"/>
        <w:ind w:leftChars="200"/>
        <w:textAlignment w:val="auto"/>
        <w:rPr>
          <w:rFonts w:ascii="黑体" w:hAnsi="黑体" w:eastAsia="黑体"/>
          <w:sz w:val="32"/>
          <w:szCs w:val="32"/>
        </w:rPr>
      </w:pPr>
    </w:p>
    <w:p>
      <w:pPr>
        <w:spacing w:line="620" w:lineRule="exact"/>
        <w:ind w:firstLine="646" w:firstLineChars="200"/>
        <w:rPr>
          <w:rFonts w:hint="eastAsia" w:ascii="仿宋_GB2312" w:hAnsi="Calibri" w:eastAsia="仿宋_GB2312"/>
          <w:sz w:val="32"/>
          <w:szCs w:val="32"/>
        </w:rPr>
      </w:pPr>
      <w:r>
        <w:rPr>
          <w:rFonts w:hint="eastAsia" w:ascii="仿宋_GB2312" w:hAnsi="Calibri" w:eastAsia="仿宋_GB2312"/>
          <w:sz w:val="32"/>
          <w:szCs w:val="32"/>
        </w:rPr>
        <w:t>现</w:t>
      </w:r>
      <w:r>
        <w:rPr>
          <w:rFonts w:hint="eastAsia" w:ascii="仿宋_GB2312" w:hAnsi="Calibri" w:eastAsia="仿宋_GB2312"/>
          <w:sz w:val="32"/>
          <w:szCs w:val="32"/>
          <w:lang w:val="en-US" w:eastAsia="zh-CN"/>
        </w:rPr>
        <w:t>将</w:t>
      </w:r>
      <w:r>
        <w:rPr>
          <w:rFonts w:hint="eastAsia" w:ascii="仿宋_GB2312" w:hAnsi="Calibri" w:eastAsia="仿宋_GB2312"/>
          <w:sz w:val="32"/>
          <w:szCs w:val="32"/>
        </w:rPr>
        <w:t>《</w:t>
      </w:r>
      <w:r>
        <w:rPr>
          <w:rFonts w:hint="eastAsia" w:ascii="仿宋_GB2312" w:hAnsi="Calibri" w:eastAsia="仿宋_GB2312"/>
          <w:sz w:val="32"/>
          <w:szCs w:val="32"/>
          <w:lang w:eastAsia="zh-CN"/>
        </w:rPr>
        <w:t>关于优化提升职业健康监管领域营商环境的实施意见</w:t>
      </w:r>
      <w:r>
        <w:rPr>
          <w:rFonts w:hint="eastAsia" w:ascii="仿宋_GB2312" w:hAnsi="Calibri" w:eastAsia="仿宋_GB2312"/>
          <w:sz w:val="32"/>
          <w:szCs w:val="32"/>
        </w:rPr>
        <w:t>》</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征求意见稿</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起草</w:t>
      </w:r>
      <w:r>
        <w:rPr>
          <w:rFonts w:hint="eastAsia" w:ascii="仿宋_GB2312" w:hAnsi="Calibri" w:eastAsia="仿宋_GB2312"/>
          <w:sz w:val="32"/>
          <w:szCs w:val="32"/>
        </w:rPr>
        <w:t>有关情况说明如下。</w:t>
      </w:r>
      <w:bookmarkStart w:id="0" w:name="_GoBack"/>
      <w:bookmarkEnd w:id="0"/>
    </w:p>
    <w:p>
      <w:pPr>
        <w:spacing w:line="620" w:lineRule="exact"/>
        <w:ind w:firstLine="646" w:firstLineChars="200"/>
        <w:rPr>
          <w:rFonts w:ascii="黑体" w:hAnsi="黑体" w:eastAsia="黑体"/>
          <w:sz w:val="32"/>
          <w:szCs w:val="32"/>
        </w:rPr>
      </w:pPr>
      <w:r>
        <w:rPr>
          <w:rFonts w:hint="eastAsia" w:ascii="黑体" w:hAnsi="黑体" w:eastAsia="黑体"/>
          <w:sz w:val="32"/>
          <w:szCs w:val="32"/>
        </w:rPr>
        <w:t>一、起草背景</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6" w:firstLineChars="200"/>
        <w:textAlignment w:val="auto"/>
        <w:rPr>
          <w:rFonts w:hint="default"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仿宋_GB2312"/>
          <w:color w:val="auto"/>
          <w:sz w:val="32"/>
          <w:szCs w:val="32"/>
          <w:lang w:val="en-US" w:eastAsia="zh-CN"/>
        </w:rPr>
        <w:t>深入贯彻落实省委省政府</w:t>
      </w:r>
      <w:r>
        <w:rPr>
          <w:rFonts w:hint="eastAsia" w:ascii="Times New Roman" w:hAnsi="Times New Roman" w:eastAsia="仿宋_GB2312" w:cs="仿宋_GB2312"/>
          <w:color w:val="auto"/>
          <w:sz w:val="32"/>
          <w:szCs w:val="32"/>
        </w:rPr>
        <w:t>营商环境优化提升“一号改革工程”</w:t>
      </w:r>
      <w:r>
        <w:rPr>
          <w:rFonts w:hint="eastAsia" w:ascii="Times New Roman" w:hAnsi="Times New Roman" w:eastAsia="仿宋_GB2312" w:cs="仿宋_GB2312"/>
          <w:color w:val="auto"/>
          <w:sz w:val="32"/>
          <w:szCs w:val="32"/>
          <w:lang w:val="en-US" w:eastAsia="zh-CN"/>
        </w:rPr>
        <w:t>决策部署</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kern w:val="2"/>
          <w:sz w:val="32"/>
          <w:szCs w:val="32"/>
          <w:lang w:val="en-US" w:eastAsia="zh-CN" w:bidi="ar-SA"/>
        </w:rPr>
        <w:t>认真总结近年来我省职业健康监管执法工作成效，深入调研各地经验做法和堵点难点问题，</w:t>
      </w:r>
      <w:r>
        <w:rPr>
          <w:rFonts w:hint="eastAsia" w:ascii="仿宋_GB2312" w:hAnsi="仿宋_GB2312" w:eastAsia="仿宋_GB2312" w:cs="仿宋_GB2312"/>
          <w:sz w:val="32"/>
          <w:szCs w:val="32"/>
          <w:lang w:val="en-US" w:eastAsia="zh-CN"/>
        </w:rPr>
        <w:t>推进</w:t>
      </w:r>
      <w:r>
        <w:rPr>
          <w:rFonts w:hint="eastAsia" w:ascii="仿宋_GB2312" w:hAnsi="仿宋_GB2312" w:eastAsia="仿宋_GB2312" w:cs="仿宋_GB2312"/>
          <w:color w:val="auto"/>
          <w:sz w:val="32"/>
          <w:szCs w:val="32"/>
          <w:lang w:val="en-US" w:eastAsia="zh-CN"/>
        </w:rPr>
        <w:t>职业健康监管领域营商环境优化提升，促进用人单位健康发展，加快</w:t>
      </w:r>
      <w:r>
        <w:rPr>
          <w:rFonts w:hint="eastAsia" w:ascii="仿宋_GB2312" w:hAnsi="仿宋_GB2312" w:eastAsia="仿宋_GB2312" w:cs="仿宋_GB2312"/>
          <w:sz w:val="32"/>
          <w:szCs w:val="32"/>
          <w:lang w:val="en-US" w:eastAsia="zh-CN"/>
        </w:rPr>
        <w:t>打造职业健康省域治理先进省份</w:t>
      </w:r>
      <w:r>
        <w:rPr>
          <w:rFonts w:hint="eastAsia" w:ascii="仿宋_GB2312" w:hAnsi="仿宋_GB2312" w:eastAsia="仿宋_GB2312" w:cs="仿宋_GB2312"/>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val="0"/>
        <w:snapToGrid w:val="0"/>
        <w:spacing w:line="600" w:lineRule="exact"/>
        <w:ind w:firstLine="646" w:firstLineChars="200"/>
        <w:textAlignment w:val="auto"/>
        <w:rPr>
          <w:rFonts w:ascii="黑体" w:hAnsi="黑体" w:eastAsia="黑体"/>
          <w:sz w:val="32"/>
          <w:szCs w:val="32"/>
        </w:rPr>
      </w:pPr>
      <w:r>
        <w:rPr>
          <w:rFonts w:hint="eastAsia" w:ascii="黑体" w:hAnsi="黑体" w:eastAsia="黑体"/>
          <w:sz w:val="32"/>
          <w:szCs w:val="32"/>
        </w:rPr>
        <w:t>（二）文件依据</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6" w:firstLineChars="200"/>
        <w:textAlignment w:val="auto"/>
        <w:rPr>
          <w:rFonts w:hint="default" w:ascii="仿宋_GB2312" w:hAnsi="Calibri" w:eastAsia="仿宋_GB2312" w:cstheme="minorBidi"/>
          <w:kern w:val="2"/>
          <w:sz w:val="32"/>
          <w:szCs w:val="32"/>
          <w:lang w:val="en-US" w:eastAsia="zh-CN" w:bidi="ar-SA"/>
        </w:rPr>
      </w:pPr>
      <w:r>
        <w:rPr>
          <w:rFonts w:hint="eastAsia" w:ascii="仿宋_GB2312" w:hAnsi="Calibri" w:eastAsia="仿宋_GB2312" w:cstheme="minorBidi"/>
          <w:kern w:val="2"/>
          <w:sz w:val="32"/>
          <w:szCs w:val="32"/>
          <w:lang w:val="en-US" w:eastAsia="zh-CN" w:bidi="ar-SA"/>
        </w:rPr>
        <w:t>1.《国家卫生健康委关于印发用人单位职业卫生监督执法工作规范的通知》</w:t>
      </w:r>
      <w:r>
        <w:rPr>
          <w:rFonts w:hint="eastAsia" w:ascii="仿宋_GB2312" w:hAnsi="Calibri" w:eastAsia="仿宋_GB2312"/>
          <w:sz w:val="32"/>
          <w:szCs w:val="32"/>
        </w:rPr>
        <w:t>（</w:t>
      </w:r>
      <w:r>
        <w:rPr>
          <w:rFonts w:hint="eastAsia" w:ascii="仿宋_GB2312" w:hAnsi="Calibri" w:eastAsia="仿宋_GB2312"/>
          <w:sz w:val="32"/>
          <w:szCs w:val="32"/>
          <w:lang w:val="en-US" w:eastAsia="zh-CN"/>
        </w:rPr>
        <w:t>国</w:t>
      </w:r>
      <w:r>
        <w:rPr>
          <w:rFonts w:hint="eastAsia" w:ascii="仿宋_GB2312" w:hAnsi="Calibri" w:eastAsia="仿宋_GB2312"/>
          <w:sz w:val="32"/>
          <w:szCs w:val="32"/>
        </w:rPr>
        <w:t>卫</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发〔20</w:t>
      </w:r>
      <w:r>
        <w:rPr>
          <w:rFonts w:hint="eastAsia" w:ascii="仿宋_GB2312" w:hAnsi="Calibri" w:eastAsia="仿宋_GB2312"/>
          <w:sz w:val="32"/>
          <w:szCs w:val="32"/>
          <w:lang w:val="en-US" w:eastAsia="zh-CN"/>
        </w:rPr>
        <w:t>20</w:t>
      </w:r>
      <w:r>
        <w:rPr>
          <w:rFonts w:hint="eastAsia" w:ascii="仿宋_GB2312" w:hAnsi="Calibri" w:eastAsia="仿宋_GB2312"/>
          <w:sz w:val="32"/>
          <w:szCs w:val="32"/>
        </w:rPr>
        <w:t>〕</w:t>
      </w:r>
      <w:r>
        <w:rPr>
          <w:rFonts w:hint="eastAsia" w:ascii="仿宋_GB2312" w:hAnsi="Calibri" w:eastAsia="仿宋_GB2312"/>
          <w:sz w:val="32"/>
          <w:szCs w:val="32"/>
          <w:lang w:val="en-US" w:eastAsia="zh-CN"/>
        </w:rPr>
        <w:t>17</w:t>
      </w:r>
      <w:r>
        <w:rPr>
          <w:rFonts w:hint="eastAsia" w:ascii="仿宋_GB2312" w:hAnsi="Calibri" w:eastAsia="仿宋_GB2312"/>
          <w:sz w:val="32"/>
          <w:szCs w:val="32"/>
        </w:rPr>
        <w:t>号）</w:t>
      </w:r>
    </w:p>
    <w:p>
      <w:pPr>
        <w:keepNext w:val="0"/>
        <w:keepLines w:val="0"/>
        <w:pageBreakBefore w:val="0"/>
        <w:kinsoku/>
        <w:wordWrap/>
        <w:overflowPunct/>
        <w:topLinePunct w:val="0"/>
        <w:autoSpaceDE/>
        <w:autoSpaceDN/>
        <w:bidi w:val="0"/>
        <w:spacing w:line="600" w:lineRule="exact"/>
        <w:ind w:firstLine="646" w:firstLineChars="200"/>
        <w:textAlignment w:val="auto"/>
        <w:rPr>
          <w:rFonts w:hint="default" w:eastAsia="仿宋_GB2312"/>
          <w:lang w:val="en-US" w:eastAsia="zh-CN"/>
        </w:rPr>
      </w:pPr>
      <w:r>
        <w:rPr>
          <w:rFonts w:hint="eastAsia" w:ascii="仿宋_GB2312" w:hAnsi="Calibri" w:eastAsia="仿宋_GB2312"/>
          <w:sz w:val="32"/>
          <w:szCs w:val="32"/>
          <w:lang w:val="en-US" w:eastAsia="zh-CN"/>
        </w:rPr>
        <w:t>2.《浙江省卫生健康委关于印发浙江省卫生健康非现场行政执法工作办法（试行）的通知》</w:t>
      </w:r>
      <w:r>
        <w:rPr>
          <w:rFonts w:hint="eastAsia" w:ascii="仿宋_GB2312" w:hAnsi="Calibri" w:eastAsia="仿宋_GB2312"/>
          <w:sz w:val="32"/>
          <w:szCs w:val="32"/>
        </w:rPr>
        <w:t>（浙卫发〔20</w:t>
      </w:r>
      <w:r>
        <w:rPr>
          <w:rFonts w:hint="eastAsia" w:ascii="仿宋_GB2312" w:hAnsi="Calibri" w:eastAsia="仿宋_GB2312"/>
          <w:sz w:val="32"/>
          <w:szCs w:val="32"/>
          <w:lang w:val="en-US" w:eastAsia="zh-CN"/>
        </w:rPr>
        <w:t>20</w:t>
      </w:r>
      <w:r>
        <w:rPr>
          <w:rFonts w:hint="eastAsia" w:ascii="仿宋_GB2312" w:hAnsi="Calibri" w:eastAsia="仿宋_GB2312"/>
          <w:sz w:val="32"/>
          <w:szCs w:val="32"/>
        </w:rPr>
        <w:t>〕</w:t>
      </w:r>
      <w:r>
        <w:rPr>
          <w:rFonts w:hint="eastAsia" w:ascii="仿宋_GB2312" w:hAnsi="Calibri" w:eastAsia="仿宋_GB2312"/>
          <w:sz w:val="32"/>
          <w:szCs w:val="32"/>
          <w:lang w:val="en-US" w:eastAsia="zh-CN"/>
        </w:rPr>
        <w:t>30</w:t>
      </w:r>
      <w:r>
        <w:rPr>
          <w:rFonts w:hint="eastAsia" w:ascii="仿宋_GB2312" w:hAnsi="Calibri" w:eastAsia="仿宋_GB2312"/>
          <w:sz w:val="32"/>
          <w:szCs w:val="32"/>
        </w:rPr>
        <w:t>号）</w:t>
      </w:r>
    </w:p>
    <w:p>
      <w:pPr>
        <w:keepNext w:val="0"/>
        <w:keepLines w:val="0"/>
        <w:pageBreakBefore w:val="0"/>
        <w:kinsoku/>
        <w:wordWrap/>
        <w:overflowPunct/>
        <w:topLinePunct w:val="0"/>
        <w:autoSpaceDE/>
        <w:autoSpaceDN/>
        <w:bidi w:val="0"/>
        <w:spacing w:line="600" w:lineRule="exact"/>
        <w:ind w:firstLine="646" w:firstLineChars="200"/>
        <w:textAlignment w:val="auto"/>
        <w:rPr>
          <w:rFonts w:hint="eastAsia" w:ascii="仿宋_GB2312" w:hAnsi="Calibri" w:eastAsia="仿宋_GB2312"/>
          <w:sz w:val="32"/>
          <w:szCs w:val="32"/>
        </w:rPr>
      </w:pPr>
      <w:r>
        <w:rPr>
          <w:rFonts w:hint="eastAsia" w:ascii="仿宋_GB2312" w:hAnsi="仿宋_GB2312" w:eastAsia="仿宋_GB2312" w:cs="仿宋_GB2312"/>
          <w:color w:val="auto"/>
          <w:sz w:val="32"/>
          <w:szCs w:val="32"/>
          <w:lang w:val="en-US" w:eastAsia="zh-CN"/>
        </w:rPr>
        <w:t>3.《浙江省人民政府办公厅关于印发浙江省营商环境优化提升行动方案的通知》</w:t>
      </w:r>
      <w:r>
        <w:rPr>
          <w:rFonts w:hint="eastAsia" w:ascii="仿宋_GB2312" w:hAnsi="Calibri" w:eastAsia="仿宋_GB2312"/>
          <w:sz w:val="32"/>
          <w:szCs w:val="32"/>
        </w:rPr>
        <w:t>（浙政办</w:t>
      </w:r>
      <w:r>
        <w:rPr>
          <w:rFonts w:hint="eastAsia" w:ascii="仿宋_GB2312" w:hAnsi="Calibri" w:eastAsia="仿宋_GB2312"/>
          <w:sz w:val="32"/>
          <w:szCs w:val="32"/>
          <w:lang w:val="en-US" w:eastAsia="zh-CN"/>
        </w:rPr>
        <w:t>发</w:t>
      </w:r>
      <w:r>
        <w:rPr>
          <w:rFonts w:hint="eastAsia" w:ascii="仿宋_GB2312" w:hAnsi="Calibri" w:eastAsia="仿宋_GB2312"/>
          <w:sz w:val="32"/>
          <w:szCs w:val="32"/>
        </w:rPr>
        <w:t>〔20</w:t>
      </w:r>
      <w:r>
        <w:rPr>
          <w:rFonts w:hint="eastAsia" w:ascii="仿宋_GB2312" w:hAnsi="Calibri" w:eastAsia="仿宋_GB2312"/>
          <w:sz w:val="32"/>
          <w:szCs w:val="32"/>
          <w:lang w:val="en-US" w:eastAsia="zh-CN"/>
        </w:rPr>
        <w:t>21</w:t>
      </w:r>
      <w:r>
        <w:rPr>
          <w:rFonts w:hint="eastAsia" w:ascii="仿宋_GB2312" w:hAnsi="Calibri" w:eastAsia="仿宋_GB2312"/>
          <w:sz w:val="32"/>
          <w:szCs w:val="32"/>
        </w:rPr>
        <w:t>〕</w:t>
      </w:r>
      <w:r>
        <w:rPr>
          <w:rFonts w:hint="eastAsia" w:ascii="仿宋_GB2312" w:hAnsi="Calibri" w:eastAsia="仿宋_GB2312"/>
          <w:sz w:val="32"/>
          <w:szCs w:val="32"/>
          <w:lang w:val="en-US" w:eastAsia="zh-CN"/>
        </w:rPr>
        <w:t>78</w:t>
      </w:r>
      <w:r>
        <w:rPr>
          <w:rFonts w:hint="eastAsia" w:ascii="仿宋_GB2312" w:hAnsi="Calibri" w:eastAsia="仿宋_GB2312"/>
          <w:sz w:val="32"/>
          <w:szCs w:val="32"/>
        </w:rPr>
        <w:t>号）</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6" w:firstLineChars="200"/>
        <w:textAlignment w:val="auto"/>
        <w:rPr>
          <w:rFonts w:hint="eastAsia" w:ascii="仿宋_GB2312" w:hAnsi="Calibri" w:eastAsia="仿宋_GB2312"/>
          <w:sz w:val="32"/>
          <w:szCs w:val="32"/>
        </w:rPr>
      </w:pPr>
      <w:r>
        <w:rPr>
          <w:rFonts w:hint="eastAsia" w:ascii="仿宋_GB2312" w:hAnsi="仿宋_GB2312" w:eastAsia="仿宋_GB2312" w:cs="仿宋_GB2312"/>
          <w:color w:val="auto"/>
          <w:kern w:val="2"/>
          <w:sz w:val="32"/>
          <w:szCs w:val="32"/>
          <w:lang w:val="en-US" w:eastAsia="zh-CN" w:bidi="ar-SA"/>
        </w:rPr>
        <w:t>4.《</w:t>
      </w:r>
      <w:r>
        <w:rPr>
          <w:rFonts w:hint="default" w:ascii="仿宋_GB2312" w:hAnsi="仿宋_GB2312" w:eastAsia="仿宋_GB2312" w:cs="仿宋_GB2312"/>
          <w:color w:val="auto"/>
          <w:kern w:val="2"/>
          <w:sz w:val="32"/>
          <w:szCs w:val="32"/>
          <w:lang w:val="en-US" w:eastAsia="zh-CN" w:bidi="ar-SA"/>
        </w:rPr>
        <w:t>浙江省卫生健康委印发关于在浙江省卫生健康监管领域推行初次轻微违法行为不予处罚的意见的通知</w:t>
      </w:r>
      <w:r>
        <w:rPr>
          <w:rFonts w:hint="eastAsia" w:ascii="仿宋_GB2312" w:hAnsi="仿宋_GB2312" w:eastAsia="仿宋_GB2312" w:cs="仿宋_GB2312"/>
          <w:color w:val="auto"/>
          <w:kern w:val="2"/>
          <w:sz w:val="32"/>
          <w:szCs w:val="32"/>
          <w:lang w:val="en-US" w:eastAsia="zh-CN" w:bidi="ar-SA"/>
        </w:rPr>
        <w:t>》</w:t>
      </w:r>
      <w:r>
        <w:rPr>
          <w:rFonts w:hint="eastAsia" w:ascii="仿宋_GB2312" w:hAnsi="Calibri" w:eastAsia="仿宋_GB2312"/>
          <w:sz w:val="32"/>
          <w:szCs w:val="32"/>
        </w:rPr>
        <w:t>（浙卫发〔20</w:t>
      </w:r>
      <w:r>
        <w:rPr>
          <w:rFonts w:hint="eastAsia" w:ascii="仿宋_GB2312" w:hAnsi="Calibri" w:eastAsia="仿宋_GB2312"/>
          <w:sz w:val="32"/>
          <w:szCs w:val="32"/>
          <w:lang w:val="en-US" w:eastAsia="zh-CN"/>
        </w:rPr>
        <w:t>21</w:t>
      </w:r>
      <w:r>
        <w:rPr>
          <w:rFonts w:hint="eastAsia" w:ascii="仿宋_GB2312" w:hAnsi="Calibri" w:eastAsia="仿宋_GB2312"/>
          <w:sz w:val="32"/>
          <w:szCs w:val="32"/>
        </w:rPr>
        <w:t>〕</w:t>
      </w:r>
      <w:r>
        <w:rPr>
          <w:rFonts w:hint="eastAsia" w:ascii="仿宋_GB2312" w:hAnsi="Calibri" w:eastAsia="仿宋_GB2312"/>
          <w:sz w:val="32"/>
          <w:szCs w:val="32"/>
          <w:lang w:val="en-US" w:eastAsia="zh-CN"/>
        </w:rPr>
        <w:t>32</w:t>
      </w:r>
      <w:r>
        <w:rPr>
          <w:rFonts w:hint="eastAsia" w:ascii="仿宋_GB2312" w:hAnsi="Calibri" w:eastAsia="仿宋_GB2312"/>
          <w:sz w:val="32"/>
          <w:szCs w:val="32"/>
        </w:rPr>
        <w:t>号）</w:t>
      </w:r>
    </w:p>
    <w:p>
      <w:pPr>
        <w:pStyle w:val="2"/>
        <w:keepNext w:val="0"/>
        <w:keepLines w:val="0"/>
        <w:pageBreakBefore w:val="0"/>
        <w:kinsoku/>
        <w:wordWrap/>
        <w:overflowPunct/>
        <w:topLinePunct w:val="0"/>
        <w:autoSpaceDE/>
        <w:autoSpaceDN/>
        <w:bidi w:val="0"/>
        <w:spacing w:line="600" w:lineRule="exact"/>
        <w:ind w:firstLine="646"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Calibri" w:eastAsia="仿宋_GB2312"/>
          <w:sz w:val="32"/>
          <w:szCs w:val="32"/>
          <w:lang w:val="en-US" w:eastAsia="zh-CN"/>
        </w:rPr>
        <w:t>5</w:t>
      </w:r>
      <w:r>
        <w:rPr>
          <w:rFonts w:hint="eastAsia" w:ascii="仿宋_GB2312" w:hAnsi="Calibri" w:eastAsia="仿宋_GB2312"/>
          <w:sz w:val="32"/>
          <w:szCs w:val="32"/>
          <w:lang w:eastAsia="zh-CN"/>
        </w:rPr>
        <w:t>.</w:t>
      </w:r>
      <w:r>
        <w:rPr>
          <w:rFonts w:hint="eastAsia" w:ascii="仿宋_GB2312" w:hAnsi="仿宋_GB2312" w:eastAsia="仿宋_GB2312" w:cs="仿宋_GB2312"/>
          <w:color w:val="auto"/>
          <w:sz w:val="32"/>
          <w:szCs w:val="32"/>
          <w:lang w:val="en-US" w:eastAsia="zh-CN"/>
        </w:rPr>
        <w:t>《浙江省营商环境优化提升“一号改革工程”总体方案》</w:t>
      </w:r>
    </w:p>
    <w:p>
      <w:pPr>
        <w:adjustRightInd w:val="0"/>
        <w:snapToGrid w:val="0"/>
        <w:spacing w:line="620" w:lineRule="exact"/>
        <w:ind w:firstLine="646" w:firstLineChars="200"/>
        <w:rPr>
          <w:rFonts w:hint="eastAsia" w:ascii="黑体" w:hAnsi="黑体" w:eastAsia="黑体"/>
          <w:sz w:val="32"/>
          <w:szCs w:val="32"/>
        </w:rPr>
      </w:pPr>
      <w:r>
        <w:rPr>
          <w:rFonts w:hint="eastAsia" w:ascii="黑体" w:hAnsi="黑体" w:eastAsia="黑体"/>
          <w:sz w:val="32"/>
          <w:szCs w:val="32"/>
        </w:rPr>
        <w:t>三、主要内容</w:t>
      </w:r>
    </w:p>
    <w:p>
      <w:pPr>
        <w:adjustRightInd w:val="0"/>
        <w:snapToGrid w:val="0"/>
        <w:spacing w:line="620" w:lineRule="exact"/>
        <w:ind w:firstLine="645"/>
        <w:rPr>
          <w:rFonts w:ascii="仿宋_GB2312" w:hAnsi="Calibri" w:eastAsia="仿宋_GB2312"/>
          <w:sz w:val="32"/>
          <w:szCs w:val="32"/>
        </w:rPr>
      </w:pPr>
      <w:r>
        <w:rPr>
          <w:rFonts w:hint="eastAsia" w:ascii="仿宋_GB2312" w:hAnsi="Calibri" w:eastAsia="仿宋_GB2312"/>
          <w:sz w:val="32"/>
          <w:szCs w:val="32"/>
        </w:rPr>
        <w:t>正文内容共分</w:t>
      </w:r>
      <w:r>
        <w:rPr>
          <w:rFonts w:hint="eastAsia" w:ascii="仿宋_GB2312" w:hAnsi="Calibri" w:eastAsia="仿宋_GB2312"/>
          <w:sz w:val="32"/>
          <w:szCs w:val="32"/>
          <w:lang w:val="en-US" w:eastAsia="zh-CN"/>
        </w:rPr>
        <w:t>三</w:t>
      </w:r>
      <w:r>
        <w:rPr>
          <w:rFonts w:hint="eastAsia" w:ascii="仿宋_GB2312" w:hAnsi="Calibri" w:eastAsia="仿宋_GB2312"/>
          <w:sz w:val="32"/>
          <w:szCs w:val="32"/>
        </w:rPr>
        <w:t>个部分：</w:t>
      </w:r>
    </w:p>
    <w:p>
      <w:pPr>
        <w:adjustRightInd w:val="0"/>
        <w:snapToGrid w:val="0"/>
        <w:spacing w:line="620" w:lineRule="exact"/>
        <w:ind w:firstLine="645"/>
        <w:rPr>
          <w:rFonts w:hint="eastAsia" w:ascii="仿宋_GB2312" w:hAnsi="Calibri" w:eastAsia="仿宋_GB2312"/>
          <w:sz w:val="32"/>
          <w:szCs w:val="32"/>
          <w:lang w:val="en-US" w:eastAsia="zh-CN"/>
        </w:rPr>
      </w:pPr>
      <w:r>
        <w:rPr>
          <w:rFonts w:hint="eastAsia" w:ascii="楷体_GB2312" w:hAnsi="楷体_GB2312" w:eastAsia="楷体_GB2312" w:cs="楷体_GB2312"/>
          <w:b w:val="0"/>
          <w:bCs w:val="0"/>
          <w:sz w:val="32"/>
          <w:szCs w:val="32"/>
          <w:lang w:val="en-US" w:eastAsia="zh-CN"/>
        </w:rPr>
        <w:t>（一）总体要求。</w:t>
      </w:r>
      <w:r>
        <w:rPr>
          <w:rFonts w:hint="eastAsia" w:ascii="Times New Roman" w:hAnsi="Times New Roman" w:eastAsia="仿宋_GB2312" w:cs="仿宋_GB2312"/>
          <w:color w:val="auto"/>
          <w:sz w:val="32"/>
          <w:szCs w:val="32"/>
          <w:lang w:val="en-US" w:eastAsia="zh-CN"/>
        </w:rPr>
        <w:t>持续推进理念思路、治理方式、体制机制、平台载体变革重塑和迭代升级，加快健全职业病危害风险防范化解机制，推动职业健康监管领域服务提质增效，进一步提升职业健康监管服务的规范化、人性化、智慧化、便捷化水平，打造具有浙江辨识度的职业健康营商环境。</w:t>
      </w:r>
    </w:p>
    <w:p>
      <w:pPr>
        <w:adjustRightInd w:val="0"/>
        <w:snapToGrid w:val="0"/>
        <w:spacing w:line="620" w:lineRule="exact"/>
        <w:ind w:firstLine="645"/>
        <w:rPr>
          <w:rFonts w:hint="default" w:ascii="Times New Roman" w:hAnsi="Times New Roman" w:eastAsia="仿宋_GB2312" w:cs="仿宋_GB2312"/>
          <w:color w:val="auto"/>
          <w:sz w:val="32"/>
          <w:szCs w:val="32"/>
          <w:lang w:val="en-US" w:eastAsia="zh-CN"/>
        </w:rPr>
      </w:pPr>
      <w:r>
        <w:rPr>
          <w:rFonts w:hint="eastAsia" w:ascii="楷体_GB2312" w:hAnsi="楷体_GB2312" w:eastAsia="楷体_GB2312" w:cs="楷体_GB2312"/>
          <w:b w:val="0"/>
          <w:bCs w:val="0"/>
          <w:sz w:val="32"/>
          <w:szCs w:val="32"/>
          <w:lang w:val="en-US" w:eastAsia="zh-CN"/>
        </w:rPr>
        <w:t>（二）</w:t>
      </w:r>
      <w:r>
        <w:rPr>
          <w:rFonts w:hint="default" w:ascii="楷体_GB2312" w:hAnsi="楷体_GB2312" w:eastAsia="楷体_GB2312" w:cs="楷体_GB2312"/>
          <w:b w:val="0"/>
          <w:bCs w:val="0"/>
          <w:sz w:val="32"/>
          <w:szCs w:val="32"/>
          <w:lang w:val="en-US" w:eastAsia="zh-CN"/>
        </w:rPr>
        <w:t>主要</w:t>
      </w:r>
      <w:r>
        <w:rPr>
          <w:rFonts w:hint="eastAsia" w:ascii="楷体_GB2312" w:hAnsi="楷体_GB2312" w:eastAsia="楷体_GB2312" w:cs="楷体_GB2312"/>
          <w:b w:val="0"/>
          <w:bCs w:val="0"/>
          <w:sz w:val="32"/>
          <w:szCs w:val="32"/>
          <w:lang w:val="en-US" w:eastAsia="zh-CN"/>
        </w:rPr>
        <w:t>任务。</w:t>
      </w:r>
      <w:r>
        <w:rPr>
          <w:rFonts w:hint="eastAsia" w:ascii="Times New Roman" w:hAnsi="Times New Roman" w:eastAsia="仿宋_GB2312" w:cs="仿宋_GB2312"/>
          <w:color w:val="auto"/>
          <w:sz w:val="32"/>
          <w:szCs w:val="32"/>
          <w:lang w:val="en-US" w:eastAsia="zh-CN"/>
        </w:rPr>
        <w:t>优化提升“五大场景”。一是优化提升职业健康全流程服务场景，建立职业健康体检智慧预约机制，健全职业健康检测服务全过程管控机制，优化职业病诊断标准和工作程序，积极探索基层尘肺病患者的康复治疗模式。二是优化提升职业健康全方位管理场景，推进健康企业建设，推广职业健康管理人员线上培训，加强职业病诊断过程规范性培训，推广“线上问诊” ，探索用人单位职业健康现场实训基地建设。三是优化提升职业健康包容审慎监管场景。完善风险提前化解机制，推行初次轻微违法不予处罚制度。四是优化提升职业健康创新执法场景。推广非现场执法，推行分类监督执法，推动信用监管。五是优化提升职业健康法治场景。推行行政行为码，健全行政裁量权基准制度，完善执法案卷评查制度。</w:t>
      </w:r>
    </w:p>
    <w:p>
      <w:pPr>
        <w:keepNext w:val="0"/>
        <w:keepLines w:val="0"/>
        <w:pageBreakBefore w:val="0"/>
        <w:widowControl w:val="0"/>
        <w:kinsoku/>
        <w:wordWrap/>
        <w:overflowPunct/>
        <w:topLinePunct w:val="0"/>
        <w:autoSpaceDE/>
        <w:autoSpaceDN/>
        <w:bidi w:val="0"/>
        <w:adjustRightInd w:val="0"/>
        <w:snapToGrid w:val="0"/>
        <w:spacing w:line="600" w:lineRule="exact"/>
        <w:ind w:firstLine="646" w:firstLineChars="200"/>
        <w:textAlignment w:val="auto"/>
        <w:rPr>
          <w:rFonts w:hint="default" w:ascii="Times New Roman" w:hAnsi="Times New Roman" w:eastAsia="黑体" w:cs="Times New Roman"/>
          <w:kern w:val="0"/>
          <w:sz w:val="32"/>
          <w:szCs w:val="32"/>
          <w:lang w:val="en-US" w:eastAsia="zh-CN" w:bidi="ar"/>
        </w:rPr>
      </w:pPr>
      <w:r>
        <w:rPr>
          <w:rFonts w:hint="eastAsia" w:ascii="楷体_GB2312" w:hAnsi="楷体_GB2312" w:eastAsia="楷体_GB2312" w:cs="楷体_GB2312"/>
          <w:b w:val="0"/>
          <w:bCs w:val="0"/>
          <w:sz w:val="32"/>
          <w:szCs w:val="32"/>
          <w:lang w:val="en-US" w:eastAsia="zh-CN"/>
        </w:rPr>
        <w:t>（三）保障措施。</w:t>
      </w:r>
      <w:r>
        <w:rPr>
          <w:rFonts w:hint="eastAsia" w:ascii="Times New Roman" w:hAnsi="Times New Roman" w:eastAsia="仿宋_GB2312" w:cs="仿宋_GB2312"/>
          <w:color w:val="auto"/>
          <w:sz w:val="32"/>
          <w:szCs w:val="32"/>
          <w:lang w:val="en-US" w:eastAsia="zh-CN"/>
        </w:rPr>
        <w:t>对于组织领导、</w:t>
      </w:r>
      <w:r>
        <w:rPr>
          <w:rFonts w:hint="default" w:ascii="Times New Roman" w:hAnsi="Times New Roman" w:eastAsia="仿宋_GB2312" w:cs="仿宋_GB2312"/>
          <w:color w:val="auto"/>
          <w:sz w:val="32"/>
          <w:szCs w:val="32"/>
          <w:lang w:val="en-US" w:eastAsia="zh-CN"/>
        </w:rPr>
        <w:t>机制保障</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信息融合</w:t>
      </w:r>
      <w:r>
        <w:rPr>
          <w:rFonts w:hint="eastAsia" w:ascii="Times New Roman" w:hAnsi="Times New Roman" w:eastAsia="仿宋_GB2312" w:cs="仿宋_GB2312"/>
          <w:color w:val="auto"/>
          <w:sz w:val="32"/>
          <w:szCs w:val="32"/>
          <w:lang w:val="en-US" w:eastAsia="zh-CN"/>
        </w:rPr>
        <w:t>、</w:t>
      </w:r>
      <w:r>
        <w:rPr>
          <w:rFonts w:hint="default" w:ascii="Times New Roman" w:hAnsi="Times New Roman" w:eastAsia="仿宋_GB2312" w:cs="仿宋_GB2312"/>
          <w:color w:val="auto"/>
          <w:sz w:val="32"/>
          <w:szCs w:val="32"/>
          <w:lang w:val="en-US" w:eastAsia="zh-CN"/>
        </w:rPr>
        <w:t>宣传引导</w:t>
      </w:r>
      <w:r>
        <w:rPr>
          <w:rFonts w:hint="eastAsia" w:ascii="Times New Roman" w:hAnsi="Times New Roman" w:eastAsia="仿宋_GB2312" w:cs="仿宋_GB2312"/>
          <w:color w:val="auto"/>
          <w:sz w:val="32"/>
          <w:szCs w:val="32"/>
          <w:lang w:val="en-US" w:eastAsia="zh-CN"/>
        </w:rPr>
        <w:t>进行明确。</w:t>
      </w:r>
    </w:p>
    <w:p>
      <w:pPr>
        <w:spacing w:line="620" w:lineRule="exact"/>
        <w:ind w:firstLine="646" w:firstLineChars="200"/>
        <w:rPr>
          <w:rFonts w:ascii="仿宋_GB2312" w:eastAsia="仿宋_GB2312"/>
          <w:sz w:val="32"/>
          <w:szCs w:val="32"/>
        </w:rPr>
      </w:pPr>
      <w:r>
        <w:rPr>
          <w:rFonts w:hint="eastAsia" w:ascii="黑体" w:hAnsi="黑体" w:eastAsia="黑体" w:cs="仿宋"/>
          <w:sz w:val="32"/>
          <w:szCs w:val="32"/>
        </w:rPr>
        <w:t>四、起草过程</w:t>
      </w:r>
    </w:p>
    <w:p>
      <w:pPr>
        <w:adjustRightInd w:val="0"/>
        <w:snapToGrid w:val="0"/>
        <w:spacing w:line="620" w:lineRule="exact"/>
        <w:ind w:firstLine="646" w:firstLineChars="200"/>
        <w:rPr>
          <w:rFonts w:hint="default" w:ascii="仿宋_GB2312" w:hAnsi="Calibri" w:eastAsia="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2023年2月初，我委开展“优化营商环境，促进用人单位健康发展”专题调研，了解用人单位在职业健康管理中的困难和需求，汇集各有关方面对于职业健康监管服务的意见建议，形成调研报告。4月，</w:t>
      </w:r>
      <w:r>
        <w:rPr>
          <w:rFonts w:hint="eastAsia" w:ascii="仿宋_GB2312" w:hAnsi="Calibri" w:eastAsia="仿宋_GB2312"/>
          <w:sz w:val="32"/>
          <w:szCs w:val="32"/>
        </w:rPr>
        <w:t>起草了《关于优化提升职业健康监管领域营商环境的实施意见》（初稿）</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5月，</w:t>
      </w:r>
      <w:r>
        <w:rPr>
          <w:rFonts w:hint="eastAsia" w:ascii="仿宋_GB2312" w:hAnsi="Calibri" w:eastAsia="仿宋_GB2312"/>
          <w:sz w:val="32"/>
          <w:szCs w:val="32"/>
        </w:rPr>
        <w:t>组织</w:t>
      </w:r>
      <w:r>
        <w:rPr>
          <w:rFonts w:hint="eastAsia" w:ascii="仿宋_GB2312" w:hAnsi="Calibri" w:eastAsia="仿宋_GB2312"/>
          <w:sz w:val="32"/>
          <w:szCs w:val="32"/>
          <w:lang w:val="en-US" w:eastAsia="zh-CN"/>
        </w:rPr>
        <w:t>部分市、县卫生健康行政执法机构执法人员</w:t>
      </w:r>
      <w:r>
        <w:rPr>
          <w:rFonts w:hint="eastAsia" w:ascii="仿宋_GB2312" w:hAnsi="Calibri" w:eastAsia="仿宋_GB2312"/>
          <w:sz w:val="32"/>
          <w:szCs w:val="32"/>
        </w:rPr>
        <w:t>开展</w:t>
      </w:r>
      <w:r>
        <w:rPr>
          <w:rFonts w:hint="eastAsia" w:ascii="仿宋_GB2312" w:hAnsi="Calibri" w:eastAsia="仿宋_GB2312"/>
          <w:sz w:val="32"/>
          <w:szCs w:val="32"/>
          <w:lang w:val="en-US" w:eastAsia="zh-CN"/>
        </w:rPr>
        <w:t>修订讨论</w:t>
      </w:r>
      <w:r>
        <w:rPr>
          <w:rFonts w:hint="eastAsia" w:ascii="仿宋_GB2312" w:hAnsi="Calibri" w:eastAsia="仿宋_GB2312"/>
          <w:sz w:val="32"/>
          <w:szCs w:val="32"/>
        </w:rPr>
        <w:t>会，</w:t>
      </w:r>
      <w:r>
        <w:rPr>
          <w:rFonts w:hint="eastAsia" w:ascii="仿宋_GB2312" w:hAnsi="Calibri" w:eastAsia="仿宋_GB2312"/>
          <w:sz w:val="32"/>
          <w:szCs w:val="32"/>
          <w:lang w:eastAsia="zh-CN"/>
        </w:rPr>
        <w:t>对</w:t>
      </w:r>
      <w:r>
        <w:rPr>
          <w:rFonts w:hint="eastAsia" w:ascii="仿宋_GB2312" w:hAnsi="Calibri" w:eastAsia="仿宋_GB2312"/>
          <w:sz w:val="32"/>
          <w:szCs w:val="32"/>
          <w:lang w:val="en-US" w:eastAsia="zh-CN"/>
        </w:rPr>
        <w:t>文稿</w:t>
      </w:r>
      <w:r>
        <w:rPr>
          <w:rFonts w:hint="eastAsia" w:ascii="仿宋_GB2312" w:hAnsi="Calibri" w:eastAsia="仿宋_GB2312"/>
          <w:sz w:val="32"/>
          <w:szCs w:val="32"/>
          <w:lang w:eastAsia="zh-CN"/>
        </w:rPr>
        <w:t>初稿进行修订</w:t>
      </w:r>
      <w:r>
        <w:rPr>
          <w:rFonts w:hint="eastAsia" w:ascii="仿宋_GB2312" w:hAnsi="Calibri" w:eastAsia="仿宋_GB2312"/>
          <w:sz w:val="32"/>
          <w:szCs w:val="32"/>
          <w:lang w:val="en-US" w:eastAsia="zh-CN"/>
        </w:rPr>
        <w:t>完善，形成征求意见稿。5月15日，分别向委机关规划处、法规处、疾控处、医政处、健康处等5个</w:t>
      </w:r>
      <w:r>
        <w:rPr>
          <w:rFonts w:hint="eastAsia" w:ascii="仿宋_GB2312" w:hAnsi="Calibri" w:eastAsia="仿宋_GB2312"/>
          <w:sz w:val="32"/>
          <w:szCs w:val="32"/>
        </w:rPr>
        <w:t>相关处室</w:t>
      </w:r>
      <w:r>
        <w:rPr>
          <w:rFonts w:hint="eastAsia" w:ascii="仿宋_GB2312" w:hAnsi="Calibri" w:eastAsia="仿宋_GB2312"/>
          <w:sz w:val="32"/>
          <w:szCs w:val="32"/>
          <w:lang w:val="en-US" w:eastAsia="zh-CN"/>
        </w:rPr>
        <w:t>和</w:t>
      </w:r>
      <w:r>
        <w:rPr>
          <w:rFonts w:hint="eastAsia" w:ascii="仿宋_GB2312" w:hAnsi="Calibri" w:eastAsia="仿宋_GB2312"/>
          <w:sz w:val="32"/>
          <w:szCs w:val="32"/>
        </w:rPr>
        <w:t>11个市级卫生健康行政部门</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省疾控中心、省职业病防治院（省人民医院）</w:t>
      </w:r>
      <w:r>
        <w:rPr>
          <w:rFonts w:hint="eastAsia" w:ascii="仿宋_GB2312" w:hAnsi="Calibri" w:eastAsia="仿宋_GB2312"/>
          <w:sz w:val="32"/>
          <w:szCs w:val="32"/>
        </w:rPr>
        <w:t>征求意见</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收集意见修改后，最终形成本次向社会公示的</w:t>
      </w:r>
      <w:r>
        <w:rPr>
          <w:rFonts w:hint="eastAsia" w:ascii="仿宋_GB2312" w:hAnsi="Calibri" w:eastAsia="仿宋_GB2312"/>
          <w:sz w:val="32"/>
          <w:szCs w:val="32"/>
          <w:lang w:eastAsia="zh-CN"/>
        </w:rPr>
        <w:t>《</w:t>
      </w:r>
      <w:r>
        <w:rPr>
          <w:rFonts w:hint="eastAsia" w:ascii="仿宋_GB2312" w:hAnsi="Calibri" w:eastAsia="仿宋_GB2312"/>
          <w:sz w:val="32"/>
          <w:szCs w:val="32"/>
        </w:rPr>
        <w:t>关于优化提升职业健康监管领域营商环境的实施意见》（征求意见稿）</w:t>
      </w:r>
      <w:r>
        <w:rPr>
          <w:rFonts w:hint="eastAsia" w:ascii="仿宋_GB2312" w:hAnsi="Calibri" w:eastAsia="仿宋_GB2312"/>
          <w:sz w:val="32"/>
          <w:szCs w:val="32"/>
          <w:lang w:val="en-US" w:eastAsia="zh-CN"/>
        </w:rPr>
        <w:t>。</w:t>
      </w:r>
    </w:p>
    <w:sectPr>
      <w:footerReference r:id="rId3" w:type="default"/>
      <w:pgSz w:w="11906" w:h="16838"/>
      <w:pgMar w:top="1440" w:right="1797" w:bottom="1440" w:left="1797" w:header="851" w:footer="992" w:gutter="0"/>
      <w:pgNumType w:fmt="decimal"/>
      <w:cols w:space="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fldChar w:fldCharType="begin"/>
                          </w:r>
                          <w:r>
                            <w:rPr>
                              <w:rFonts w:hint="default" w:ascii="Times New Roman" w:hAnsi="Times New Roman" w:eastAsia="仿宋_GB2312" w:cs="Times New Roman"/>
                              <w:sz w:val="24"/>
                              <w:szCs w:val="24"/>
                              <w:lang w:eastAsia="zh-CN"/>
                            </w:rPr>
                            <w:instrText xml:space="preserve"> PAGE  \* MERGEFORMAT </w:instrText>
                          </w:r>
                          <w:r>
                            <w:rPr>
                              <w:rFonts w:hint="default" w:ascii="Times New Roman" w:hAnsi="Times New Roman" w:eastAsia="仿宋_GB2312" w:cs="Times New Roman"/>
                              <w:sz w:val="24"/>
                              <w:szCs w:val="24"/>
                              <w:lang w:eastAsia="zh-CN"/>
                            </w:rPr>
                            <w:fldChar w:fldCharType="separate"/>
                          </w:r>
                          <w:r>
                            <w:rPr>
                              <w:rFonts w:hint="default" w:ascii="Times New Roman" w:hAnsi="Times New Roman" w:eastAsia="仿宋_GB2312" w:cs="Times New Roman"/>
                              <w:sz w:val="24"/>
                              <w:szCs w:val="24"/>
                              <w:lang w:eastAsia="zh-CN"/>
                            </w:rPr>
                            <w:t>1</w:t>
                          </w:r>
                          <w:r>
                            <w:rPr>
                              <w:rFonts w:hint="default" w:ascii="Times New Roman" w:hAnsi="Times New Roman" w:eastAsia="仿宋_GB2312"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fldChar w:fldCharType="begin"/>
                    </w:r>
                    <w:r>
                      <w:rPr>
                        <w:rFonts w:hint="default" w:ascii="Times New Roman" w:hAnsi="Times New Roman" w:eastAsia="仿宋_GB2312" w:cs="Times New Roman"/>
                        <w:sz w:val="24"/>
                        <w:szCs w:val="24"/>
                        <w:lang w:eastAsia="zh-CN"/>
                      </w:rPr>
                      <w:instrText xml:space="preserve"> PAGE  \* MERGEFORMAT </w:instrText>
                    </w:r>
                    <w:r>
                      <w:rPr>
                        <w:rFonts w:hint="default" w:ascii="Times New Roman" w:hAnsi="Times New Roman" w:eastAsia="仿宋_GB2312" w:cs="Times New Roman"/>
                        <w:sz w:val="24"/>
                        <w:szCs w:val="24"/>
                        <w:lang w:eastAsia="zh-CN"/>
                      </w:rPr>
                      <w:fldChar w:fldCharType="separate"/>
                    </w:r>
                    <w:r>
                      <w:rPr>
                        <w:rFonts w:hint="default" w:ascii="Times New Roman" w:hAnsi="Times New Roman" w:eastAsia="仿宋_GB2312" w:cs="Times New Roman"/>
                        <w:sz w:val="24"/>
                        <w:szCs w:val="24"/>
                        <w:lang w:eastAsia="zh-CN"/>
                      </w:rPr>
                      <w:t>1</w:t>
                    </w:r>
                    <w:r>
                      <w:rPr>
                        <w:rFonts w:hint="default" w:ascii="Times New Roman" w:hAnsi="Times New Roman" w:eastAsia="仿宋_GB2312" w:cs="Times New Roman"/>
                        <w:sz w:val="24"/>
                        <w:szCs w:val="24"/>
                        <w:lang w:eastAsia="zh-CN"/>
                      </w:rPr>
                      <w:fldChar w:fldCharType="end"/>
                    </w:r>
                  </w:p>
                </w:txbxContent>
              </v:textbox>
            </v:shape>
          </w:pict>
        </mc:Fallback>
      </mc:AlternateContent>
    </w:r>
  </w:p>
  <w:p>
    <w:pPr>
      <w:pStyle w:val="9"/>
      <w:rPr>
        <w:rFonts w:hint="default"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4D"/>
    <w:rsid w:val="00020A9F"/>
    <w:rsid w:val="00034D93"/>
    <w:rsid w:val="000E5451"/>
    <w:rsid w:val="0010274D"/>
    <w:rsid w:val="0012735D"/>
    <w:rsid w:val="00167972"/>
    <w:rsid w:val="0021720A"/>
    <w:rsid w:val="002268E9"/>
    <w:rsid w:val="00237221"/>
    <w:rsid w:val="00243557"/>
    <w:rsid w:val="00281833"/>
    <w:rsid w:val="002F2F0A"/>
    <w:rsid w:val="00301189"/>
    <w:rsid w:val="00430FA9"/>
    <w:rsid w:val="004B68C6"/>
    <w:rsid w:val="005177D9"/>
    <w:rsid w:val="005314F3"/>
    <w:rsid w:val="00535B93"/>
    <w:rsid w:val="005512D7"/>
    <w:rsid w:val="005619B1"/>
    <w:rsid w:val="00566C6A"/>
    <w:rsid w:val="00644B31"/>
    <w:rsid w:val="00644D7D"/>
    <w:rsid w:val="00657089"/>
    <w:rsid w:val="006D14AB"/>
    <w:rsid w:val="0074184F"/>
    <w:rsid w:val="007D6AC1"/>
    <w:rsid w:val="007F2306"/>
    <w:rsid w:val="008316D3"/>
    <w:rsid w:val="00863E95"/>
    <w:rsid w:val="00893462"/>
    <w:rsid w:val="008A763F"/>
    <w:rsid w:val="008B0EF6"/>
    <w:rsid w:val="008B658C"/>
    <w:rsid w:val="008D0578"/>
    <w:rsid w:val="009205B1"/>
    <w:rsid w:val="00961C28"/>
    <w:rsid w:val="009852A8"/>
    <w:rsid w:val="009B0A82"/>
    <w:rsid w:val="009B3792"/>
    <w:rsid w:val="009D6A80"/>
    <w:rsid w:val="00A32D8E"/>
    <w:rsid w:val="00A65A1D"/>
    <w:rsid w:val="00A91C19"/>
    <w:rsid w:val="00A95596"/>
    <w:rsid w:val="00AD1DFD"/>
    <w:rsid w:val="00AD5697"/>
    <w:rsid w:val="00B90D99"/>
    <w:rsid w:val="00B917DD"/>
    <w:rsid w:val="00BF7647"/>
    <w:rsid w:val="00C13EE5"/>
    <w:rsid w:val="00C454DE"/>
    <w:rsid w:val="00C705A1"/>
    <w:rsid w:val="00C93659"/>
    <w:rsid w:val="00CD29E3"/>
    <w:rsid w:val="00DA4A89"/>
    <w:rsid w:val="00DD6FC6"/>
    <w:rsid w:val="00E31AF1"/>
    <w:rsid w:val="00E530C4"/>
    <w:rsid w:val="00E562A0"/>
    <w:rsid w:val="00EE5BD9"/>
    <w:rsid w:val="00EE7C10"/>
    <w:rsid w:val="00F20120"/>
    <w:rsid w:val="00F42311"/>
    <w:rsid w:val="00F564EB"/>
    <w:rsid w:val="00FB7B09"/>
    <w:rsid w:val="01D41F47"/>
    <w:rsid w:val="03F54095"/>
    <w:rsid w:val="06217471"/>
    <w:rsid w:val="079769B8"/>
    <w:rsid w:val="08613ABC"/>
    <w:rsid w:val="0E097019"/>
    <w:rsid w:val="0EC13029"/>
    <w:rsid w:val="0F805DCB"/>
    <w:rsid w:val="14440E93"/>
    <w:rsid w:val="14AA0E1B"/>
    <w:rsid w:val="14E10A4F"/>
    <w:rsid w:val="15605204"/>
    <w:rsid w:val="1B6A77DA"/>
    <w:rsid w:val="1BAC082D"/>
    <w:rsid w:val="1D0E1CDA"/>
    <w:rsid w:val="1E3E02F5"/>
    <w:rsid w:val="1F4546DA"/>
    <w:rsid w:val="1FDB1691"/>
    <w:rsid w:val="208C3F4C"/>
    <w:rsid w:val="21B866EC"/>
    <w:rsid w:val="22074C35"/>
    <w:rsid w:val="24F0378C"/>
    <w:rsid w:val="26B64400"/>
    <w:rsid w:val="2AA45A5D"/>
    <w:rsid w:val="2B8463A9"/>
    <w:rsid w:val="2F0F4BF6"/>
    <w:rsid w:val="3077276B"/>
    <w:rsid w:val="30DF0F1E"/>
    <w:rsid w:val="31B95C48"/>
    <w:rsid w:val="332005F9"/>
    <w:rsid w:val="34394356"/>
    <w:rsid w:val="35B802D5"/>
    <w:rsid w:val="376025D1"/>
    <w:rsid w:val="37E32ECE"/>
    <w:rsid w:val="3AF51BC3"/>
    <w:rsid w:val="3CD00593"/>
    <w:rsid w:val="3DA126AD"/>
    <w:rsid w:val="3E627615"/>
    <w:rsid w:val="3F07333E"/>
    <w:rsid w:val="3F6758E2"/>
    <w:rsid w:val="405A18EB"/>
    <w:rsid w:val="406244DE"/>
    <w:rsid w:val="40A35DA7"/>
    <w:rsid w:val="427A5D79"/>
    <w:rsid w:val="45346CB5"/>
    <w:rsid w:val="45BA02C4"/>
    <w:rsid w:val="487F334E"/>
    <w:rsid w:val="48D822C9"/>
    <w:rsid w:val="4AF53B3E"/>
    <w:rsid w:val="52973764"/>
    <w:rsid w:val="548B35D5"/>
    <w:rsid w:val="55FF45D2"/>
    <w:rsid w:val="5EBA0906"/>
    <w:rsid w:val="617A44DB"/>
    <w:rsid w:val="61D506C2"/>
    <w:rsid w:val="63A00D8B"/>
    <w:rsid w:val="66E754AE"/>
    <w:rsid w:val="66F60F81"/>
    <w:rsid w:val="684455B6"/>
    <w:rsid w:val="689024B3"/>
    <w:rsid w:val="6A515A3D"/>
    <w:rsid w:val="6A5C014E"/>
    <w:rsid w:val="6E2E6D83"/>
    <w:rsid w:val="701929C2"/>
    <w:rsid w:val="70E2231A"/>
    <w:rsid w:val="712C442E"/>
    <w:rsid w:val="74206930"/>
    <w:rsid w:val="76DB7ADD"/>
    <w:rsid w:val="784D4E7D"/>
    <w:rsid w:val="7B390105"/>
    <w:rsid w:val="7D2B61A0"/>
    <w:rsid w:val="7FE11E2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100" w:beforeAutospacing="1" w:after="100" w:afterAutospacing="1" w:line="460" w:lineRule="exact"/>
      <w:jc w:val="center"/>
      <w:outlineLvl w:val="0"/>
    </w:pPr>
    <w:rPr>
      <w:b/>
      <w:bCs/>
      <w:kern w:val="44"/>
      <w:sz w:val="30"/>
      <w:szCs w:val="44"/>
    </w:rPr>
  </w:style>
  <w:style w:type="paragraph" w:styleId="4">
    <w:name w:val="heading 2"/>
    <w:basedOn w:val="1"/>
    <w:next w:val="1"/>
    <w:qFormat/>
    <w:uiPriority w:val="0"/>
    <w:pPr>
      <w:keepNext/>
      <w:keepLines/>
      <w:spacing w:before="100" w:beforeAutospacing="1" w:after="100" w:afterAutospacing="1" w:line="460" w:lineRule="exact"/>
      <w:ind w:firstLine="200" w:firstLineChars="200"/>
      <w:jc w:val="left"/>
      <w:outlineLvl w:val="1"/>
    </w:pPr>
    <w:rPr>
      <w:rFonts w:ascii="Arial" w:hAnsi="Arial"/>
      <w:b/>
      <w:bCs/>
      <w:sz w:val="24"/>
      <w:szCs w:val="32"/>
    </w:rPr>
  </w:style>
  <w:style w:type="paragraph" w:styleId="5">
    <w:name w:val="heading 3"/>
    <w:basedOn w:val="1"/>
    <w:next w:val="1"/>
    <w:qFormat/>
    <w:uiPriority w:val="0"/>
    <w:pPr>
      <w:spacing w:before="100" w:beforeAutospacing="1" w:after="100" w:afterAutospacing="1" w:line="460" w:lineRule="exact"/>
      <w:ind w:firstLine="200" w:firstLineChars="200"/>
      <w:jc w:val="left"/>
      <w:outlineLvl w:val="2"/>
    </w:pPr>
    <w:rPr>
      <w:b/>
      <w:bCs/>
      <w:sz w:val="24"/>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after="120"/>
    </w:pPr>
  </w:style>
  <w:style w:type="paragraph" w:styleId="6">
    <w:name w:val="toc 3"/>
    <w:basedOn w:val="1"/>
    <w:next w:val="1"/>
    <w:qFormat/>
    <w:uiPriority w:val="39"/>
    <w:pPr>
      <w:tabs>
        <w:tab w:val="right" w:leader="dot" w:pos="13948"/>
      </w:tabs>
      <w:ind w:left="420"/>
      <w:jc w:val="center"/>
    </w:pPr>
    <w:rPr>
      <w:rFonts w:ascii="宋体" w:hAnsi="宋体"/>
      <w:b/>
      <w:sz w:val="44"/>
      <w:szCs w:val="44"/>
    </w:rPr>
  </w:style>
  <w:style w:type="paragraph" w:styleId="7">
    <w:name w:val="Body Text Indent 2"/>
    <w:basedOn w:val="1"/>
    <w:qFormat/>
    <w:uiPriority w:val="0"/>
    <w:pPr>
      <w:spacing w:line="480" w:lineRule="exact"/>
      <w:ind w:firstLine="435"/>
    </w:pPr>
    <w:rPr>
      <w:b/>
      <w:bCs/>
      <w:szCs w:val="24"/>
    </w:rPr>
  </w:style>
  <w:style w:type="paragraph" w:styleId="8">
    <w:name w:val="Balloon Text"/>
    <w:basedOn w:val="1"/>
    <w:link w:val="22"/>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b/>
      <w:bCs/>
      <w:caps/>
      <w:sz w:val="20"/>
      <w:szCs w:val="20"/>
    </w:rPr>
  </w:style>
  <w:style w:type="paragraph" w:styleId="12">
    <w:name w:val="Normal (Web)"/>
    <w:basedOn w:val="1"/>
    <w:unhideWhenUsed/>
    <w:qFormat/>
    <w:uiPriority w:val="99"/>
    <w:rPr>
      <w:rFonts w:ascii="Times New Roman" w:hAnsi="Times New Roman" w:cs="Times New Roman"/>
      <w:sz w:val="24"/>
      <w:szCs w:val="24"/>
    </w:rPr>
  </w:style>
  <w:style w:type="paragraph" w:styleId="13">
    <w:name w:val="Body Text First Indent 2"/>
    <w:basedOn w:val="2"/>
    <w:next w:val="1"/>
    <w:qFormat/>
    <w:uiPriority w:val="0"/>
    <w:pPr>
      <w:spacing w:after="0"/>
      <w:ind w:left="0" w:leftChars="0" w:firstLine="420" w:firstLineChars="200"/>
    </w:pPr>
    <w:rPr>
      <w:rFonts w:eastAsia="仿宋_GB2312"/>
      <w:szCs w:val="20"/>
    </w:rPr>
  </w:style>
  <w:style w:type="table" w:styleId="15">
    <w:name w:val="Table Grid"/>
    <w:basedOn w:val="14"/>
    <w:qFormat/>
    <w:uiPriority w:val="0"/>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FollowedHyperlink"/>
    <w:basedOn w:val="16"/>
    <w:semiHidden/>
    <w:unhideWhenUsed/>
    <w:uiPriority w:val="99"/>
    <w:rPr>
      <w:color w:val="005C81"/>
      <w:u w:val="none"/>
    </w:rPr>
  </w:style>
  <w:style w:type="character" w:styleId="18">
    <w:name w:val="Emphasis"/>
    <w:basedOn w:val="16"/>
    <w:qFormat/>
    <w:uiPriority w:val="20"/>
  </w:style>
  <w:style w:type="character" w:styleId="19">
    <w:name w:val="Hyperlink"/>
    <w:basedOn w:val="16"/>
    <w:semiHidden/>
    <w:unhideWhenUsed/>
    <w:uiPriority w:val="99"/>
    <w:rPr>
      <w:color w:val="005C81"/>
      <w:u w:val="none"/>
    </w:rPr>
  </w:style>
  <w:style w:type="character" w:customStyle="1" w:styleId="20">
    <w:name w:val="页眉 Char"/>
    <w:basedOn w:val="16"/>
    <w:link w:val="10"/>
    <w:qFormat/>
    <w:uiPriority w:val="99"/>
    <w:rPr>
      <w:sz w:val="18"/>
      <w:szCs w:val="18"/>
    </w:rPr>
  </w:style>
  <w:style w:type="character" w:customStyle="1" w:styleId="21">
    <w:name w:val="页脚 Char"/>
    <w:basedOn w:val="16"/>
    <w:link w:val="9"/>
    <w:qFormat/>
    <w:uiPriority w:val="99"/>
    <w:rPr>
      <w:sz w:val="18"/>
      <w:szCs w:val="18"/>
    </w:rPr>
  </w:style>
  <w:style w:type="character" w:customStyle="1" w:styleId="22">
    <w:name w:val="批注框文本 Char"/>
    <w:basedOn w:val="16"/>
    <w:link w:val="8"/>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307</Words>
  <Characters>1753</Characters>
  <Lines>14</Lines>
  <Paragraphs>4</Paragraphs>
  <TotalTime>2</TotalTime>
  <ScaleCrop>false</ScaleCrop>
  <LinksUpToDate>false</LinksUpToDate>
  <CharactersWithSpaces>2056</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2018-02-13T03:44:00Z</dcterms:created>
  <dc:creator>SONY</dc:creator>
  <cp:lastModifiedBy>lenovo</cp:lastModifiedBy>
  <cp:lastPrinted>2019-10-31T00:57:00Z</cp:lastPrinted>
  <dcterms:modified xsi:type="dcterms:W3CDTF">2023-05-18T01:17:26Z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