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7A67F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545C4BF9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14:paraId="18623949">
      <w:pPr>
        <w:spacing w:line="1020" w:lineRule="exact"/>
        <w:jc w:val="center"/>
        <w:rPr>
          <w:rFonts w:ascii="方正小标宋简体" w:eastAsia="方正小标宋简体"/>
          <w:color w:val="FF0000"/>
          <w:sz w:val="88"/>
          <w:szCs w:val="86"/>
        </w:rPr>
      </w:pPr>
      <w:r>
        <w:rPr>
          <w:rFonts w:hint="eastAsia" w:ascii="方正小标宋简体" w:eastAsia="方正小标宋简体"/>
          <w:color w:val="FF0000"/>
          <w:sz w:val="88"/>
          <w:szCs w:val="86"/>
        </w:rPr>
        <w:t>嵊泗县经济和信息化局</w:t>
      </w:r>
    </w:p>
    <w:p w14:paraId="5655DF22">
      <w:pPr>
        <w:rPr>
          <w:rFonts w:eastAsia="仿宋"/>
          <w:sz w:val="32"/>
          <w:szCs w:val="32"/>
        </w:rPr>
      </w:pPr>
      <w:r>
        <w:rPr>
          <w:rFonts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396240</wp:posOffset>
                </wp:positionV>
                <wp:extent cx="6067425" cy="0"/>
                <wp:effectExtent l="0" t="13970" r="9525" b="1460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8.05pt;margin-top:31.2pt;height:0pt;width:477.75pt;z-index:251659264;mso-width-relative:page;mso-height-relative:page;" filled="f" stroked="t" coordsize="21600,21600" o:gfxdata="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wkNDXAAAACQEAAA8AAAAAAAAAAQAgAAAAIgAAAGRy&#10;cy9kb3ducmV2LnhtbFBLAQIUABQAAAAIAIdO4kBsIe6EzQEAAKADAAAOAAAAAAAAAAEAIAAAACY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810744F">
      <w:pPr>
        <w:pStyle w:val="8"/>
        <w:ind w:firstLine="640" w:firstLineChars="200"/>
      </w:pPr>
    </w:p>
    <w:p w14:paraId="5C6DDE3A">
      <w:pPr>
        <w:pStyle w:val="11"/>
        <w:rPr>
          <w:rFonts w:hint="eastAsia" w:hAnsi="宋体"/>
        </w:rPr>
      </w:pPr>
      <w:r>
        <w:rPr>
          <w:rFonts w:hint="eastAsia" w:hAnsi="宋体"/>
        </w:rPr>
        <w:t>关于征求《</w:t>
      </w:r>
      <w:r>
        <w:rPr>
          <w:rFonts w:hint="eastAsia" w:hAnsi="宋体"/>
          <w:lang w:val="en-US" w:eastAsia="zh-CN"/>
        </w:rPr>
        <w:t>关于鼓励科技创新与加快科技型企业高质量发展的若干政策</w:t>
      </w:r>
      <w:r>
        <w:rPr>
          <w:rFonts w:hint="eastAsia" w:hAnsi="宋体"/>
        </w:rPr>
        <w:t>》（征求意见稿）</w:t>
      </w:r>
    </w:p>
    <w:p w14:paraId="283784D1">
      <w:pPr>
        <w:pStyle w:val="11"/>
        <w:rPr>
          <w:rFonts w:hint="eastAsia" w:hAnsi="宋体"/>
        </w:rPr>
      </w:pPr>
      <w:r>
        <w:rPr>
          <w:rFonts w:hint="eastAsia" w:hAnsi="宋体"/>
        </w:rPr>
        <w:t>意见的函</w:t>
      </w:r>
    </w:p>
    <w:p w14:paraId="05D11BEE"/>
    <w:p w14:paraId="59CC8C7F">
      <w:pPr>
        <w:pStyle w:val="8"/>
        <w:rPr>
          <w:rFonts w:hint="eastAsia" w:ascii="仿宋_GB2312" w:hAnsi="仿宋_GB2312" w:eastAsia="宋体"/>
        </w:rPr>
      </w:pPr>
    </w:p>
    <w:p w14:paraId="48B903F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各有关单位：</w:t>
      </w:r>
    </w:p>
    <w:p w14:paraId="7FE1D40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40" w:lineRule="exact"/>
        <w:ind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为大力发展新质生产力，强化企业创新主体地位，激发市场主体活力，为我县高质量发展建设共同富裕示范区提供有力科技支撑，</w:t>
      </w:r>
      <w:r>
        <w:rPr>
          <w:rFonts w:hint="eastAsia" w:ascii="Times New Roman" w:hAnsi="Times New Roman" w:eastAsia="仿宋_GB2312"/>
          <w:sz w:val="32"/>
          <w:szCs w:val="32"/>
        </w:rPr>
        <w:t>我局牵头起草了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"/>
        </w:rPr>
        <w:t>关于鼓励科技创新与加快科技型企业高质量发展的若干政策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（征求意见稿）</w:t>
      </w:r>
      <w:r>
        <w:rPr>
          <w:rFonts w:ascii="Times New Roman" w:hAnsi="Times New Roman" w:eastAsia="仿宋_GB2312"/>
          <w:sz w:val="32"/>
          <w:szCs w:val="32"/>
        </w:rPr>
        <w:t>，现征求你们意见。请结合实际，提出意见建议，反馈意见请于202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日（本周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）下班前加盖公章后报县经信局，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逾期未</w:t>
      </w:r>
      <w:r>
        <w:rPr>
          <w:rFonts w:ascii="Times New Roman" w:hAnsi="Times New Roman" w:eastAsia="仿宋_GB2312"/>
          <w:sz w:val="32"/>
          <w:szCs w:val="32"/>
        </w:rPr>
        <w:t>反馈</w:t>
      </w:r>
      <w:r>
        <w:rPr>
          <w:rFonts w:hint="eastAsia" w:ascii="Times New Roman" w:hAnsi="Times New Roman" w:eastAsia="仿宋_GB2312"/>
          <w:sz w:val="32"/>
          <w:szCs w:val="32"/>
        </w:rPr>
        <w:t>视作无意见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23231A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40" w:lineRule="exact"/>
        <w:ind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联系人：应瑛，电话：5081059，698367。</w:t>
      </w:r>
    </w:p>
    <w:p w14:paraId="6B223D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40" w:lineRule="exact"/>
        <w:ind w:leftChars="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1E8D0F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1438" w:leftChars="304" w:hanging="800" w:hangingChars="250"/>
        <w:jc w:val="both"/>
        <w:textAlignment w:val="auto"/>
        <w:rPr>
          <w:rFonts w:hint="eastAsia" w:ascii="Times New Roman" w:hAnsi="Times New Roman" w:eastAsia="仿宋_GB2312" w:cs="宋体"/>
          <w:sz w:val="32"/>
          <w:szCs w:val="32"/>
        </w:rPr>
        <w:sectPr>
          <w:pgSz w:w="11906" w:h="16838"/>
          <w:pgMar w:top="2041" w:right="1531" w:bottom="1757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34B482F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1438" w:leftChars="304" w:hanging="800" w:hangingChars="250"/>
        <w:jc w:val="both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附件：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"/>
        </w:rPr>
        <w:t>关于鼓励科技创新与加快科技型企业高质量发展的若干政策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（征求意见稿）</w:t>
      </w:r>
    </w:p>
    <w:p w14:paraId="7E3BFC28">
      <w:pPr>
        <w:pStyle w:val="3"/>
        <w:widowControl/>
        <w:spacing w:line="576" w:lineRule="exact"/>
        <w:ind w:left="420"/>
        <w:rPr>
          <w:rFonts w:eastAsia="仿宋_GB2312"/>
          <w:sz w:val="32"/>
          <w:szCs w:val="32"/>
        </w:rPr>
      </w:pPr>
    </w:p>
    <w:p w14:paraId="767D3B35">
      <w:pPr>
        <w:pStyle w:val="3"/>
        <w:widowControl/>
        <w:spacing w:line="576" w:lineRule="exact"/>
        <w:ind w:left="420"/>
        <w:rPr>
          <w:rFonts w:eastAsia="仿宋_GB2312"/>
          <w:sz w:val="32"/>
          <w:szCs w:val="32"/>
        </w:rPr>
      </w:pPr>
    </w:p>
    <w:p w14:paraId="728352E5">
      <w:pPr>
        <w:pStyle w:val="3"/>
        <w:widowControl/>
        <w:spacing w:line="576" w:lineRule="exact"/>
        <w:ind w:left="420"/>
        <w:rPr>
          <w:rFonts w:eastAsia="仿宋_GB2312"/>
          <w:sz w:val="32"/>
          <w:szCs w:val="32"/>
        </w:rPr>
      </w:pPr>
    </w:p>
    <w:p w14:paraId="25D4A13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               </w:t>
      </w:r>
      <w:r>
        <w:rPr>
          <w:rFonts w:hint="eastAsia" w:cstheme="minorBidi"/>
          <w:szCs w:val="22"/>
          <w:lang w:val="en-US" w:eastAsia="zh-CN"/>
        </w:rPr>
        <w:t xml:space="preserve">     嵊泗县经济和信息化局  </w:t>
      </w:r>
    </w:p>
    <w:p w14:paraId="25168F5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cstheme="minorBidi"/>
          <w:szCs w:val="22"/>
          <w:lang w:val="en-US" w:eastAsia="zh-CN"/>
        </w:rPr>
      </w:pPr>
      <w:r>
        <w:rPr>
          <w:rFonts w:hint="eastAsia" w:cstheme="minorBidi"/>
          <w:szCs w:val="2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cstheme="minorBidi"/>
          <w:szCs w:val="22"/>
          <w:lang w:val="en-US" w:eastAsia="zh-CN"/>
        </w:rPr>
        <w:t xml:space="preserve"> 2024年11月18日 </w:t>
      </w:r>
    </w:p>
    <w:p w14:paraId="283233D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1D5320C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32B1EB3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631D483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1BA0C3B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44ADFC7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0072940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2911331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08C4C00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19FFDA3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11FF51C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3ED53DD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39C87AD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theme="minorBidi"/>
          <w:szCs w:val="22"/>
          <w:lang w:val="en-US" w:eastAsia="zh-CN"/>
        </w:rPr>
      </w:pPr>
    </w:p>
    <w:p w14:paraId="0B9C47C4">
      <w:pPr>
        <w:pStyle w:val="1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D3678A7">
      <w:pPr>
        <w:pStyle w:val="11"/>
        <w:rPr>
          <w:rFonts w:hint="eastAsia" w:hAnsi="宋体"/>
          <w:lang w:val="en-US" w:eastAsia="zh-CN"/>
        </w:rPr>
      </w:pPr>
    </w:p>
    <w:p w14:paraId="34B707FA">
      <w:pPr>
        <w:pStyle w:val="11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关于鼓励科技创新与加快科技型企业高质量</w:t>
      </w:r>
    </w:p>
    <w:p w14:paraId="26EA6F3B">
      <w:pPr>
        <w:pStyle w:val="11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发展的若干政策</w:t>
      </w:r>
    </w:p>
    <w:p w14:paraId="2C502C93">
      <w:pPr>
        <w:pStyle w:val="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 w14:paraId="37050000">
      <w:pPr>
        <w:pStyle w:val="11"/>
        <w:rPr>
          <w:rFonts w:hint="eastAsia" w:hAnsi="宋体"/>
          <w:lang w:val="en-US" w:eastAsia="zh-CN"/>
        </w:rPr>
      </w:pPr>
    </w:p>
    <w:p w14:paraId="2DBDCA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宋体"/>
          <w:kern w:val="2"/>
          <w:sz w:val="32"/>
          <w:szCs w:val="28"/>
          <w:lang w:val="en-US" w:eastAsia="zh-CN" w:bidi="ar"/>
        </w:rPr>
        <w:t>为深入贯彻习近平总书记考察浙江重要讲话精神，忠实践行“八八战略”，强化企业创新主体地位，加快培育新质生产力，塑造发展新优势，为高质量发展建设共同富裕示范区的建设提供有力科技支撑，制定如下政策。</w:t>
      </w:r>
    </w:p>
    <w:p w14:paraId="422611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一、实施企业加大研发投入奖励政策</w:t>
      </w:r>
    </w:p>
    <w:p w14:paraId="7B49A3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支持企业加大研发投入，在享受市级研发费用奖励政策的基础上，</w:t>
      </w:r>
      <w:r>
        <w:rPr>
          <w:rFonts w:hint="default" w:ascii="Times New Roman" w:hAnsi="Times New Roman" w:eastAsia="仿宋_GB2312"/>
          <w:sz w:val="32"/>
          <w:szCs w:val="28"/>
          <w:lang w:eastAsia="zh-CN"/>
        </w:rPr>
        <w:t>我县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对经税务部门认定的上年度允许加计扣除研发费用（扣除政府补助、委托外部机构研发费用部分）达到100万元以上200万元以下、占营业收入3%以上（含）且年增长10%以上的企业，按照上述加计扣除研发费用增量的15%予以奖励。</w:t>
      </w:r>
    </w:p>
    <w:p w14:paraId="2A6981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kern w:val="2"/>
          <w:sz w:val="32"/>
          <w:szCs w:val="28"/>
        </w:rPr>
      </w:pPr>
      <w:r>
        <w:rPr>
          <w:rFonts w:hint="default" w:ascii="Times New Roman" w:hAnsi="Times New Roman" w:eastAsia="仿宋_GB2312" w:cs="宋体"/>
          <w:b w:val="0"/>
          <w:kern w:val="2"/>
          <w:sz w:val="32"/>
          <w:szCs w:val="28"/>
          <w:lang w:eastAsia="zh-CN" w:bidi="ar"/>
        </w:rPr>
        <w:t>2</w:t>
      </w:r>
      <w:r>
        <w:rPr>
          <w:rFonts w:hint="eastAsia" w:eastAsia="仿宋_GB2312" w:cs="宋体"/>
          <w:b w:val="0"/>
          <w:kern w:val="2"/>
          <w:sz w:val="32"/>
          <w:szCs w:val="28"/>
          <w:lang w:val="en-US" w:eastAsia="zh-CN" w:bidi="ar"/>
        </w:rPr>
        <w:t xml:space="preserve">. </w:t>
      </w:r>
      <w:r>
        <w:rPr>
          <w:rFonts w:hint="eastAsia" w:ascii="Times New Roman" w:hAnsi="Times New Roman" w:eastAsia="仿宋_GB2312" w:cs="宋体"/>
          <w:b w:val="0"/>
          <w:kern w:val="2"/>
          <w:sz w:val="32"/>
          <w:szCs w:val="28"/>
          <w:lang w:val="en-US" w:eastAsia="zh-CN" w:bidi="ar"/>
        </w:rPr>
        <w:t>依据《嵊泗县“揭榜挂帅”科技攻关项目管理办法</w:t>
      </w:r>
      <w:r>
        <w:rPr>
          <w:rFonts w:hint="eastAsia" w:eastAsia="仿宋_GB2312" w:cs="宋体"/>
          <w:b w:val="0"/>
          <w:kern w:val="2"/>
          <w:sz w:val="32"/>
          <w:szCs w:val="28"/>
          <w:lang w:val="en-US" w:eastAsia="zh-CN" w:bidi="ar"/>
        </w:rPr>
        <w:t>（</w:t>
      </w:r>
      <w:r>
        <w:rPr>
          <w:rFonts w:hint="eastAsia" w:ascii="Times New Roman" w:hAnsi="Times New Roman" w:eastAsia="仿宋_GB2312" w:cs="宋体"/>
          <w:b w:val="0"/>
          <w:kern w:val="2"/>
          <w:sz w:val="32"/>
          <w:szCs w:val="28"/>
          <w:lang w:val="en-US" w:eastAsia="zh-CN" w:bidi="ar"/>
        </w:rPr>
        <w:t>试行</w:t>
      </w:r>
      <w:r>
        <w:rPr>
          <w:rFonts w:hint="eastAsia" w:eastAsia="仿宋_GB2312" w:cs="宋体"/>
          <w:b w:val="0"/>
          <w:kern w:val="2"/>
          <w:sz w:val="32"/>
          <w:szCs w:val="28"/>
          <w:lang w:val="en-US" w:eastAsia="zh-CN" w:bidi="ar"/>
        </w:rPr>
        <w:t>）</w:t>
      </w:r>
      <w:r>
        <w:rPr>
          <w:rFonts w:hint="eastAsia" w:ascii="Times New Roman" w:hAnsi="Times New Roman" w:eastAsia="仿宋_GB2312" w:cs="宋体"/>
          <w:b w:val="0"/>
          <w:kern w:val="2"/>
          <w:sz w:val="32"/>
          <w:szCs w:val="28"/>
          <w:lang w:val="en-US" w:eastAsia="zh-CN" w:bidi="ar"/>
        </w:rPr>
        <w:t>》</w:t>
      </w:r>
      <w:r>
        <w:rPr>
          <w:rFonts w:hint="default" w:ascii="Times New Roman" w:hAnsi="Times New Roman" w:eastAsia="仿宋_GB2312" w:cs="宋体"/>
          <w:b w:val="0"/>
          <w:kern w:val="2"/>
          <w:sz w:val="32"/>
          <w:szCs w:val="28"/>
          <w:lang w:eastAsia="zh-CN" w:bidi="ar"/>
        </w:rPr>
        <w:t>围绕技术攻关类、成果转化类、政府点题类项目</w:t>
      </w:r>
      <w:r>
        <w:rPr>
          <w:rFonts w:hint="eastAsia" w:ascii="Times New Roman" w:hAnsi="Times New Roman" w:eastAsia="仿宋_GB2312" w:cs="宋体"/>
          <w:b w:val="0"/>
          <w:kern w:val="2"/>
          <w:sz w:val="32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仿宋_GB2312" w:cs="宋体"/>
          <w:b w:val="0"/>
          <w:kern w:val="2"/>
          <w:sz w:val="32"/>
          <w:szCs w:val="28"/>
          <w:lang w:eastAsia="zh-CN" w:bidi="ar"/>
        </w:rPr>
        <w:t>由</w:t>
      </w:r>
      <w:r>
        <w:rPr>
          <w:rFonts w:hint="eastAsia" w:ascii="Times New Roman" w:hAnsi="Times New Roman" w:eastAsia="仿宋_GB2312" w:cs="宋体"/>
          <w:b w:val="0"/>
          <w:kern w:val="2"/>
          <w:sz w:val="32"/>
          <w:szCs w:val="28"/>
          <w:lang w:val="en-US" w:eastAsia="zh-CN" w:bidi="ar"/>
        </w:rPr>
        <w:t>龙头企业牵头，协同产业链上下游企业和高校院所实施“揭榜挂帅”技术重大科技攻关</w:t>
      </w:r>
      <w:r>
        <w:rPr>
          <w:rFonts w:hint="default" w:ascii="Times New Roman" w:hAnsi="Times New Roman" w:eastAsia="仿宋_GB2312" w:cs="宋体"/>
          <w:b w:val="0"/>
          <w:kern w:val="2"/>
          <w:sz w:val="32"/>
          <w:szCs w:val="28"/>
          <w:lang w:eastAsia="zh-CN" w:bidi="ar"/>
        </w:rPr>
        <w:t>。本县给予配套资金支持经费，</w:t>
      </w:r>
      <w:r>
        <w:rPr>
          <w:rFonts w:hint="eastAsia" w:ascii="Times New Roman" w:hAnsi="Times New Roman" w:eastAsia="仿宋_GB2312" w:cs="宋体"/>
          <w:b w:val="0"/>
          <w:kern w:val="2"/>
          <w:sz w:val="32"/>
          <w:szCs w:val="28"/>
          <w:lang w:val="en-US" w:eastAsia="zh-CN" w:bidi="ar"/>
        </w:rPr>
        <w:t>原则上每个项目最高不超过100万元的补助。</w:t>
      </w:r>
    </w:p>
    <w:p w14:paraId="4538DA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宋体"/>
          <w:b w:val="0"/>
          <w:bCs/>
          <w:kern w:val="2"/>
          <w:sz w:val="32"/>
          <w:szCs w:val="28"/>
          <w:lang w:eastAsia="zh-CN" w:bidi="ar"/>
        </w:rPr>
        <w:t>3</w:t>
      </w:r>
      <w:r>
        <w:rPr>
          <w:rFonts w:hint="eastAsia" w:eastAsia="仿宋_GB2312" w:cs="宋体"/>
          <w:b w:val="0"/>
          <w:bCs/>
          <w:kern w:val="2"/>
          <w:sz w:val="32"/>
          <w:szCs w:val="28"/>
          <w:lang w:val="en-US" w:eastAsia="zh-CN" w:bidi="ar"/>
        </w:rPr>
        <w:t>.</w:t>
      </w:r>
      <w:r>
        <w:rPr>
          <w:rFonts w:hint="eastAsia" w:eastAsia="仿宋_GB2312" w:cs="宋体"/>
          <w:b/>
          <w:kern w:val="2"/>
          <w:sz w:val="32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每年安排县财政科技经费支持科研机构开展基础</w:t>
      </w:r>
      <w:r>
        <w:rPr>
          <w:rFonts w:hint="default" w:ascii="Times New Roman" w:hAnsi="Times New Roman" w:eastAsia="仿宋_GB2312"/>
          <w:sz w:val="32"/>
          <w:szCs w:val="28"/>
          <w:lang w:eastAsia="zh-CN"/>
        </w:rPr>
        <w:t>性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研究和应用</w:t>
      </w:r>
      <w:r>
        <w:rPr>
          <w:rFonts w:hint="default" w:ascii="Times New Roman" w:hAnsi="Times New Roman" w:eastAsia="仿宋_GB2312"/>
          <w:sz w:val="32"/>
          <w:szCs w:val="28"/>
          <w:lang w:eastAsia="zh-CN"/>
        </w:rPr>
        <w:t>性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基础研究，</w:t>
      </w:r>
      <w:r>
        <w:rPr>
          <w:rFonts w:hint="default" w:ascii="Times New Roman" w:hAnsi="Times New Roman" w:eastAsia="仿宋_GB2312"/>
          <w:sz w:val="32"/>
          <w:szCs w:val="28"/>
          <w:lang w:eastAsia="zh-CN"/>
        </w:rPr>
        <w:t>科技经费额度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最高不超过100万元</w:t>
      </w:r>
      <w:r>
        <w:rPr>
          <w:rFonts w:hint="default" w:ascii="Times New Roman" w:hAnsi="Times New Roman" w:eastAsia="仿宋_GB2312"/>
          <w:sz w:val="32"/>
          <w:szCs w:val="28"/>
          <w:lang w:eastAsia="zh-CN"/>
        </w:rPr>
        <w:t>。助力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科研机构的基础研究、应用研究与产业技术创新融通发展。</w:t>
      </w:r>
    </w:p>
    <w:p w14:paraId="05C016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二、实施科技企业培育奖励政策</w:t>
      </w:r>
    </w:p>
    <w:p w14:paraId="65B76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深入实施科技企业“双倍增”行动，对首次认定为国家高新技术企业的，在市级资金每家20万元奖励的基础上，给予1</w:t>
      </w:r>
      <w:r>
        <w:rPr>
          <w:rFonts w:hint="eastAsia" w:eastAsia="仿宋_GB2312"/>
          <w:sz w:val="32"/>
          <w:szCs w:val="28"/>
          <w:lang w:val="en-US" w:eastAsia="zh-CN"/>
        </w:rPr>
        <w:t>: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1配套奖励；对重新认定的国家高新技术企业，在市级资金每家10万元奖励的基础上，给予1</w:t>
      </w:r>
      <w:r>
        <w:rPr>
          <w:rFonts w:hint="eastAsia" w:eastAsia="仿宋_GB2312"/>
          <w:sz w:val="32"/>
          <w:szCs w:val="28"/>
          <w:lang w:val="en-US" w:eastAsia="zh-CN"/>
        </w:rPr>
        <w:t>: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1配套奖励。对首次认定的省科技型中小企业，每家给予5万元的奖励。对首次认定为省级科技领军企业、科技小巨人企业的，给予市级补助资金1</w:t>
      </w:r>
      <w:r>
        <w:rPr>
          <w:rFonts w:hint="eastAsia" w:eastAsia="仿宋_GB2312"/>
          <w:sz w:val="32"/>
          <w:szCs w:val="28"/>
          <w:lang w:val="en-US" w:eastAsia="zh-CN"/>
        </w:rPr>
        <w:t>: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1配套奖励。</w:t>
      </w:r>
    </w:p>
    <w:p w14:paraId="2156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支持</w:t>
      </w:r>
      <w:r>
        <w:rPr>
          <w:rFonts w:hint="default" w:ascii="Times New Roman" w:hAnsi="Times New Roman" w:eastAsia="仿宋_GB2312"/>
          <w:sz w:val="32"/>
          <w:szCs w:val="28"/>
          <w:lang w:eastAsia="zh-CN"/>
        </w:rPr>
        <w:t>建设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研发机构，对新获批的省级技术创新中心、省级重点企业研究院，给予市级补助资金50%配套奖励；对新认定的省级企业研究院、省级高新技术企业研发中心分别在市级资金20万元、10万元奖励的基础上，给予1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1配套奖励。对新认定的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市、县企业研发中心，分别给予5万元的奖励。</w:t>
      </w:r>
    </w:p>
    <w:p w14:paraId="491023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三、实施高能级科创平台建设奖励政策</w:t>
      </w:r>
    </w:p>
    <w:p w14:paraId="25B4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鼓励引进大院名校共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建创新载体，对县内引进大院名校共建的创新载体，按照协议约定给予相应的补助。经市级认定的创新载体，根据市级补助资金，给予50%配套奖励。</w:t>
      </w:r>
    </w:p>
    <w:p w14:paraId="4EA6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支持科技创业孵化平台建设，对新获批的国家级、省级科技企业孵化器的，分别在市级资金100万元、50万元奖励的基础上，给予50%配套奖励。对新认定的市级科技企业孵化器，在市级资金50万元奖励的基础上给予50%配套奖励。对新备案的国家级、省级众创空间，分别在市级资金10万元、5万元奖励的基础上，给予1:1配套奖励；对新备案的市级众创空间，在市级资金给予5万元奖励的基础上，给予1:1配套奖励。</w:t>
      </w:r>
    </w:p>
    <w:p w14:paraId="38C0D4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四、实施科技成果转化奖励政策</w:t>
      </w:r>
    </w:p>
    <w:p w14:paraId="263D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对获得国家自然科学奖、国家技术发明奖、国家科学技术进步奖的特等奖、一等奖、二等奖的第一项目完成单位和团队，分别在市级奖励资金的基础上给予50%配套奖励。对获得浙江科技大奖、浙江省自然科学奖、技术发明奖、科学技术进步奖的一等奖、二等奖、三等奖的第一项目完成单位和团队，分别在市级奖励资金的基础上给予50%配套奖励。获得国家、省国际科技合作奖的单位和团队，分别在市级奖励资金的基础上给予50%配套奖励。</w:t>
      </w:r>
    </w:p>
    <w:p w14:paraId="2AB61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深化科技体制改革，支持科研机构、医疗卫生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机构等单位探索开展科研成果赋权、创新深化等科技体制改革试点，引导财政资金支持产生的科技成果在我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转化和产业化。对入选国家级、省级和市级科技体制改革试点单位，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分别在市级奖励资金的基础上给予50%配套奖励。</w:t>
      </w:r>
    </w:p>
    <w:p w14:paraId="7F20AB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五、财政资金支持营造科技创新环境</w:t>
      </w:r>
    </w:p>
    <w:p w14:paraId="6206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加大高层次创新创业人才团队引进培育力度，对入选浙江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省领军型创新团队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浙江省领军型创业团队，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根据市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级财政资助额度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，给予50%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配套资助。对省级及以上的高层次科技人才，优先支持申报各类重大科技攻关项目。</w:t>
      </w:r>
    </w:p>
    <w:p w14:paraId="248CA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支持企业引进外国人才，对引进外国专业人才、外国高端人才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的嵊泗企业给予奖励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，外国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在舟办理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外国人来华工作许可证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并首次被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嵊泗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企业引进、对引进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外国高端人才（A类）、外国专业人才（B类）的企业分别给予8万元/人、6万元/人的奖励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；对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非首次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引进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的外国高端人才（A类）、外国专业人才（B类）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，分别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嵊泗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企业奖励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万元/人、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万元/人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；长期合同当年若符合首次引进条件按全额奖励，后续年份按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非首次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引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。</w:t>
      </w:r>
    </w:p>
    <w:p w14:paraId="20C0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kern w:val="2"/>
          <w:sz w:val="32"/>
          <w:szCs w:val="28"/>
          <w:lang w:val="en-US" w:eastAsia="zh-CN" w:bidi="ar-SA"/>
        </w:rPr>
        <w:t>扩大科技创新券的支持额度和补助范围，促进大型科学仪</w:t>
      </w: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 w:bidi="ar-SA"/>
        </w:rPr>
        <w:t>器、设施开放共享，企业购买科技服务所需支付费用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28"/>
          <w:lang w:val="en-US" w:eastAsia="zh-CN" w:bidi="ar-SA"/>
        </w:rPr>
        <w:t>的50%</w:t>
      </w:r>
      <w:r>
        <w:rPr>
          <w:rFonts w:hint="default" w:ascii="Times New Roman" w:hAnsi="Times New Roman" w:eastAsia="仿宋_GB2312" w:cs="Times New Roman"/>
          <w:kern w:val="2"/>
          <w:sz w:val="32"/>
          <w:szCs w:val="28"/>
          <w:lang w:val="en-US" w:eastAsia="zh-CN" w:bidi="ar-SA"/>
        </w:rPr>
        <w:t>可用创新券进行抵扣，每家每年可给予最高不超过20万元的创新券资助。</w:t>
      </w:r>
    </w:p>
    <w:p w14:paraId="618B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本政策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自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日起施行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，可叠加享受省市对应政策，与县内同类政策按照“从高不重复”原则执行。（同时《嵊泗县科技惠企政策》嵊政办发〔202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〕27号废止，2024年起参照此政策执行。）</w:t>
      </w:r>
    </w:p>
    <w:p w14:paraId="5A3F97B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cstheme="minorBidi"/>
          <w:szCs w:val="22"/>
          <w:lang w:val="en-US" w:eastAsia="zh-CN"/>
        </w:rPr>
        <w:t xml:space="preserve"> </w:t>
      </w:r>
      <w:r>
        <w:t xml:space="preserve">   </w:t>
      </w:r>
    </w:p>
    <w:p w14:paraId="61BBBF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Autospacing="0" w:line="600" w:lineRule="exact"/>
        <w:ind w:left="420"/>
        <w:textAlignment w:val="auto"/>
      </w:pPr>
      <w:r>
        <w:t xml:space="preserve"> </w:t>
      </w:r>
    </w:p>
    <w:sectPr>
      <w:footerReference r:id="rId3" w:type="default"/>
      <w:pgSz w:w="11906" w:h="16838"/>
      <w:pgMar w:top="2041" w:right="1531" w:bottom="1757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17032">
    <w:pPr>
      <w:pStyle w:val="4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1CD9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1CD9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Tg0YWQxZmI5Mzc0NDdiNmI2NmUwYWQ3YjM3NDcifQ=="/>
  </w:docVars>
  <w:rsids>
    <w:rsidRoot w:val="3C913F01"/>
    <w:rsid w:val="1EC86375"/>
    <w:rsid w:val="3C913F01"/>
    <w:rsid w:val="57DA251A"/>
    <w:rsid w:val="6CD76453"/>
    <w:rsid w:val="737970CA"/>
    <w:rsid w:val="746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方正小标宋简体" w:asciiTheme="minorAscii" w:hAnsiTheme="minorAscii" w:cstheme="minorBidi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0"/>
    <w:pPr>
      <w:spacing w:before="100" w:beforeAutospacing="1" w:after="120"/>
      <w:ind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2.主送机关"/>
    <w:basedOn w:val="1"/>
    <w:qFormat/>
    <w:uiPriority w:val="0"/>
    <w:pPr>
      <w:spacing w:line="600" w:lineRule="exact"/>
      <w:jc w:val="left"/>
    </w:pPr>
    <w:rPr>
      <w:rFonts w:eastAsia="仿宋_GB2312" w:cstheme="minorBidi"/>
      <w:sz w:val="32"/>
      <w:szCs w:val="22"/>
    </w:rPr>
  </w:style>
  <w:style w:type="paragraph" w:customStyle="1" w:styleId="9">
    <w:name w:val="1文件标题"/>
    <w:basedOn w:val="1"/>
    <w:next w:val="1"/>
    <w:qFormat/>
    <w:uiPriority w:val="0"/>
    <w:pPr>
      <w:widowControl/>
      <w:jc w:val="center"/>
    </w:pPr>
    <w:rPr>
      <w:rFonts w:ascii="等线" w:hAnsi="等线" w:eastAsia="方正小标宋简体"/>
      <w:sz w:val="44"/>
      <w:szCs w:val="44"/>
    </w:rPr>
  </w:style>
  <w:style w:type="paragraph" w:customStyle="1" w:styleId="10">
    <w:name w:val="6.落款"/>
    <w:basedOn w:val="1"/>
    <w:qFormat/>
    <w:uiPriority w:val="0"/>
    <w:pPr>
      <w:spacing w:line="600" w:lineRule="exact"/>
      <w:jc w:val="right"/>
    </w:pPr>
    <w:rPr>
      <w:rFonts w:eastAsia="仿宋_GB2312"/>
      <w:sz w:val="32"/>
      <w:szCs w:val="32"/>
    </w:rPr>
  </w:style>
  <w:style w:type="paragraph" w:customStyle="1" w:styleId="11">
    <w:name w:val="1.标题"/>
    <w:basedOn w:val="1"/>
    <w:autoRedefine/>
    <w:qFormat/>
    <w:uiPriority w:val="0"/>
    <w:pPr>
      <w:spacing w:line="600" w:lineRule="exact"/>
      <w:jc w:val="center"/>
    </w:pPr>
    <w:rPr>
      <w:rFonts w:eastAsia="方正小标宋简体" w:cstheme="minorBidi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2150</Words>
  <Characters>2245</Characters>
  <Lines>0</Lines>
  <Paragraphs>0</Paragraphs>
  <TotalTime>5</TotalTime>
  <ScaleCrop>false</ScaleCrop>
  <LinksUpToDate>false</LinksUpToDate>
  <CharactersWithSpaces>2332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2024-11-18T07:25:00Z</dcterms:created>
  <dc:creator>魏燕</dc:creator>
  <cp:lastModifiedBy>魏燕</cp:lastModifiedBy>
  <dcterms:modified xsi:type="dcterms:W3CDTF">2024-11-19T01:45:21Z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B0595E8B3C994CCDB32B9262A616C08E_11</vt:lpwstr>
  </property>
</Properties>
</file>