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562D9">
      <w:pPr>
        <w:jc w:val="lef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14:paraId="143D905B">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方正小标宋_GBK" w:hAnsi="方正小标宋_GBK" w:eastAsia="方正小标宋_GBK" w:cs="方正小标宋_GBK"/>
          <w:sz w:val="32"/>
          <w:szCs w:val="32"/>
        </w:rPr>
      </w:pPr>
    </w:p>
    <w:p w14:paraId="4E07E6C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区人力社保局</w:t>
      </w:r>
      <w:r>
        <w:rPr>
          <w:rFonts w:hint="eastAsia" w:ascii="方正小标宋_GBK" w:hAnsi="方正小标宋_GBK" w:eastAsia="方正小标宋_GBK" w:cs="方正小标宋_GBK"/>
          <w:sz w:val="44"/>
          <w:szCs w:val="44"/>
          <w:lang w:eastAsia="zh-CN"/>
        </w:rPr>
        <w:t>废止、宣布失效的</w:t>
      </w:r>
      <w:r>
        <w:rPr>
          <w:rFonts w:hint="eastAsia" w:ascii="方正小标宋_GBK" w:hAnsi="方正小标宋_GBK" w:eastAsia="方正小标宋_GBK" w:cs="方正小标宋_GBK"/>
          <w:sz w:val="44"/>
          <w:szCs w:val="44"/>
        </w:rPr>
        <w:t>行政规范性</w:t>
      </w:r>
    </w:p>
    <w:p w14:paraId="7221CDA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文件目录</w:t>
      </w:r>
    </w:p>
    <w:p w14:paraId="0F79AE6C">
      <w:pPr>
        <w:rPr>
          <w:rFonts w:eastAsia="方正小标宋简体"/>
          <w:sz w:val="24"/>
        </w:rPr>
      </w:pPr>
    </w:p>
    <w:tbl>
      <w:tblPr>
        <w:tblStyle w:val="7"/>
        <w:tblpPr w:leftFromText="180" w:rightFromText="180" w:vertAnchor="text" w:horzAnchor="page" w:tblpX="1845" w:tblpY="24"/>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145"/>
        <w:gridCol w:w="6019"/>
      </w:tblGrid>
      <w:tr w14:paraId="618A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tcPr>
          <w:p w14:paraId="53B5BB7F">
            <w:pPr>
              <w:snapToGrid w:val="0"/>
              <w:jc w:val="center"/>
              <w:rPr>
                <w:rFonts w:ascii="仿宋_GB2312" w:hAnsi="仿宋_GB2312" w:cs="仿宋_GB2312"/>
                <w:b/>
                <w:bCs/>
                <w:szCs w:val="32"/>
              </w:rPr>
            </w:pPr>
            <w:r>
              <w:rPr>
                <w:rFonts w:hint="eastAsia" w:ascii="仿宋_GB2312" w:hAnsi="仿宋_GB2312" w:cs="仿宋_GB2312"/>
                <w:b/>
                <w:bCs/>
                <w:szCs w:val="32"/>
              </w:rPr>
              <w:t>序号</w:t>
            </w:r>
          </w:p>
        </w:tc>
        <w:tc>
          <w:tcPr>
            <w:tcW w:w="2145" w:type="dxa"/>
            <w:tcBorders>
              <w:top w:val="single" w:color="auto" w:sz="4" w:space="0"/>
              <w:left w:val="single" w:color="auto" w:sz="4" w:space="0"/>
              <w:bottom w:val="single" w:color="auto" w:sz="4" w:space="0"/>
              <w:right w:val="single" w:color="auto" w:sz="4" w:space="0"/>
            </w:tcBorders>
          </w:tcPr>
          <w:p w14:paraId="07E1BFED">
            <w:pPr>
              <w:snapToGrid w:val="0"/>
              <w:jc w:val="center"/>
              <w:rPr>
                <w:rFonts w:ascii="仿宋_GB2312" w:hAnsi="仿宋_GB2312" w:cs="仿宋_GB2312"/>
                <w:b/>
                <w:bCs/>
                <w:szCs w:val="32"/>
              </w:rPr>
            </w:pPr>
            <w:r>
              <w:rPr>
                <w:rFonts w:hint="eastAsia" w:ascii="仿宋_GB2312" w:hAnsi="仿宋_GB2312" w:cs="仿宋_GB2312"/>
                <w:b/>
                <w:bCs/>
                <w:szCs w:val="32"/>
              </w:rPr>
              <w:t>文号</w:t>
            </w:r>
          </w:p>
        </w:tc>
        <w:tc>
          <w:tcPr>
            <w:tcW w:w="6019" w:type="dxa"/>
            <w:tcBorders>
              <w:top w:val="single" w:color="auto" w:sz="4" w:space="0"/>
              <w:left w:val="single" w:color="auto" w:sz="4" w:space="0"/>
              <w:bottom w:val="single" w:color="auto" w:sz="4" w:space="0"/>
              <w:right w:val="single" w:color="auto" w:sz="4" w:space="0"/>
            </w:tcBorders>
          </w:tcPr>
          <w:p w14:paraId="79C8A981">
            <w:pPr>
              <w:snapToGrid w:val="0"/>
              <w:jc w:val="center"/>
              <w:rPr>
                <w:rFonts w:ascii="仿宋_GB2312" w:hAnsi="仿宋_GB2312" w:cs="仿宋_GB2312"/>
                <w:b/>
                <w:bCs/>
                <w:szCs w:val="32"/>
              </w:rPr>
            </w:pPr>
            <w:r>
              <w:rPr>
                <w:rFonts w:hint="eastAsia" w:ascii="仿宋_GB2312" w:hAnsi="仿宋_GB2312" w:cs="仿宋_GB2312"/>
                <w:b/>
                <w:bCs/>
                <w:szCs w:val="32"/>
              </w:rPr>
              <w:t>名称</w:t>
            </w:r>
          </w:p>
        </w:tc>
      </w:tr>
      <w:tr w14:paraId="6E01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36A9E545">
            <w:pPr>
              <w:snapToGrid w:val="0"/>
              <w:jc w:val="center"/>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lang w:val="en-US" w:eastAsia="zh-CN"/>
              </w:rPr>
              <w:t>1</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14:paraId="2794DD24">
            <w:pPr>
              <w:snapToGrid w:val="0"/>
              <w:jc w:val="center"/>
              <w:rPr>
                <w:rFonts w:ascii="仿宋_GB2312" w:hAnsi="宋体" w:eastAsia="仿宋_GB2312" w:cs="宋体"/>
                <w:snapToGrid w:val="0"/>
                <w:color w:val="000000"/>
                <w:kern w:val="2"/>
                <w:sz w:val="22"/>
                <w:szCs w:val="22"/>
                <w:lang w:val="en-US" w:eastAsia="zh-CN" w:bidi="ar-SA"/>
              </w:rPr>
            </w:pPr>
            <w:r>
              <w:rPr>
                <w:rFonts w:hint="eastAsia" w:ascii="仿宋_GB2312"/>
                <w:color w:val="000000"/>
                <w:sz w:val="22"/>
                <w:szCs w:val="22"/>
              </w:rPr>
              <w:t>温瓯人社〔2013〕106号</w:t>
            </w:r>
          </w:p>
        </w:tc>
        <w:tc>
          <w:tcPr>
            <w:tcW w:w="6019" w:type="dxa"/>
            <w:tcBorders>
              <w:top w:val="single" w:color="auto" w:sz="4" w:space="0"/>
              <w:left w:val="single" w:color="auto" w:sz="4" w:space="0"/>
              <w:bottom w:val="single" w:color="auto" w:sz="4" w:space="0"/>
              <w:right w:val="single" w:color="auto" w:sz="4" w:space="0"/>
            </w:tcBorders>
            <w:shd w:val="clear" w:color="auto" w:fill="auto"/>
            <w:vAlign w:val="center"/>
          </w:tcPr>
          <w:p w14:paraId="7CE338B3">
            <w:pPr>
              <w:snapToGrid w:val="0"/>
              <w:spacing w:line="400" w:lineRule="exact"/>
              <w:rPr>
                <w:rFonts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关于印发《温州市瓯海区人力资源和社会保障局行政许可裁量公开制度》等四个制度的通知</w:t>
            </w:r>
          </w:p>
        </w:tc>
      </w:tr>
      <w:tr w14:paraId="4559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4D527E83">
            <w:pPr>
              <w:snapToGrid w:val="0"/>
              <w:jc w:val="center"/>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lang w:val="en-US" w:eastAsia="zh-CN"/>
              </w:rPr>
              <w:t>2</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14:paraId="1E4C3665">
            <w:pPr>
              <w:snapToGrid w:val="0"/>
              <w:jc w:val="center"/>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温瓯人社〔2013〕107号</w:t>
            </w:r>
          </w:p>
        </w:tc>
        <w:tc>
          <w:tcPr>
            <w:tcW w:w="6019" w:type="dxa"/>
            <w:tcBorders>
              <w:top w:val="single" w:color="auto" w:sz="4" w:space="0"/>
              <w:left w:val="single" w:color="auto" w:sz="4" w:space="0"/>
              <w:bottom w:val="single" w:color="auto" w:sz="4" w:space="0"/>
              <w:right w:val="single" w:color="auto" w:sz="4" w:space="0"/>
            </w:tcBorders>
            <w:shd w:val="clear" w:color="auto" w:fill="auto"/>
            <w:vAlign w:val="center"/>
          </w:tcPr>
          <w:p w14:paraId="54E819DC">
            <w:pPr>
              <w:snapToGrid w:val="0"/>
              <w:spacing w:line="400" w:lineRule="exact"/>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关于印发《温州市瓯海区人力资源和社会保障局行政许可裁量权细化标准（试行）》的通知</w:t>
            </w:r>
          </w:p>
        </w:tc>
      </w:tr>
      <w:tr w14:paraId="0991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54F55FFC">
            <w:pPr>
              <w:snapToGrid w:val="0"/>
              <w:jc w:val="center"/>
              <w:rPr>
                <w:rFonts w:hint="default" w:ascii="仿宋_GB2312" w:hAnsi="仿宋_GB2312" w:eastAsia="仿宋_GB2312" w:cs="仿宋_GB2312"/>
                <w:snapToGrid w:val="0"/>
                <w:kern w:val="2"/>
                <w:sz w:val="24"/>
                <w:szCs w:val="24"/>
                <w:lang w:val="en-US" w:eastAsia="zh-CN" w:bidi="ar-SA"/>
              </w:rPr>
            </w:pPr>
            <w:r>
              <w:rPr>
                <w:rFonts w:hint="eastAsia" w:ascii="仿宋_GB2312" w:hAnsi="仿宋_GB2312" w:cs="仿宋_GB2312"/>
                <w:snapToGrid w:val="0"/>
                <w:kern w:val="2"/>
                <w:sz w:val="24"/>
                <w:szCs w:val="24"/>
                <w:lang w:val="en-US" w:eastAsia="zh-CN" w:bidi="ar-SA"/>
              </w:rPr>
              <w:t>3</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14:paraId="73FD1366">
            <w:pPr>
              <w:snapToGrid w:val="0"/>
              <w:jc w:val="center"/>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温瓯人社〔2017〕12号</w:t>
            </w:r>
          </w:p>
        </w:tc>
        <w:tc>
          <w:tcPr>
            <w:tcW w:w="6019" w:type="dxa"/>
            <w:tcBorders>
              <w:top w:val="single" w:color="auto" w:sz="4" w:space="0"/>
              <w:left w:val="single" w:color="auto" w:sz="4" w:space="0"/>
              <w:bottom w:val="single" w:color="auto" w:sz="4" w:space="0"/>
              <w:right w:val="single" w:color="auto" w:sz="4" w:space="0"/>
            </w:tcBorders>
            <w:shd w:val="clear" w:color="auto" w:fill="auto"/>
            <w:vAlign w:val="center"/>
          </w:tcPr>
          <w:p w14:paraId="0F2D1975">
            <w:pPr>
              <w:snapToGrid w:val="0"/>
              <w:spacing w:line="400" w:lineRule="exact"/>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rPr>
              <w:t>关于转发浙江省高校毕业生就业见习管理暂行办法的通知</w:t>
            </w:r>
          </w:p>
        </w:tc>
      </w:tr>
      <w:tr w14:paraId="443E0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14:paraId="136805AC">
            <w:pPr>
              <w:snapToGrid w:val="0"/>
              <w:jc w:val="center"/>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cs="仿宋_GB2312"/>
                <w:sz w:val="24"/>
                <w:lang w:val="en-US" w:eastAsia="zh-CN"/>
              </w:rPr>
              <w:t>4</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14:paraId="719A136D">
            <w:pPr>
              <w:snapToGrid w:val="0"/>
              <w:jc w:val="center"/>
              <w:rPr>
                <w:rFonts w:hint="eastAsia" w:ascii="仿宋_GB2312" w:hAnsi="宋体" w:eastAsia="仿宋_GB2312" w:cs="宋体"/>
                <w:snapToGrid w:val="0"/>
                <w:color w:val="000000"/>
                <w:kern w:val="2"/>
                <w:sz w:val="22"/>
                <w:szCs w:val="22"/>
                <w:lang w:val="en-US" w:eastAsia="zh-CN" w:bidi="ar-SA"/>
              </w:rPr>
            </w:pPr>
            <w:r>
              <w:rPr>
                <w:rFonts w:hint="eastAsia" w:ascii="仿宋_GB2312" w:hAnsi="宋体" w:eastAsia="仿宋_GB2312" w:cs="宋体"/>
                <w:snapToGrid w:val="0"/>
                <w:color w:val="000000"/>
                <w:kern w:val="2"/>
                <w:sz w:val="22"/>
                <w:szCs w:val="22"/>
                <w:lang w:val="en-US" w:eastAsia="zh-CN" w:bidi="ar-SA"/>
              </w:rPr>
              <w:t xml:space="preserve">温瓯人社发〔2023〕23号 </w:t>
            </w:r>
          </w:p>
        </w:tc>
        <w:tc>
          <w:tcPr>
            <w:tcW w:w="6019" w:type="dxa"/>
            <w:tcBorders>
              <w:top w:val="single" w:color="auto" w:sz="4" w:space="0"/>
              <w:left w:val="single" w:color="auto" w:sz="4" w:space="0"/>
              <w:bottom w:val="single" w:color="auto" w:sz="4" w:space="0"/>
              <w:right w:val="single" w:color="auto" w:sz="4" w:space="0"/>
            </w:tcBorders>
            <w:shd w:val="clear" w:color="auto" w:fill="auto"/>
            <w:vAlign w:val="center"/>
          </w:tcPr>
          <w:p w14:paraId="7C21395D">
            <w:pPr>
              <w:snapToGrid w:val="0"/>
              <w:spacing w:line="400" w:lineRule="exact"/>
              <w:rPr>
                <w:rFonts w:hint="eastAsia" w:ascii="仿宋_GB2312" w:hAnsi="仿宋_GB2312" w:eastAsia="仿宋_GB2312" w:cs="仿宋_GB2312"/>
                <w:snapToGrid w:val="0"/>
                <w:kern w:val="2"/>
                <w:sz w:val="24"/>
                <w:szCs w:val="24"/>
                <w:lang w:val="en-US" w:eastAsia="zh-CN" w:bidi="ar-SA"/>
              </w:rPr>
            </w:pPr>
            <w:r>
              <w:rPr>
                <w:rFonts w:hint="eastAsia" w:ascii="仿宋_GB2312" w:hAnsi="仿宋_GB2312" w:eastAsia="仿宋_GB2312" w:cs="仿宋_GB2312"/>
                <w:snapToGrid w:val="0"/>
                <w:kern w:val="2"/>
                <w:sz w:val="24"/>
                <w:szCs w:val="24"/>
                <w:lang w:val="en-US" w:eastAsia="zh-CN" w:bidi="ar-SA"/>
              </w:rPr>
              <w:t>温州市瓯海区人力资源和社会保障局关于公布行政规范性文件清理结果的通知</w:t>
            </w:r>
          </w:p>
        </w:tc>
      </w:tr>
    </w:tbl>
    <w:p w14:paraId="05D9D53E"/>
    <w:p w14:paraId="5E5768FB"/>
    <w:p w14:paraId="1A11E25F"/>
    <w:p w14:paraId="4732DEBD"/>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84B39AE-0463-42D4-A674-6C65C0DCBFE0}"/>
  </w:font>
  <w:font w:name="方正小标宋_GBK">
    <w:panose1 w:val="02000000000000000000"/>
    <w:charset w:val="86"/>
    <w:family w:val="auto"/>
    <w:pitch w:val="default"/>
    <w:sig w:usb0="A00002BF" w:usb1="38CF7CFA" w:usb2="00082016" w:usb3="00000000" w:csb0="00040001" w:csb1="00000000"/>
    <w:embedRegular r:id="rId2" w:fontKey="{F54978B4-05E4-4507-B056-83E449E5E2DC}"/>
  </w:font>
  <w:font w:name="方正小标宋简体">
    <w:panose1 w:val="03000509000000000000"/>
    <w:charset w:val="86"/>
    <w:family w:val="auto"/>
    <w:pitch w:val="default"/>
    <w:sig w:usb0="00000001" w:usb1="080E0000" w:usb2="00000000" w:usb3="00000000" w:csb0="00040000" w:csb1="00000000"/>
    <w:embedRegular r:id="rId3" w:fontKey="{9CF82DB2-1084-4274-92AB-47744B90AB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E3B0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101B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5101B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B0ED6"/>
    <w:rsid w:val="002C4675"/>
    <w:rsid w:val="00424356"/>
    <w:rsid w:val="00476C8F"/>
    <w:rsid w:val="004B4E76"/>
    <w:rsid w:val="00512880"/>
    <w:rsid w:val="00662121"/>
    <w:rsid w:val="007B05E7"/>
    <w:rsid w:val="008765E8"/>
    <w:rsid w:val="00B12862"/>
    <w:rsid w:val="00B437E0"/>
    <w:rsid w:val="00C95C5E"/>
    <w:rsid w:val="00D60414"/>
    <w:rsid w:val="00DB79F3"/>
    <w:rsid w:val="00EC5788"/>
    <w:rsid w:val="01A25331"/>
    <w:rsid w:val="0B8B0ED6"/>
    <w:rsid w:val="0C172BC3"/>
    <w:rsid w:val="0C1804AC"/>
    <w:rsid w:val="0D5B5205"/>
    <w:rsid w:val="0DA901D0"/>
    <w:rsid w:val="1B180775"/>
    <w:rsid w:val="1D8031C3"/>
    <w:rsid w:val="1EEB7DEE"/>
    <w:rsid w:val="1FF3024A"/>
    <w:rsid w:val="214D3B7F"/>
    <w:rsid w:val="26625497"/>
    <w:rsid w:val="28E4550A"/>
    <w:rsid w:val="2AF44101"/>
    <w:rsid w:val="30031E15"/>
    <w:rsid w:val="31C40F2C"/>
    <w:rsid w:val="33507C89"/>
    <w:rsid w:val="349E183D"/>
    <w:rsid w:val="350A2580"/>
    <w:rsid w:val="3B9E34BC"/>
    <w:rsid w:val="3BDF3370"/>
    <w:rsid w:val="3D9A0AC9"/>
    <w:rsid w:val="3DA56230"/>
    <w:rsid w:val="3FF9E0F4"/>
    <w:rsid w:val="40B065CB"/>
    <w:rsid w:val="424A3F71"/>
    <w:rsid w:val="43711367"/>
    <w:rsid w:val="476E7306"/>
    <w:rsid w:val="50CF54EA"/>
    <w:rsid w:val="51F86BE0"/>
    <w:rsid w:val="526300D4"/>
    <w:rsid w:val="553712E4"/>
    <w:rsid w:val="5AEFE1A6"/>
    <w:rsid w:val="5D7871E7"/>
    <w:rsid w:val="5EDB3133"/>
    <w:rsid w:val="64654986"/>
    <w:rsid w:val="656C3E3E"/>
    <w:rsid w:val="670E44D1"/>
    <w:rsid w:val="695C515E"/>
    <w:rsid w:val="70884EAE"/>
    <w:rsid w:val="730F2606"/>
    <w:rsid w:val="744A4973"/>
    <w:rsid w:val="7BCB269A"/>
    <w:rsid w:val="7BFF5881"/>
    <w:rsid w:val="AFE5C4F1"/>
    <w:rsid w:val="B5FF3F9D"/>
    <w:rsid w:val="BBEFB8F7"/>
    <w:rsid w:val="C7FF498A"/>
    <w:rsid w:val="EDFF5787"/>
    <w:rsid w:val="F97D8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snapToGrid/>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Times New Roman" w:hAnsi="Times New Roman" w:eastAsia="仿宋_GB2312"/>
      <w:snapToGrid w:val="0"/>
      <w:kern w:val="2"/>
      <w:sz w:val="18"/>
      <w:szCs w:val="18"/>
    </w:rPr>
  </w:style>
  <w:style w:type="character" w:customStyle="1" w:styleId="10">
    <w:name w:val="页脚 Char"/>
    <w:basedOn w:val="8"/>
    <w:link w:val="3"/>
    <w:qFormat/>
    <w:uiPriority w:val="0"/>
    <w:rPr>
      <w:rFonts w:ascii="Times New Roman" w:hAnsi="Times New Roman" w:eastAsia="仿宋_GB2312"/>
      <w:snapToGrid w:val="0"/>
      <w:kern w:val="2"/>
      <w:sz w:val="18"/>
      <w:szCs w:val="18"/>
    </w:rPr>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snapToGrid/>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685</Words>
  <Characters>730</Characters>
  <Lines>11</Lines>
  <Paragraphs>3</Paragraphs>
  <TotalTime>0</TotalTime>
  <ScaleCrop>false</ScaleCrop>
  <LinksUpToDate>false</LinksUpToDate>
  <CharactersWithSpaces>742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2017-11-10T15:46:00Z</dcterms:created>
  <dc:creator>Administrator</dc:creator>
  <cp:lastModifiedBy>包包包包子</cp:lastModifiedBy>
  <cp:lastPrinted>2017-11-14T10:44:00Z</cp:lastPrinted>
  <dcterms:modified xsi:type="dcterms:W3CDTF">2025-05-21T01:18:48Z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A4CE78C596C74E1A9933D925527413B1_13</vt:lpwstr>
  </property>
  <property fmtid="{D5CDD505-2E9C-101B-9397-08002B2CF9AE}" pid="4" name="KSOTemplateDocerSaveRecord">
    <vt:lpwstr>eyJoZGlkIjoiZGFlNzFhZGI1OTQ1ZjBiNjUxOTkzY2FhZDAwYzM4NmQiLCJ1c2VySWQiOiIyNzEwMDQ3ODAifQ==</vt:lpwstr>
  </property>
</Properties>
</file>