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39781">
      <w:pPr>
        <w:keepNext w:val="0"/>
        <w:keepLines w:val="0"/>
        <w:pageBreakBefore w:val="0"/>
        <w:widowControl w:val="0"/>
        <w:kinsoku/>
        <w:wordWrap/>
        <w:overflowPunct/>
        <w:topLinePunct w:val="0"/>
        <w:autoSpaceDE/>
        <w:autoSpaceDN/>
        <w:bidi w:val="0"/>
        <w:adjustRightInd/>
        <w:snapToGrid/>
        <w:spacing w:line="580" w:lineRule="exact"/>
        <w:ind w:leftChars="0"/>
        <w:jc w:val="center"/>
        <w:textAlignment w:val="auto"/>
        <w:rPr>
          <w:rFonts w:hint="eastAsia" w:ascii="小标宋" w:hAnsi="小标宋" w:eastAsia="小标宋" w:cs="小标宋"/>
          <w:color w:val="000000" w:themeColor="text1"/>
          <w:sz w:val="44"/>
          <w:szCs w:val="44"/>
          <w:highlight w:val="none"/>
          <w14:textFill>
            <w14:solidFill>
              <w14:schemeClr w14:val="tx1"/>
            </w14:solidFill>
          </w14:textFill>
        </w:rPr>
      </w:pPr>
      <w:bookmarkStart w:id="0" w:name="_GoBack"/>
      <w:bookmarkEnd w:id="0"/>
      <w:r>
        <w:rPr>
          <w:rFonts w:hint="eastAsia" w:ascii="小标宋" w:hAnsi="小标宋" w:eastAsia="小标宋" w:cs="小标宋"/>
          <w:color w:val="000000" w:themeColor="text1"/>
          <w:sz w:val="44"/>
          <w:szCs w:val="44"/>
          <w:highlight w:val="none"/>
          <w14:textFill>
            <w14:solidFill>
              <w14:schemeClr w14:val="tx1"/>
            </w14:solidFill>
          </w14:textFill>
        </w:rPr>
        <w:t>温州市鹿城区征收集体土地房屋</w:t>
      </w:r>
    </w:p>
    <w:p w14:paraId="5B9F583D">
      <w:pPr>
        <w:keepNext w:val="0"/>
        <w:keepLines w:val="0"/>
        <w:pageBreakBefore w:val="0"/>
        <w:widowControl w:val="0"/>
        <w:kinsoku/>
        <w:wordWrap/>
        <w:overflowPunct/>
        <w:topLinePunct w:val="0"/>
        <w:autoSpaceDE/>
        <w:autoSpaceDN/>
        <w:bidi w:val="0"/>
        <w:adjustRightInd/>
        <w:snapToGrid w:val="0"/>
        <w:spacing w:line="240" w:lineRule="auto"/>
        <w:ind w:leftChars="0"/>
        <w:jc w:val="center"/>
        <w:textAlignment w:val="auto"/>
        <w:rPr>
          <w:rFonts w:hint="eastAsia" w:ascii="小标宋" w:hAnsi="小标宋" w:eastAsia="小标宋" w:cs="小标宋"/>
          <w:color w:val="000000" w:themeColor="text1"/>
          <w:sz w:val="44"/>
          <w:szCs w:val="44"/>
          <w:highlight w:val="none"/>
          <w14:textFill>
            <w14:solidFill>
              <w14:schemeClr w14:val="tx1"/>
            </w14:solidFill>
          </w14:textFill>
        </w:rPr>
      </w:pPr>
      <w:r>
        <w:rPr>
          <w:rFonts w:hint="eastAsia" w:ascii="小标宋" w:hAnsi="小标宋" w:eastAsia="小标宋" w:cs="小标宋"/>
          <w:color w:val="000000" w:themeColor="text1"/>
          <w:sz w:val="44"/>
          <w:szCs w:val="44"/>
          <w:highlight w:val="none"/>
          <w14:textFill>
            <w14:solidFill>
              <w14:schemeClr w14:val="tx1"/>
            </w14:solidFill>
          </w14:textFill>
        </w:rPr>
        <w:t>补偿实施细则</w:t>
      </w:r>
    </w:p>
    <w:p w14:paraId="462FA8D0">
      <w:pPr>
        <w:keepNext w:val="0"/>
        <w:keepLines w:val="0"/>
        <w:pageBreakBefore w:val="0"/>
        <w:widowControl w:val="0"/>
        <w:kinsoku/>
        <w:wordWrap/>
        <w:overflowPunct/>
        <w:topLinePunct w:val="0"/>
        <w:autoSpaceDE/>
        <w:autoSpaceDN/>
        <w:bidi w:val="0"/>
        <w:adjustRightInd/>
        <w:snapToGrid/>
        <w:spacing w:line="240" w:lineRule="auto"/>
        <w:ind w:leftChars="0"/>
        <w:jc w:val="center"/>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（征求意见稿）</w:t>
      </w:r>
    </w:p>
    <w:p w14:paraId="581161F1">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为规范鹿城区范围内征收集体土地房屋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仓储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除外）</w:t>
      </w:r>
      <w:r>
        <w:rPr>
          <w:rFonts w:hint="eastAsia" w:ascii="仿宋_GB2312" w:hAnsi="仿宋_GB2312" w:eastAsia="仿宋_GB2312" w:cs="仿宋_GB2312"/>
          <w:color w:val="000000" w:themeColor="text1"/>
          <w:sz w:val="32"/>
          <w:szCs w:val="32"/>
          <w:highlight w:val="none"/>
          <w14:textFill>
            <w14:solidFill>
              <w14:schemeClr w14:val="tx1"/>
            </w14:solidFill>
          </w14:textFill>
        </w:rPr>
        <w:t>补偿工作，保障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当事人</w:t>
      </w:r>
      <w:r>
        <w:rPr>
          <w:rFonts w:hint="eastAsia" w:ascii="仿宋_GB2312" w:hAnsi="仿宋_GB2312" w:eastAsia="仿宋_GB2312" w:cs="仿宋_GB2312"/>
          <w:color w:val="000000" w:themeColor="text1"/>
          <w:sz w:val="32"/>
          <w:szCs w:val="32"/>
          <w:highlight w:val="none"/>
          <w14:textFill>
            <w14:solidFill>
              <w14:schemeClr w14:val="tx1"/>
            </w14:solidFill>
          </w14:textFill>
        </w:rPr>
        <w:t>的合法权益，根据《中华人民共和国土地管理法》《浙江省土地管理条例》《温州市市区征收农民集体所有土地管理办法》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2020年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号市政府令）</w:t>
      </w:r>
      <w:r>
        <w:rPr>
          <w:rFonts w:hint="eastAsia" w:ascii="仿宋_GB2312" w:hAnsi="仿宋_GB2312" w:eastAsia="仿宋_GB2312" w:cs="仿宋_GB2312"/>
          <w:color w:val="000000" w:themeColor="text1"/>
          <w:sz w:val="32"/>
          <w:szCs w:val="32"/>
          <w:highlight w:val="none"/>
          <w14:textFill>
            <w14:solidFill>
              <w14:schemeClr w14:val="tx1"/>
            </w14:solidFill>
          </w14:textFill>
        </w:rPr>
        <w:t>《温州市区征收集体土地涉及住宅用房补偿办法》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(温政办〔2025〕27号)</w:t>
      </w:r>
      <w:r>
        <w:rPr>
          <w:rFonts w:hint="eastAsia" w:ascii="仿宋_GB2312" w:hAnsi="仿宋_GB2312" w:eastAsia="仿宋_GB2312" w:cs="仿宋_GB2312"/>
          <w:color w:val="000000" w:themeColor="text1"/>
          <w:sz w:val="32"/>
          <w:szCs w:val="32"/>
          <w:highlight w:val="none"/>
          <w14:textFill>
            <w14:solidFill>
              <w14:schemeClr w14:val="tx1"/>
            </w14:solidFill>
          </w14:textFill>
        </w:rPr>
        <w:t>等有关规定，结合我区实际，制定本细则。</w:t>
      </w:r>
    </w:p>
    <w:p w14:paraId="4DF2F75F">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w:t>
      </w:r>
      <w:r>
        <w:rPr>
          <w:rFonts w:hint="eastAsia" w:ascii="黑体" w:hAnsi="黑体" w:eastAsia="黑体" w:cs="黑体"/>
          <w:color w:val="000000" w:themeColor="text1"/>
          <w:sz w:val="32"/>
          <w:szCs w:val="32"/>
          <w:highlight w:val="none"/>
          <w14:textFill>
            <w14:solidFill>
              <w14:schemeClr w14:val="tx1"/>
            </w14:solidFill>
          </w14:textFill>
        </w:rPr>
        <w:t>调查登记</w:t>
      </w:r>
    </w:p>
    <w:p w14:paraId="25CAD5FE">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合法产权</w:t>
      </w:r>
      <w:r>
        <w:rPr>
          <w:rFonts w:hint="eastAsia" w:ascii="仿宋_GB2312" w:hAnsi="仿宋_GB2312" w:eastAsia="仿宋_GB2312" w:cs="仿宋_GB2312"/>
          <w:color w:val="000000" w:themeColor="text1"/>
          <w:sz w:val="32"/>
          <w:szCs w:val="32"/>
          <w:highlight w:val="none"/>
          <w14:textFill>
            <w14:solidFill>
              <w14:schemeClr w14:val="tx1"/>
            </w14:solidFill>
          </w14:textFill>
        </w:rPr>
        <w:t>房屋的权属、面积和用途以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不动产</w:t>
      </w:r>
      <w:r>
        <w:rPr>
          <w:rFonts w:hint="eastAsia" w:ascii="仿宋_GB2312" w:hAnsi="仿宋_GB2312" w:eastAsia="仿宋_GB2312" w:cs="仿宋_GB2312"/>
          <w:color w:val="000000" w:themeColor="text1"/>
          <w:sz w:val="32"/>
          <w:szCs w:val="32"/>
          <w:highlight w:val="none"/>
          <w14:textFill>
            <w14:solidFill>
              <w14:schemeClr w14:val="tx1"/>
            </w14:solidFill>
          </w14:textFill>
        </w:rPr>
        <w:t>权属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登记</w:t>
      </w:r>
      <w:r>
        <w:rPr>
          <w:rFonts w:hint="eastAsia" w:ascii="仿宋_GB2312" w:hAnsi="仿宋_GB2312" w:eastAsia="仿宋_GB2312" w:cs="仿宋_GB2312"/>
          <w:color w:val="000000" w:themeColor="text1"/>
          <w:sz w:val="32"/>
          <w:szCs w:val="32"/>
          <w:highlight w:val="none"/>
          <w14:textFill>
            <w14:solidFill>
              <w14:schemeClr w14:val="tx1"/>
            </w14:solidFill>
          </w14:textFill>
        </w:rPr>
        <w:t>的内容确定。仅取得土地使用权</w:t>
      </w:r>
      <w:r>
        <w:rPr>
          <w:rFonts w:hint="default" w:ascii="仿宋_GB2312" w:hAnsi="仿宋_GB2312" w:eastAsia="仿宋_GB2312" w:cs="仿宋_GB2312"/>
          <w:color w:val="000000" w:themeColor="text1"/>
          <w:sz w:val="32"/>
          <w:szCs w:val="32"/>
          <w:highlight w:val="none"/>
          <w14:textFill>
            <w14:solidFill>
              <w14:schemeClr w14:val="tx1"/>
            </w14:solidFill>
          </w14:textFill>
        </w:rPr>
        <w:t>证</w:t>
      </w:r>
      <w:r>
        <w:rPr>
          <w:rFonts w:hint="eastAsia" w:ascii="仿宋_GB2312" w:hAnsi="仿宋_GB2312" w:eastAsia="仿宋_GB2312" w:cs="仿宋_GB2312"/>
          <w:color w:val="000000" w:themeColor="text1"/>
          <w:sz w:val="32"/>
          <w:szCs w:val="32"/>
          <w:highlight w:val="none"/>
          <w14:textFill>
            <w14:solidFill>
              <w14:schemeClr w14:val="tx1"/>
            </w14:solidFill>
          </w14:textFill>
        </w:rPr>
        <w:t>的，其权属和用途按土地使用权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证记载的</w:t>
      </w:r>
      <w:r>
        <w:rPr>
          <w:rFonts w:hint="eastAsia" w:ascii="仿宋_GB2312" w:hAnsi="仿宋_GB2312" w:eastAsia="仿宋_GB2312" w:cs="仿宋_GB2312"/>
          <w:color w:val="000000" w:themeColor="text1"/>
          <w:sz w:val="32"/>
          <w:szCs w:val="32"/>
          <w:highlight w:val="none"/>
          <w14:textFill>
            <w14:solidFill>
              <w14:schemeClr w14:val="tx1"/>
            </w14:solidFill>
          </w14:textFill>
        </w:rPr>
        <w:t>内容确定。</w:t>
      </w:r>
    </w:p>
    <w:p w14:paraId="4BFEB16B">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14:textFill>
            <w14:solidFill>
              <w14:schemeClr w14:val="tx1"/>
            </w14:solidFill>
          </w14:textFill>
        </w:rPr>
        <w:t>未依法取得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房屋</w:t>
      </w:r>
      <w:r>
        <w:rPr>
          <w:rFonts w:hint="eastAsia" w:ascii="仿宋_GB2312" w:hAnsi="仿宋_GB2312" w:eastAsia="仿宋_GB2312" w:cs="仿宋_GB2312"/>
          <w:color w:val="000000" w:themeColor="text1"/>
          <w:sz w:val="32"/>
          <w:szCs w:val="32"/>
          <w:highlight w:val="none"/>
          <w14:textFill>
            <w14:solidFill>
              <w14:schemeClr w14:val="tx1"/>
            </w14:solidFill>
          </w14:textFill>
        </w:rPr>
        <w:t>权属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登记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证书</w:t>
      </w:r>
      <w:r>
        <w:rPr>
          <w:rFonts w:hint="eastAsia" w:ascii="仿宋_GB2312" w:hAnsi="仿宋_GB2312" w:eastAsia="仿宋_GB2312" w:cs="仿宋_GB2312"/>
          <w:color w:val="000000" w:themeColor="text1"/>
          <w:sz w:val="32"/>
          <w:szCs w:val="32"/>
          <w:highlight w:val="none"/>
          <w14:textFill>
            <w14:solidFill>
              <w14:schemeClr w14:val="tx1"/>
            </w14:solidFill>
          </w14:textFill>
        </w:rPr>
        <w:t>的未经登记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房屋</w:t>
      </w:r>
      <w:r>
        <w:rPr>
          <w:rFonts w:hint="eastAsia" w:ascii="仿宋_GB2312" w:hAnsi="仿宋_GB2312" w:eastAsia="仿宋_GB2312" w:cs="仿宋_GB2312"/>
          <w:color w:val="000000" w:themeColor="text1"/>
          <w:sz w:val="32"/>
          <w:szCs w:val="32"/>
          <w:highlight w:val="none"/>
          <w14:textFill>
            <w14:solidFill>
              <w14:schemeClr w14:val="tx1"/>
            </w14:solidFill>
          </w14:textFill>
        </w:rPr>
        <w:t>应以有固定界址、可独立使用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建筑为基本单元进行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入户调查</w:t>
      </w:r>
      <w:r>
        <w:rPr>
          <w:rFonts w:hint="eastAsia" w:ascii="仿宋_GB2312" w:hAnsi="仿宋_GB2312" w:eastAsia="仿宋_GB2312" w:cs="仿宋_GB2312"/>
          <w:color w:val="000000" w:themeColor="text1"/>
          <w:sz w:val="32"/>
          <w:szCs w:val="32"/>
          <w:highlight w:val="none"/>
          <w14:textFill>
            <w14:solidFill>
              <w14:schemeClr w14:val="tx1"/>
            </w14:solidFill>
          </w14:textFill>
        </w:rPr>
        <w:t>登记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，面积以实地测量为准。</w:t>
      </w:r>
      <w:r>
        <w:rPr>
          <w:rFonts w:hint="eastAsia" w:ascii="仿宋_GB2312" w:hAnsi="仿宋_GB2312" w:eastAsia="仿宋_GB2312" w:cs="仿宋_GB2312"/>
          <w:color w:val="000000" w:themeColor="text1"/>
          <w:sz w:val="32"/>
          <w:szCs w:val="32"/>
          <w:highlight w:val="none"/>
          <w14:textFill>
            <w14:solidFill>
              <w14:schemeClr w14:val="tx1"/>
            </w14:solidFill>
          </w14:textFill>
        </w:rPr>
        <w:t>未经登记房屋调查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认定</w:t>
      </w:r>
      <w:r>
        <w:rPr>
          <w:rFonts w:hint="eastAsia" w:ascii="仿宋_GB2312" w:hAnsi="仿宋_GB2312" w:eastAsia="仿宋_GB2312" w:cs="仿宋_GB2312"/>
          <w:color w:val="000000" w:themeColor="text1"/>
          <w:sz w:val="32"/>
          <w:szCs w:val="32"/>
          <w:highlight w:val="none"/>
          <w14:textFill>
            <w14:solidFill>
              <w14:schemeClr w14:val="tx1"/>
            </w14:solidFill>
          </w14:textFill>
        </w:rPr>
        <w:t>结果作为签订房屋补偿协议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或作出补偿安置决定</w:t>
      </w:r>
      <w:r>
        <w:rPr>
          <w:rFonts w:hint="eastAsia" w:ascii="仿宋_GB2312" w:hAnsi="仿宋_GB2312" w:eastAsia="仿宋_GB2312" w:cs="仿宋_GB2312"/>
          <w:color w:val="000000" w:themeColor="text1"/>
          <w:sz w:val="32"/>
          <w:szCs w:val="32"/>
          <w:highlight w:val="none"/>
          <w14:textFill>
            <w14:solidFill>
              <w14:schemeClr w14:val="tx1"/>
            </w14:solidFill>
          </w14:textFill>
        </w:rPr>
        <w:t>的依据。</w:t>
      </w:r>
    </w:p>
    <w:p w14:paraId="0D15DC29">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（三）征地范围内</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同一</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被补偿</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人名下有多处合法产权房屋的</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按权</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属登记</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证书个数分别计户</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；同一被补偿人同时有合法产权与未经登记房屋的，</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未经登记房屋</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应</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与用途相同的合法产权房屋合并计户</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；同一被补偿人及其</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配偶</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的多处未经登记房屋均未办理房屋权属登记的，用途相同的未经登记房屋均合并计户</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w:t>
      </w:r>
    </w:p>
    <w:p w14:paraId="6034B4B4">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（四）被补偿</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人</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应与实施单位确认相关文书有效送达地址（含电子送达）。</w:t>
      </w:r>
    </w:p>
    <w:p w14:paraId="61DC4FA2">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二、房屋评估</w:t>
      </w:r>
    </w:p>
    <w:p w14:paraId="1F402A1D">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eastAsia="仿宋_GB2312" w:cs="宋体"/>
          <w:strike w:val="0"/>
          <w:dstrike w:val="0"/>
          <w:color w:val="000000" w:themeColor="text1"/>
          <w:sz w:val="32"/>
          <w:szCs w:val="32"/>
          <w:highlight w:val="none"/>
          <w:u w:val="none"/>
          <w:lang w:eastAsia="zh-CN"/>
          <w14:textFill>
            <w14:solidFill>
              <w14:schemeClr w14:val="tx1"/>
            </w14:solidFill>
          </w14:textFill>
        </w:rPr>
      </w:pPr>
      <w:r>
        <w:rPr>
          <w:rFonts w:hint="eastAsia" w:eastAsia="仿宋_GB2312" w:cs="宋体"/>
          <w:b w:val="0"/>
          <w:bCs w:val="0"/>
          <w:strike w:val="0"/>
          <w:dstrike w:val="0"/>
          <w:color w:val="000000" w:themeColor="text1"/>
          <w:sz w:val="32"/>
          <w:szCs w:val="32"/>
          <w:highlight w:val="none"/>
          <w:u w:val="none"/>
          <w:lang w:eastAsia="zh-CN"/>
          <w14:textFill>
            <w14:solidFill>
              <w14:schemeClr w14:val="tx1"/>
            </w14:solidFill>
          </w14:textFill>
        </w:rPr>
        <w:t>（</w:t>
      </w:r>
      <w:r>
        <w:rPr>
          <w:rFonts w:hint="eastAsia" w:eastAsia="仿宋_GB2312" w:cs="宋体"/>
          <w:b w:val="0"/>
          <w:bCs w:val="0"/>
          <w:strike w:val="0"/>
          <w:dstrike w:val="0"/>
          <w:color w:val="000000" w:themeColor="text1"/>
          <w:sz w:val="32"/>
          <w:szCs w:val="32"/>
          <w:highlight w:val="none"/>
          <w:u w:val="none"/>
          <w:lang w:val="en-US" w:eastAsia="zh-CN"/>
          <w14:textFill>
            <w14:solidFill>
              <w14:schemeClr w14:val="tx1"/>
            </w14:solidFill>
          </w14:textFill>
        </w:rPr>
        <w:t>一</w:t>
      </w:r>
      <w:r>
        <w:rPr>
          <w:rFonts w:hint="eastAsia" w:eastAsia="仿宋_GB2312" w:cs="宋体"/>
          <w:b w:val="0"/>
          <w:bCs w:val="0"/>
          <w:strike w:val="0"/>
          <w:dstrike w:val="0"/>
          <w:color w:val="000000" w:themeColor="text1"/>
          <w:sz w:val="32"/>
          <w:szCs w:val="32"/>
          <w:highlight w:val="none"/>
          <w:u w:val="none"/>
          <w:lang w:eastAsia="zh-CN"/>
          <w14:textFill>
            <w14:solidFill>
              <w14:schemeClr w14:val="tx1"/>
            </w14:solidFill>
          </w14:textFill>
        </w:rPr>
        <w:t>）原</w:t>
      </w:r>
      <w:r>
        <w:rPr>
          <w:rFonts w:hint="eastAsia" w:eastAsia="仿宋_GB2312" w:cs="宋体"/>
          <w:strike w:val="0"/>
          <w:dstrike w:val="0"/>
          <w:color w:val="000000" w:themeColor="text1"/>
          <w:sz w:val="32"/>
          <w:szCs w:val="32"/>
          <w:highlight w:val="none"/>
          <w:u w:val="none"/>
          <w:lang w:eastAsia="zh-CN"/>
          <w14:textFill>
            <w14:solidFill>
              <w14:schemeClr w14:val="tx1"/>
            </w14:solidFill>
          </w14:textFill>
        </w:rPr>
        <w:t>旧房与</w:t>
      </w:r>
      <w:r>
        <w:rPr>
          <w:rFonts w:hint="eastAsia" w:eastAsia="仿宋_GB2312" w:cs="宋体"/>
          <w:strike w:val="0"/>
          <w:dstrike w:val="0"/>
          <w:color w:val="000000" w:themeColor="text1"/>
          <w:sz w:val="32"/>
          <w:szCs w:val="32"/>
          <w:highlight w:val="none"/>
          <w:u w:val="none"/>
          <w:lang w:val="en-US" w:eastAsia="zh-CN"/>
          <w14:textFill>
            <w14:solidFill>
              <w14:schemeClr w14:val="tx1"/>
            </w14:solidFill>
          </w14:textFill>
        </w:rPr>
        <w:t>安置</w:t>
      </w:r>
      <w:r>
        <w:rPr>
          <w:rFonts w:hint="eastAsia" w:eastAsia="仿宋_GB2312" w:cs="宋体"/>
          <w:strike w:val="0"/>
          <w:dstrike w:val="0"/>
          <w:color w:val="000000" w:themeColor="text1"/>
          <w:sz w:val="32"/>
          <w:szCs w:val="32"/>
          <w:highlight w:val="none"/>
          <w:u w:val="none"/>
          <w:lang w:eastAsia="zh-CN"/>
          <w14:textFill>
            <w14:solidFill>
              <w14:schemeClr w14:val="tx1"/>
            </w14:solidFill>
          </w14:textFill>
        </w:rPr>
        <w:t>房的</w:t>
      </w:r>
      <w:r>
        <w:rPr>
          <w:rFonts w:hint="eastAsia" w:eastAsia="仿宋_GB2312" w:cs="宋体"/>
          <w:strike w:val="0"/>
          <w:dstrike w:val="0"/>
          <w:color w:val="000000" w:themeColor="text1"/>
          <w:sz w:val="32"/>
          <w:szCs w:val="32"/>
          <w:highlight w:val="none"/>
          <w:u w:val="none"/>
          <w:lang w:val="en-US" w:eastAsia="zh-CN"/>
          <w14:textFill>
            <w14:solidFill>
              <w14:schemeClr w14:val="tx1"/>
            </w14:solidFill>
          </w14:textFill>
        </w:rPr>
        <w:t>相关价格、</w:t>
      </w:r>
      <w:r>
        <w:rPr>
          <w:rFonts w:hint="eastAsia" w:ascii="仿宋_GB2312" w:eastAsia="仿宋_GB2312"/>
          <w:b w:val="0"/>
          <w:bCs w:val="0"/>
          <w:color w:val="000000" w:themeColor="text1"/>
          <w:spacing w:val="-4"/>
          <w:sz w:val="32"/>
          <w:szCs w:val="32"/>
          <w:highlight w:val="none"/>
          <w:u w:val="none"/>
          <w:lang w:val="en-US" w:eastAsia="zh-CN"/>
          <w14:textFill>
            <w14:solidFill>
              <w14:schemeClr w14:val="tx1"/>
            </w14:solidFill>
          </w14:textFill>
        </w:rPr>
        <w:t>价值等</w:t>
      </w:r>
      <w:r>
        <w:rPr>
          <w:rFonts w:hint="eastAsia" w:eastAsia="仿宋_GB2312" w:cs="宋体"/>
          <w:strike w:val="0"/>
          <w:dstrike w:val="0"/>
          <w:color w:val="000000" w:themeColor="text1"/>
          <w:sz w:val="32"/>
          <w:szCs w:val="32"/>
          <w:highlight w:val="none"/>
          <w:u w:val="none"/>
          <w:lang w:eastAsia="zh-CN"/>
          <w14:textFill>
            <w14:solidFill>
              <w14:schemeClr w14:val="tx1"/>
            </w14:solidFill>
          </w14:textFill>
        </w:rPr>
        <w:t>，由房地产价格评估机构按规定评估确定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。可视为合法未经登记房屋的价值原则上按相同用途合法产权旧房评估价扣减2%（上限每平方米200元）评估确定。</w:t>
      </w:r>
    </w:p>
    <w:p w14:paraId="0353BF9B">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eastAsia="仿宋_GB2312" w:cs="宋体"/>
          <w:strike w:val="0"/>
          <w:dstrike w:val="0"/>
          <w:color w:val="000000" w:themeColor="text1"/>
          <w:sz w:val="32"/>
          <w:szCs w:val="32"/>
          <w:highlight w:val="none"/>
          <w:lang w:eastAsia="zh-CN"/>
          <w14:textFill>
            <w14:solidFill>
              <w14:schemeClr w14:val="tx1"/>
            </w14:solidFill>
          </w14:textFill>
        </w:rPr>
      </w:pPr>
      <w:r>
        <w:rPr>
          <w:rFonts w:hint="eastAsia" w:eastAsia="仿宋_GB2312" w:cs="宋体"/>
          <w:b w:val="0"/>
          <w:bCs w:val="0"/>
          <w:strike w:val="0"/>
          <w:dstrike w:val="0"/>
          <w:color w:val="000000" w:themeColor="text1"/>
          <w:sz w:val="32"/>
          <w:szCs w:val="32"/>
          <w:highlight w:val="none"/>
          <w:u w:val="none"/>
          <w:lang w:eastAsia="zh-CN"/>
          <w14:textFill>
            <w14:solidFill>
              <w14:schemeClr w14:val="tx1"/>
            </w14:solidFill>
          </w14:textFill>
        </w:rPr>
        <w:t>（</w:t>
      </w:r>
      <w:r>
        <w:rPr>
          <w:rFonts w:hint="eastAsia" w:eastAsia="仿宋_GB2312" w:cs="宋体"/>
          <w:b w:val="0"/>
          <w:bCs w:val="0"/>
          <w:strike w:val="0"/>
          <w:dstrike w:val="0"/>
          <w:color w:val="000000" w:themeColor="text1"/>
          <w:sz w:val="32"/>
          <w:szCs w:val="32"/>
          <w:highlight w:val="none"/>
          <w:u w:val="none"/>
          <w:lang w:val="en-US" w:eastAsia="zh-CN"/>
          <w14:textFill>
            <w14:solidFill>
              <w14:schemeClr w14:val="tx1"/>
            </w14:solidFill>
          </w14:textFill>
        </w:rPr>
        <w:t>二</w:t>
      </w:r>
      <w:r>
        <w:rPr>
          <w:rFonts w:hint="eastAsia" w:eastAsia="仿宋_GB2312" w:cs="宋体"/>
          <w:b w:val="0"/>
          <w:bCs w:val="0"/>
          <w:strike w:val="0"/>
          <w:dstrike w:val="0"/>
          <w:color w:val="000000" w:themeColor="text1"/>
          <w:sz w:val="32"/>
          <w:szCs w:val="32"/>
          <w:highlight w:val="none"/>
          <w:u w:val="none"/>
          <w:lang w:eastAsia="zh-CN"/>
          <w14:textFill>
            <w14:solidFill>
              <w14:schemeClr w14:val="tx1"/>
            </w14:solidFill>
          </w14:textFill>
        </w:rPr>
        <w:t>）征</w:t>
      </w:r>
      <w:r>
        <w:rPr>
          <w:rFonts w:hint="eastAsia" w:eastAsia="仿宋_GB2312" w:cs="宋体"/>
          <w:strike w:val="0"/>
          <w:dstrike w:val="0"/>
          <w:color w:val="000000" w:themeColor="text1"/>
          <w:sz w:val="32"/>
          <w:szCs w:val="32"/>
          <w:highlight w:val="none"/>
          <w:u w:val="none"/>
          <w:lang w:eastAsia="zh-CN"/>
          <w14:textFill>
            <w14:solidFill>
              <w14:schemeClr w14:val="tx1"/>
            </w14:solidFill>
          </w14:textFill>
        </w:rPr>
        <w:t>地预公告发布后，房地产价格评估机构由各</w:t>
      </w:r>
      <w:r>
        <w:rPr>
          <w:rFonts w:hint="eastAsia" w:eastAsia="仿宋_GB2312" w:cs="宋体"/>
          <w:strike w:val="0"/>
          <w:dstrike w:val="0"/>
          <w:color w:val="000000" w:themeColor="text1"/>
          <w:sz w:val="32"/>
          <w:szCs w:val="32"/>
          <w:highlight w:val="none"/>
          <w:u w:val="none"/>
          <w:lang w:val="en-US" w:eastAsia="zh-CN"/>
          <w14:textFill>
            <w14:solidFill>
              <w14:schemeClr w14:val="tx1"/>
            </w14:solidFill>
          </w14:textFill>
        </w:rPr>
        <w:t>被补偿人在报名的机构</w:t>
      </w:r>
      <w:r>
        <w:rPr>
          <w:rFonts w:hint="eastAsia" w:eastAsia="仿宋_GB2312" w:cs="宋体"/>
          <w:strike w:val="0"/>
          <w:dstrike w:val="0"/>
          <w:color w:val="000000" w:themeColor="text1"/>
          <w:sz w:val="32"/>
          <w:szCs w:val="32"/>
          <w:highlight w:val="none"/>
          <w:u w:val="none"/>
          <w:lang w:eastAsia="zh-CN"/>
          <w14:textFill>
            <w14:solidFill>
              <w14:schemeClr w14:val="tx1"/>
            </w14:solidFill>
          </w14:textFill>
        </w:rPr>
        <w:t>中共同协商选定。规定期限内</w:t>
      </w:r>
      <w:r>
        <w:rPr>
          <w:rFonts w:hint="eastAsia" w:eastAsia="仿宋_GB2312" w:cs="宋体"/>
          <w:strike w:val="0"/>
          <w:dstrike w:val="0"/>
          <w:color w:val="000000" w:themeColor="text1"/>
          <w:sz w:val="32"/>
          <w:szCs w:val="32"/>
          <w:highlight w:val="none"/>
          <w:lang w:eastAsia="zh-CN"/>
          <w14:textFill>
            <w14:solidFill>
              <w14:schemeClr w14:val="tx1"/>
            </w14:solidFill>
          </w14:textFill>
        </w:rPr>
        <w:t>不能协商选定的，采取摇号、抽签等</w:t>
      </w:r>
      <w:r>
        <w:rPr>
          <w:rFonts w:hint="default" w:eastAsia="仿宋_GB2312" w:cs="宋体"/>
          <w:strike w:val="0"/>
          <w:dstrike w:val="0"/>
          <w:color w:val="000000" w:themeColor="text1"/>
          <w:sz w:val="32"/>
          <w:szCs w:val="32"/>
          <w:highlight w:val="none"/>
          <w:lang w:eastAsia="zh-CN"/>
          <w14:textFill>
            <w14:solidFill>
              <w14:schemeClr w14:val="tx1"/>
            </w14:solidFill>
          </w14:textFill>
        </w:rPr>
        <w:t>随机</w:t>
      </w:r>
      <w:r>
        <w:rPr>
          <w:rFonts w:hint="eastAsia" w:eastAsia="仿宋_GB2312" w:cs="宋体"/>
          <w:strike w:val="0"/>
          <w:dstrike w:val="0"/>
          <w:color w:val="000000" w:themeColor="text1"/>
          <w:sz w:val="32"/>
          <w:szCs w:val="32"/>
          <w:highlight w:val="none"/>
          <w:lang w:eastAsia="zh-CN"/>
          <w14:textFill>
            <w14:solidFill>
              <w14:schemeClr w14:val="tx1"/>
            </w14:solidFill>
          </w14:textFill>
        </w:rPr>
        <w:t>方式或者按照少数服从多数的原则投票确定。</w:t>
      </w:r>
    </w:p>
    <w:p w14:paraId="54EE8764">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三、补偿安置方式</w:t>
      </w:r>
    </w:p>
    <w:p w14:paraId="6A8180F0">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被补偿人</w:t>
      </w:r>
      <w:r>
        <w:rPr>
          <w:rFonts w:hint="eastAsia" w:ascii="Times New Roman" w:hAnsi="Times New Roman" w:eastAsia="仿宋_GB2312" w:cs="宋体"/>
          <w:color w:val="000000" w:themeColor="text1"/>
          <w:sz w:val="32"/>
          <w:szCs w:val="32"/>
          <w:u w:val="none"/>
          <w:lang w:eastAsia="zh-CN"/>
          <w14:textFill>
            <w14:solidFill>
              <w14:schemeClr w14:val="tx1"/>
            </w14:solidFill>
          </w14:textFill>
        </w:rPr>
        <w:t>可以选择</w:t>
      </w:r>
      <w:r>
        <w:rPr>
          <w:rFonts w:hint="eastAsia" w:ascii="Times New Roman" w:hAnsi="Times New Roman" w:eastAsia="仿宋_GB2312" w:cs="宋体"/>
          <w:color w:val="000000" w:themeColor="text1"/>
          <w:sz w:val="32"/>
          <w:szCs w:val="32"/>
          <w:highlight w:val="none"/>
          <w:u w:val="none"/>
          <w:lang w:eastAsia="zh-CN"/>
          <w14:textFill>
            <w14:solidFill>
              <w14:schemeClr w14:val="tx1"/>
            </w14:solidFill>
          </w14:textFill>
        </w:rPr>
        <w:t>货币补偿</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，也可以选择产权调换</w:t>
      </w:r>
      <w:r>
        <w:rPr>
          <w:rFonts w:hint="eastAsia" w:ascii="仿宋_GB2312" w:hAnsi="仿宋_GB2312" w:eastAsia="仿宋_GB2312" w:cs="仿宋_GB2312"/>
          <w:i w:val="0"/>
          <w:iCs w:val="0"/>
          <w:caps w:val="0"/>
          <w:color w:val="000000" w:themeColor="text1"/>
          <w:spacing w:val="0"/>
          <w:sz w:val="32"/>
          <w:szCs w:val="32"/>
          <w:highlight w:val="none"/>
          <w:shd w:val="clear"/>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选择货币补偿的，对原旧房按市场评估价值予以补偿；选择产权调换的，由实施单位在征地补偿安置方案确定的就地就近或异地安置区块按以下规定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予以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安置。</w:t>
      </w:r>
    </w:p>
    <w:p w14:paraId="0D8CDFA2">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（一）合法及可视为合法住宅房屋产权调换应安置建筑面积按下列方式之一计算面积的1.25倍确定：</w:t>
      </w:r>
    </w:p>
    <w:p w14:paraId="6D6535D9">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合法面积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”安置：按原旧房套内面积计算；</w:t>
      </w:r>
    </w:p>
    <w:p w14:paraId="5D138EED">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宋体"/>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2.“一翻三”安置：被补偿人系</w:t>
      </w:r>
      <w:r>
        <w:rPr>
          <w:rFonts w:hint="eastAsia" w:ascii="Times New Roman" w:hAnsi="Times New Roman" w:eastAsia="仿宋_GB2312" w:cs="宋体"/>
          <w:color w:val="000000" w:themeColor="text1"/>
          <w:sz w:val="32"/>
          <w:szCs w:val="32"/>
          <w:highlight w:val="none"/>
          <w:u w:val="none"/>
          <w:lang w:val="en-US" w:eastAsia="zh-CN"/>
          <w14:textFill>
            <w14:solidFill>
              <w14:schemeClr w14:val="tx1"/>
            </w14:solidFill>
          </w14:textFill>
        </w:rPr>
        <w:t>征地范围内</w:t>
      </w:r>
      <w:r>
        <w:rPr>
          <w:rFonts w:hint="eastAsia" w:ascii="Times New Roman" w:hAnsi="Times New Roman" w:eastAsia="仿宋_GB2312" w:cs="宋体"/>
          <w:strike w:val="0"/>
          <w:dstrike w:val="0"/>
          <w:color w:val="000000" w:themeColor="text1"/>
          <w:sz w:val="32"/>
          <w:szCs w:val="32"/>
          <w:highlight w:val="none"/>
          <w:u w:val="none"/>
          <w:lang w:val="en-US" w:eastAsia="zh-CN"/>
          <w14:textFill>
            <w14:solidFill>
              <w14:schemeClr w14:val="tx1"/>
            </w14:solidFill>
          </w14:textFill>
        </w:rPr>
        <w:t>属地</w:t>
      </w:r>
      <w:r>
        <w:rPr>
          <w:rFonts w:hint="eastAsia" w:ascii="Times New Roman" w:hAnsi="Times New Roman" w:eastAsia="仿宋_GB2312" w:cs="宋体"/>
          <w:color w:val="000000" w:themeColor="text1"/>
          <w:sz w:val="32"/>
          <w:szCs w:val="32"/>
          <w:highlight w:val="none"/>
          <w:u w:val="none"/>
          <w:lang w:val="en-US" w:eastAsia="zh-CN"/>
          <w14:textFill>
            <w14:solidFill>
              <w14:schemeClr w14:val="tx1"/>
            </w14:solidFill>
          </w14:textFill>
        </w:rPr>
        <w:t>村集体经济组织成员且在</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2016年11月30日前</w:t>
      </w:r>
      <w:r>
        <w:rPr>
          <w:rFonts w:hint="eastAsia" w:ascii="Times New Roman" w:hAnsi="Times New Roman" w:eastAsia="仿宋_GB2312" w:cs="宋体"/>
          <w:color w:val="000000" w:themeColor="text1"/>
          <w:sz w:val="32"/>
          <w:szCs w:val="32"/>
          <w:highlight w:val="none"/>
          <w:u w:val="none"/>
          <w:lang w:val="en-US" w:eastAsia="zh-CN"/>
          <w14:textFill>
            <w14:solidFill>
              <w14:schemeClr w14:val="tx1"/>
            </w14:solidFill>
          </w14:textFill>
        </w:rPr>
        <w:t>为农业</w:t>
      </w:r>
      <w:r>
        <w:rPr>
          <w:rFonts w:hint="eastAsia" w:ascii="仿宋_GB2312" w:eastAsia="仿宋_GB2312"/>
          <w:color w:val="000000" w:themeColor="text1"/>
          <w:spacing w:val="-4"/>
          <w:sz w:val="32"/>
          <w:szCs w:val="32"/>
          <w:highlight w:val="none"/>
          <w:lang w:eastAsia="zh-CN"/>
          <w14:textFill>
            <w14:solidFill>
              <w14:schemeClr w14:val="tx1"/>
            </w14:solidFill>
          </w14:textFill>
        </w:rPr>
        <w:t>户</w:t>
      </w:r>
      <w:r>
        <w:rPr>
          <w:rFonts w:hint="eastAsia" w:ascii="仿宋_GB2312" w:eastAsia="仿宋_GB2312"/>
          <w:color w:val="000000" w:themeColor="text1"/>
          <w:spacing w:val="-4"/>
          <w:sz w:val="32"/>
          <w:szCs w:val="32"/>
          <w:highlight w:val="none"/>
          <w:lang w:val="en-US" w:eastAsia="zh-CN"/>
          <w14:textFill>
            <w14:solidFill>
              <w14:schemeClr w14:val="tx1"/>
            </w14:solidFill>
          </w14:textFill>
        </w:rPr>
        <w:t>口</w:t>
      </w:r>
      <w:r>
        <w:rPr>
          <w:rFonts w:hint="eastAsia" w:ascii="Times New Roman" w:hAnsi="Times New Roman" w:eastAsia="仿宋_GB2312" w:cs="宋体"/>
          <w:color w:val="000000" w:themeColor="text1"/>
          <w:spacing w:val="0"/>
          <w:sz w:val="32"/>
          <w:szCs w:val="32"/>
          <w:highlight w:val="none"/>
          <w:lang w:eastAsia="zh-CN"/>
          <w14:textFill>
            <w14:solidFill>
              <w14:schemeClr w14:val="tx1"/>
            </w14:solidFill>
          </w14:textFill>
        </w:rPr>
        <w:t>，</w:t>
      </w:r>
      <w:r>
        <w:rPr>
          <w:rFonts w:hint="eastAsia" w:ascii="仿宋_GB2312" w:eastAsia="仿宋_GB2312"/>
          <w:color w:val="000000" w:themeColor="text1"/>
          <w:spacing w:val="-4"/>
          <w:sz w:val="32"/>
          <w:szCs w:val="32"/>
          <w:highlight w:val="none"/>
          <w:lang w:eastAsia="zh-CN"/>
          <w14:textFill>
            <w14:solidFill>
              <w14:schemeClr w14:val="tx1"/>
            </w14:solidFill>
          </w14:textFill>
        </w:rPr>
        <w:t>其</w:t>
      </w:r>
      <w:r>
        <w:rPr>
          <w:rFonts w:hint="eastAsia" w:ascii="Times New Roman" w:hAnsi="Times New Roman" w:eastAsia="仿宋_GB2312" w:cs="宋体"/>
          <w:color w:val="000000" w:themeColor="text1"/>
          <w:sz w:val="32"/>
          <w:szCs w:val="32"/>
          <w:highlight w:val="none"/>
          <w:u w:val="none"/>
          <w:lang w:val="en-US" w:eastAsia="zh-CN"/>
          <w14:textFill>
            <w14:solidFill>
              <w14:schemeClr w14:val="tx1"/>
            </w14:solidFill>
          </w14:textFill>
        </w:rPr>
        <w:t>宅基地属原始取得的，按合法房屋宅基地建筑基底面积的三倍计算</w:t>
      </w:r>
      <w:r>
        <w:rPr>
          <w:rFonts w:hint="eastAsia" w:ascii="Times New Roman" w:hAnsi="Times New Roman" w:eastAsia="仿宋_GB2312" w:cs="宋体"/>
          <w:color w:val="000000" w:themeColor="text1"/>
          <w:sz w:val="32"/>
          <w:szCs w:val="32"/>
          <w:highlight w:val="none"/>
          <w:u w:val="none"/>
          <w:lang w:eastAsia="zh-CN"/>
          <w14:textFill>
            <w14:solidFill>
              <w14:schemeClr w14:val="tx1"/>
            </w14:solidFill>
          </w14:textFill>
        </w:rPr>
        <w:t>。</w:t>
      </w:r>
    </w:p>
    <w:p w14:paraId="469F1E0A">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宋体"/>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宋体"/>
          <w:color w:val="000000" w:themeColor="text1"/>
          <w:sz w:val="32"/>
          <w:szCs w:val="32"/>
          <w:highlight w:val="none"/>
          <w:u w:val="none"/>
          <w:lang w:val="en-US" w:eastAsia="zh-CN"/>
          <w14:textFill>
            <w14:solidFill>
              <w14:schemeClr w14:val="tx1"/>
            </w14:solidFill>
          </w14:textFill>
        </w:rPr>
        <w:t>被补偿人系在职或退休公务员（不含聘任制）、事业人员或 国企正式职工的，不适用“一翻三”安置。</w:t>
      </w:r>
    </w:p>
    <w:p w14:paraId="61BF9B9E">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人均保底”安置：户籍登记在被征地房屋内的被补偿人根据上述第1或第2点计算的面积未达到户内人均24平方米的（计入人均的户内成员在市区范围内另有房产面积合并计算），可申请按户内人均24平方米计算。</w:t>
      </w:r>
    </w:p>
    <w:p w14:paraId="7B6427D1">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（二）合法及可视为合法营业、办公用房产权调换</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应安置</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建筑面积</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按原旧房建筑面积确定。</w:t>
      </w:r>
    </w:p>
    <w:p w14:paraId="7D9838F5">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在房源许可情况下，也可以营业、办公用房货币补偿权益（不含临时安置费、搬迁费）根据住宅安置房比准价按等值折算的方式，将合法营业、办公用房产权调换为住宅房屋安置。</w:t>
      </w:r>
    </w:p>
    <w:p w14:paraId="707A5FB1">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四、住宅面积增购</w:t>
      </w:r>
    </w:p>
    <w:p w14:paraId="65F5B353">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（一）未经登记</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住宅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房屋不属于可视为合法但符合下列情形之一的，实施单位可根据相关凭证记载的面积</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和对应部位房屋现状面积按就低原则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的1.25倍给予被补偿人额外增购住宅安置房建筑面积：</w:t>
      </w:r>
    </w:p>
    <w:p w14:paraId="3A2324E4">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1.未办理土地使用权登记，但已经规划部门处罚并缴纳市政基础配套设施费的；</w:t>
      </w:r>
    </w:p>
    <w:p w14:paraId="02953104">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2.位于1988年版《温州市旧城控制性详细规划》所划定的旧城区范围以外，但持有规划部门颁发的临时建设工程规划许可证的；</w:t>
      </w:r>
    </w:p>
    <w:p w14:paraId="0EE7A836">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3.持有1998年12月31日以前由乡镇人民政府审批的个人建房加层审批手续的。</w:t>
      </w:r>
    </w:p>
    <w:p w14:paraId="41EF792F">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（二）住宅房屋被补偿人可按户申请增购住宅安置房建筑面积50平方米。</w:t>
      </w:r>
    </w:p>
    <w:p w14:paraId="7EEF74D8">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五、安置价格结算</w:t>
      </w:r>
    </w:p>
    <w:p w14:paraId="12FD2452">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（一）住宅房屋实行</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就地就近</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产权调换的</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，安置房价格</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按</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下列</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规定</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结算</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w:t>
      </w:r>
    </w:p>
    <w:p w14:paraId="4207EF24">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strike w:val="0"/>
          <w:dstrike w:val="0"/>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1</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.与旧房合法</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及可视为合法</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面积相等部分，按</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安置房</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与旧房比准价差价的</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30%（下限每平方米600元）计价。</w:t>
      </w:r>
      <w:r>
        <w:rPr>
          <w:rFonts w:hint="eastAsia" w:ascii="仿宋_GB2312" w:hAnsi="宋体" w:eastAsia="仿宋_GB2312" w:cs="仿宋_GB2312"/>
          <w:strike w:val="0"/>
          <w:dstrike w:val="0"/>
          <w:color w:val="000000" w:themeColor="text1"/>
          <w:kern w:val="0"/>
          <w:sz w:val="32"/>
          <w:szCs w:val="32"/>
          <w:highlight w:val="none"/>
          <w:lang w:val="en-US" w:eastAsia="zh-CN" w:bidi="ar"/>
          <w14:textFill>
            <w14:solidFill>
              <w14:schemeClr w14:val="tx1"/>
            </w14:solidFill>
          </w14:textFill>
        </w:rPr>
        <w:t>1.25倍</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系数增加的面积，按安置房比准价的20%计价；</w:t>
      </w:r>
    </w:p>
    <w:p w14:paraId="42F81559">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2.“一翻三”或“人均保底”应安置建筑面积较“合法及可视为合法面积”安置增加的部分，按安置房比准价的60%（上限每平方米6000元）计价；</w:t>
      </w:r>
    </w:p>
    <w:p w14:paraId="1B701A09">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3</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.额外增购面积按安置房比准价的60%（上限每平方米6000元）计价；</w:t>
      </w:r>
    </w:p>
    <w:p w14:paraId="68673835">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4.户均</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增购面积</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按征地补偿安置方案确定并公布之日或</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通知房屋交付结算时安置房</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比准价就低的80%计价</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w:t>
      </w:r>
    </w:p>
    <w:p w14:paraId="796E0AE4">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5.实际交付的安置房</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建筑面积超出协议应安置建筑面积</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的套型差，在</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10平方米以内</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的</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部分按</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安置房</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比准价的30%计价</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在10平方米以外</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的</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部分按征地补偿安置方案确定并公布之日或</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通知房屋交付结算时安置房</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评估比准价就低的80%计价；</w:t>
      </w:r>
    </w:p>
    <w:p w14:paraId="380AF59A">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strike w:val="0"/>
          <w:dstrike w:val="0"/>
          <w:color w:val="000000" w:themeColor="text1"/>
          <w:sz w:val="32"/>
          <w:szCs w:val="32"/>
          <w:highlight w:val="none"/>
          <w:u w:val="none"/>
          <w:lang w:val="en-US" w:eastAsia="zh-CN"/>
          <w14:textFill>
            <w14:solidFill>
              <w14:schemeClr w14:val="tx1"/>
            </w14:solidFill>
          </w14:textFill>
        </w:rPr>
        <w:t>6.</w:t>
      </w:r>
      <w:r>
        <w:rPr>
          <w:rFonts w:hint="eastAsia" w:eastAsia="仿宋_GB2312" w:cs="宋体"/>
          <w:b w:val="0"/>
          <w:bCs w:val="0"/>
          <w:strike w:val="0"/>
          <w:dstrike w:val="0"/>
          <w:color w:val="000000" w:themeColor="text1"/>
          <w:sz w:val="32"/>
          <w:szCs w:val="32"/>
          <w:highlight w:val="none"/>
          <w:u w:val="none"/>
          <w:lang w:val="en-US" w:eastAsia="zh-CN"/>
          <w14:textFill>
            <w14:solidFill>
              <w14:schemeClr w14:val="tx1"/>
            </w14:solidFill>
          </w14:textFill>
        </w:rPr>
        <w:t>原</w:t>
      </w:r>
      <w:r>
        <w:rPr>
          <w:rFonts w:hint="eastAsia" w:eastAsia="仿宋_GB2312" w:cs="宋体"/>
          <w:strike w:val="0"/>
          <w:dstrike w:val="0"/>
          <w:color w:val="000000" w:themeColor="text1"/>
          <w:sz w:val="32"/>
          <w:szCs w:val="32"/>
          <w:highlight w:val="none"/>
          <w:u w:val="none"/>
          <w:lang w:eastAsia="zh-CN"/>
          <w14:textFill>
            <w14:solidFill>
              <w14:schemeClr w14:val="tx1"/>
            </w14:solidFill>
          </w14:textFill>
        </w:rPr>
        <w:t>合法及可视为合法</w:t>
      </w:r>
      <w:r>
        <w:rPr>
          <w:rFonts w:hint="eastAsia" w:eastAsia="仿宋_GB2312" w:cs="宋体"/>
          <w:b w:val="0"/>
          <w:bCs w:val="0"/>
          <w:strike w:val="0"/>
          <w:dstrike w:val="0"/>
          <w:color w:val="000000" w:themeColor="text1"/>
          <w:sz w:val="32"/>
          <w:szCs w:val="32"/>
          <w:highlight w:val="none"/>
          <w:u w:val="none"/>
          <w:lang w:val="en-US" w:eastAsia="zh-CN"/>
          <w14:textFill>
            <w14:solidFill>
              <w14:schemeClr w14:val="tx1"/>
            </w14:solidFill>
          </w14:textFill>
        </w:rPr>
        <w:t>旧房</w:t>
      </w:r>
      <w:r>
        <w:rPr>
          <w:rFonts w:hint="eastAsia" w:eastAsia="仿宋_GB2312" w:cs="宋体"/>
          <w:strike w:val="0"/>
          <w:dstrike w:val="0"/>
          <w:color w:val="000000" w:themeColor="text1"/>
          <w:sz w:val="32"/>
          <w:szCs w:val="32"/>
          <w:highlight w:val="none"/>
          <w:u w:val="none"/>
          <w:lang w:val="en-US" w:eastAsia="zh-CN"/>
          <w14:textFill>
            <w14:solidFill>
              <w14:schemeClr w14:val="tx1"/>
            </w14:solidFill>
          </w14:textFill>
        </w:rPr>
        <w:t>评估单价（含室内装饰装修等）与评估比准价的差价</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、安置房</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的层次</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与</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朝向差</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价，均在</w:t>
      </w:r>
      <w:r>
        <w:rPr>
          <w:rFonts w:hint="eastAsia" w:ascii="仿宋_GB2312" w:hAnsi="仿宋_GB2312" w:eastAsia="仿宋_GB2312" w:cs="仿宋_GB2312"/>
          <w:b w:val="0"/>
          <w:bCs w:val="0"/>
          <w:strike w:val="0"/>
          <w:dstrike w:val="0"/>
          <w:color w:val="000000" w:themeColor="text1"/>
          <w:sz w:val="32"/>
          <w:szCs w:val="32"/>
          <w:highlight w:val="none"/>
          <w:u w:val="none"/>
          <w:lang w:val="en-US" w:eastAsia="zh-CN"/>
          <w14:textFill>
            <w14:solidFill>
              <w14:schemeClr w14:val="tx1"/>
            </w14:solidFill>
          </w14:textFill>
        </w:rPr>
        <w:t>安置房</w:t>
      </w:r>
      <w:r>
        <w:rPr>
          <w:rFonts w:hint="eastAsia" w:eastAsia="仿宋_GB2312" w:cs="宋体"/>
          <w:b w:val="0"/>
          <w:bCs w:val="0"/>
          <w:strike w:val="0"/>
          <w:dstrike w:val="0"/>
          <w:color w:val="000000" w:themeColor="text1"/>
          <w:sz w:val="32"/>
          <w:szCs w:val="32"/>
          <w:highlight w:val="none"/>
          <w:u w:val="none"/>
          <w:lang w:val="en-US" w:eastAsia="zh-CN"/>
          <w14:textFill>
            <w14:solidFill>
              <w14:schemeClr w14:val="tx1"/>
            </w14:solidFill>
          </w14:textFill>
        </w:rPr>
        <w:t>交付时</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按实结算。</w:t>
      </w:r>
    </w:p>
    <w:p w14:paraId="0E68379B">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（二）</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住宅房屋实行异地</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产权调换的</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按</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下列</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规定</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执行</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w:t>
      </w:r>
    </w:p>
    <w:p w14:paraId="00E4132B">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1.先</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采取模拟</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就地就近</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安置（简称“模拟安置”）</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的方式确定应安置建筑面积</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和该部分面积应缴购房差价款</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，再</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根据比准价通过等值置换方式</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将模拟安置面积</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换算为</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异地</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应安置面积</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，应缴购房差价款保持不变</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w:t>
      </w:r>
    </w:p>
    <w:p w14:paraId="16ABBE5F">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b/>
          <w:bCs/>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2.</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模拟安置时可结合项目实际情况给予提前享受10平方米套型差</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具体按征地补偿安置方案相关规定执行</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），实际安置建筑面积</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超出</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协议应安置建筑面积</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部分，按征地补偿安置方案确定并公布之日或</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通知房屋交付结算时异地安置房</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比准价就低的80%计价</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。其余参照就地就近安置执行。</w:t>
      </w:r>
    </w:p>
    <w:p w14:paraId="12FA02B0">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（三）</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营业、办公用房实行产权调换的，原旧房与</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安置</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房按</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评估</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价结算差价，</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安置房</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超出协议应安置建筑面积</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的</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部分，按征地补偿安置方案确定并公布之日或</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通知</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房屋</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交付结算时安置房比准价</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就低</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的80%</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计价。</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若等值折算住宅安置的，安置房</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的层次</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与</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朝向差</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价，均在</w:t>
      </w:r>
      <w:r>
        <w:rPr>
          <w:rFonts w:hint="eastAsia" w:ascii="仿宋_GB2312" w:hAnsi="仿宋_GB2312" w:eastAsia="仿宋_GB2312" w:cs="仿宋_GB2312"/>
          <w:b w:val="0"/>
          <w:bCs w:val="0"/>
          <w:strike w:val="0"/>
          <w:dstrike w:val="0"/>
          <w:color w:val="000000" w:themeColor="text1"/>
          <w:sz w:val="32"/>
          <w:szCs w:val="32"/>
          <w:highlight w:val="none"/>
          <w:u w:val="none"/>
          <w:lang w:val="en-US" w:eastAsia="zh-CN"/>
          <w14:textFill>
            <w14:solidFill>
              <w14:schemeClr w14:val="tx1"/>
            </w14:solidFill>
          </w14:textFill>
        </w:rPr>
        <w:t>安置房</w:t>
      </w:r>
      <w:r>
        <w:rPr>
          <w:rFonts w:hint="eastAsia" w:eastAsia="仿宋_GB2312" w:cs="宋体"/>
          <w:b w:val="0"/>
          <w:bCs w:val="0"/>
          <w:strike w:val="0"/>
          <w:dstrike w:val="0"/>
          <w:color w:val="000000" w:themeColor="text1"/>
          <w:sz w:val="32"/>
          <w:szCs w:val="32"/>
          <w:highlight w:val="none"/>
          <w:u w:val="none"/>
          <w:lang w:val="en-US" w:eastAsia="zh-CN"/>
          <w14:textFill>
            <w14:solidFill>
              <w14:schemeClr w14:val="tx1"/>
            </w14:solidFill>
          </w14:textFill>
        </w:rPr>
        <w:t>交付时</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按实结算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59D05435">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六、搬迁费补偿</w:t>
      </w:r>
    </w:p>
    <w:p w14:paraId="02D647F6">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搬迁费根据合法及可视为合法旧房建筑面积结合征地补偿安置方案规定的具体标准计算。住宅、营业、办公用房搬迁费每户每次不低于1000元。实行产权调换的，搬迁费计算二次。</w:t>
      </w:r>
    </w:p>
    <w:p w14:paraId="091F90EF">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七、临时安置费补偿</w:t>
      </w:r>
    </w:p>
    <w:p w14:paraId="4E70A4FB">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临时安置费根据合法及可视为合法旧房建筑面积结合征地补偿安置方案规定的具体标准计算。其中住宅房屋每户每月低于675元的、按675元计算。实行货币补偿的，临时安置费一次性计算6个月。实行产权调换的，按如下规定处理：</w:t>
      </w:r>
    </w:p>
    <w:p w14:paraId="341746D2">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（一）过渡期限为被补偿人腾空房屋并交付验收合格之月起24个月，安置房为高层建筑（</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指总层数十层以上的住宅建筑或建筑高度超过二十四米的非住宅建筑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）的过渡期限为36个月。</w:t>
      </w:r>
    </w:p>
    <w:p w14:paraId="49B29181">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（二）实施单位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逾期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未提供安置房的，自逾期之月起按逾期当年标准的二倍支付临时安置费。其中住宅房屋临时安置费翻倍后每户每月仍低于675元的，按675元计算。安置房装修期临时安置费按交付当年标准再一次性计算6个月。</w:t>
      </w:r>
    </w:p>
    <w:p w14:paraId="778B008B">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过渡期间周转房原则上由被补偿人自行解决。由实施单位提供周转房的</w:t>
      </w:r>
      <w:r>
        <w:rPr>
          <w:rFonts w:hint="eastAsia" w:ascii="仿宋_GB2312" w:eastAsia="仿宋_GB2312"/>
          <w:color w:val="000000" w:themeColor="text1"/>
          <w:spacing w:val="0"/>
          <w:sz w:val="32"/>
          <w:szCs w:val="32"/>
          <w14:textFill>
            <w14:solidFill>
              <w14:schemeClr w14:val="tx1"/>
            </w14:solidFill>
          </w14:textFill>
        </w:rPr>
        <w:t>不支付临时安置费</w:t>
      </w:r>
      <w:r>
        <w:rPr>
          <w:rFonts w:hint="eastAsia" w:ascii="仿宋_GB2312" w:eastAsia="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但</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逾期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未提供安置房的，除继续提供周转房外，还应当自逾期之月起按照逾期当年标准支付临时安置费。</w:t>
      </w:r>
    </w:p>
    <w:p w14:paraId="5B1BA54B">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（三）实施单位公告通知办理安置房交付结算手续后，临时安置费即停止计发。</w:t>
      </w:r>
    </w:p>
    <w:p w14:paraId="1770D05A">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八、签约腾空奖励</w:t>
      </w:r>
    </w:p>
    <w:p w14:paraId="41369D34">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合法及可视为合法住宅、营业、办公房屋</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被补偿人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在规定的期限内签约并腾空房屋交付验收合格且</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选择产权调换的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，可按旧房市场评估比准价的3%（上限每平方米300元）给予签约腾空奖励。</w:t>
      </w:r>
    </w:p>
    <w:p w14:paraId="74BCC092">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九、停产停业损失补偿</w:t>
      </w:r>
    </w:p>
    <w:p w14:paraId="1BE4DAC1">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合法及可视为合法</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营业、办公房屋因搬迁造成的停产停业损失，按</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旧房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市场评估价值的5%给予一次性补偿。</w:t>
      </w:r>
    </w:p>
    <w:p w14:paraId="49BF344D">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十、不合格“住改商”补助</w:t>
      </w:r>
    </w:p>
    <w:p w14:paraId="1E7EC2F6">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合法及可视为合法住宅房屋现状做营业使用，被补偿人提供的相关材料符合下列情形之一的，可按相应标准给予一次性经济补助：</w:t>
      </w:r>
    </w:p>
    <w:p w14:paraId="77C67307">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（一）原底层合法及可视为合法房屋部分符合“住宅变更营业用房”条件，但实际改变功能面积超出符合“住宅变更营业用房”在建筑面积20平方米以内的部分，</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可按旧房住宅功能市场评估价的20%给予一次性经济补助；</w:t>
      </w:r>
    </w:p>
    <w:p w14:paraId="1B91CF4A">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原合法及可视为合法房屋均不符合“住宅变更营业用房”条件，但截至征地补偿安置方案确定并公布之日已取得商业工商营业执照1年以上，且有效期累计已达到15年、10年、5年之一或者至征地补偿安置方案确定并公布之日已连续有效满10年、5年、3年之一的，其底层改变功能建筑面积在20平方米以内的部分</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可对应按旧房住宅功能市场评估价的20%、15%、10%给予一次性经济补助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0CAF2B54">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十一、分户分套</w:t>
      </w:r>
    </w:p>
    <w:p w14:paraId="1A0973C7">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共有房屋的被补偿人（夫妻共有除外）选择产权调换住宅安置、若按各自份额可安置建筑面积均达到60平方米的，可给予申请分户签约。申请分户签约的应凭实施单位公函对共有人之间相互认可各自份额可自行处置的约定共同委托公证机构进行公证。共有房屋分户签约的，搬迁费、临时安置费保底政策及10平方米内套型差、</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户均增购等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仍按分户前只享受一次。</w:t>
      </w:r>
    </w:p>
    <w:p w14:paraId="055B0347">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被补偿人应安置建筑面积达到住宅安置房最小标准套型面积二倍但未超过最大标准套型面积的，被补偿人可选择分套安置，超过最大标准套型面积的，应当实行分套安置。实行分套安置的，在签约期限内应根据标准套型确定所分套型，按标准套型分套后剩余最后一套的建筑面积不得小于最小标准套型面积。未在签约期限内确定所分套型的，安置套型由实施单位指定。</w:t>
      </w:r>
    </w:p>
    <w:p w14:paraId="202C45FC">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十二、认购定位</w:t>
      </w:r>
    </w:p>
    <w:p w14:paraId="14041DA0">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产权调换安置房认购定位前被补偿人应在实施单位规定的期限内按照协议约定缴纳购房款。安置房认购定位时，实施单位应当先组织按期签约搬迁的被补偿人按照缴款情况分批以抽签方式进行认购定位，再组织其余被补偿人按照缴款情况分批以腾空房屋先后顺序依次进行认购定位。</w:t>
      </w:r>
    </w:p>
    <w:p w14:paraId="70176DB2">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安置房认购定位通知发出后，被补偿人未在规定时间参加认购定位的，实施单位可通过摇号或直接指定等方式确定安置房源并告知被补偿人。</w:t>
      </w:r>
    </w:p>
    <w:p w14:paraId="4AAA658B">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十三、</w:t>
      </w:r>
      <w:r>
        <w:rPr>
          <w:rFonts w:hint="default" w:ascii="黑体" w:hAnsi="黑体" w:eastAsia="黑体" w:cs="黑体"/>
          <w:color w:val="000000" w:themeColor="text1"/>
          <w:sz w:val="32"/>
          <w:szCs w:val="32"/>
          <w:highlight w:val="none"/>
          <w:lang w:val="en-US" w:eastAsia="zh-CN"/>
          <w14:textFill>
            <w14:solidFill>
              <w14:schemeClr w14:val="tx1"/>
            </w14:solidFill>
          </w14:textFill>
        </w:rPr>
        <w:t>住房保障安置</w:t>
      </w:r>
    </w:p>
    <w:p w14:paraId="4397657E">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鹿城区户籍的住宅房屋被补偿人符合下列条件之一，可申请以人均住房保障方式给予产权调换住宅安置（计入人均的户内成员在市区范围内另有房产面积合并计算），保障房源由实施单位指定。</w:t>
      </w:r>
    </w:p>
    <w:p w14:paraId="598BA7DB">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（一）被补偿人</w:t>
      </w:r>
      <w:r>
        <w:rPr>
          <w:rFonts w:hint="eastAsia" w:ascii="仿宋_GB2312" w:hAnsi="仿宋_GB2312"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属民政部门核定的低收入人群（指特困、低保、低保边缘）且共同家庭成员人均住房</w:t>
      </w:r>
      <w:r>
        <w:rPr>
          <w:rFonts w:hint="eastAsia" w:ascii="仿宋_GB2312" w:hAnsi="仿宋_GB2312"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建筑</w:t>
      </w:r>
      <w:r>
        <w:rPr>
          <w:rFonts w:hint="eastAsia" w:ascii="仿宋_GB2312" w:hAnsi="仿宋_GB2312"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面积低于</w:t>
      </w:r>
      <w:r>
        <w:rPr>
          <w:rFonts w:hint="eastAsia" w:ascii="仿宋_GB2312" w:hAnsi="仿宋_GB2312" w:eastAsia="仿宋_GB2312" w:cs="仿宋_GB2312"/>
          <w:i w:val="0"/>
          <w:iCs w:val="0"/>
          <w:caps w:val="0"/>
          <w:color w:val="000000" w:themeColor="text1"/>
          <w:spacing w:val="0"/>
          <w:sz w:val="32"/>
          <w:szCs w:val="32"/>
          <w:highlight w:val="none"/>
          <w:shd w:val="clear" w:color="auto" w:fill="auto"/>
          <w:lang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平方米的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，可按人均18平方米且总面积不小于45平方米建筑面积予以保障，并按下列规定之一计算购房差价：</w:t>
      </w:r>
    </w:p>
    <w:p w14:paraId="0AECC97F">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原旧房属合法及可视为合法的</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住宅安置房</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45平方米以内部分不结算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新旧房</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差价，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人均总面积</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超出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45平方米</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部分按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安置房</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比准价的60%（上限每平方米6000元）计价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6AB57235">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原旧房</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均不</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属</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于</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合法及可视为合法的</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住宅安置房</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45平方米以内部分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按安置房比准价的40%（上限每平方米3800元）计价，人均总面积</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超出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45平方米</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部分按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安置房</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比准价的60%（上限每平方米6000元）计价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362297FB">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（二）被补偿人系征地项目属地村集体经济组织成员：</w:t>
      </w:r>
    </w:p>
    <w:p w14:paraId="1BE9168C">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持有土地使用权证但地上无合法及可视为合法房屋的，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可按人均30平方米建筑面积以安置房比准价的60%（上限每平方米6000元）优惠购买安置房；</w:t>
      </w:r>
    </w:p>
    <w:p w14:paraId="21EFB4CB">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2.未取得土地使用权证且其旧房均不属合法及可视为合法建筑的，可按人均18平方米建筑面积以</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征地补偿安置方案确定并公布之日或</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通知</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房屋</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交付结算时安置房比准价</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就低</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的80%优惠购买安置房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4250ED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（三）住房保障采取异地安置的，则参照本细则“安置价格结算”第（二）项第1点先模拟就地就近安置、</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再</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换算为</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异地</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应安置面积。</w:t>
      </w:r>
    </w:p>
    <w:p w14:paraId="371093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（四）住房保障安置不享受套型差优惠，</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实际交付的安置房</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建筑面积超出协议应安置建筑面积</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的，超出部分</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按征地补偿安置方案确定并公布之日或</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通知</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房屋</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交付结算时安置房比准价</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就低计价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。住宅</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安置房</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的层次</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与</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朝向差</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价，均在</w:t>
      </w:r>
      <w:r>
        <w:rPr>
          <w:rFonts w:hint="eastAsia" w:ascii="仿宋_GB2312" w:hAnsi="仿宋_GB2312" w:eastAsia="仿宋_GB2312" w:cs="仿宋_GB2312"/>
          <w:b w:val="0"/>
          <w:bCs w:val="0"/>
          <w:strike w:val="0"/>
          <w:dstrike w:val="0"/>
          <w:color w:val="000000" w:themeColor="text1"/>
          <w:sz w:val="32"/>
          <w:szCs w:val="32"/>
          <w:highlight w:val="none"/>
          <w:u w:val="none"/>
          <w:lang w:val="en-US" w:eastAsia="zh-CN"/>
          <w14:textFill>
            <w14:solidFill>
              <w14:schemeClr w14:val="tx1"/>
            </w14:solidFill>
          </w14:textFill>
        </w:rPr>
        <w:t>安置房</w:t>
      </w:r>
      <w:r>
        <w:rPr>
          <w:rFonts w:hint="eastAsia" w:eastAsia="仿宋_GB2312" w:cs="宋体"/>
          <w:b w:val="0"/>
          <w:bCs w:val="0"/>
          <w:strike w:val="0"/>
          <w:dstrike w:val="0"/>
          <w:color w:val="000000" w:themeColor="text1"/>
          <w:sz w:val="32"/>
          <w:szCs w:val="32"/>
          <w:highlight w:val="none"/>
          <w:u w:val="none"/>
          <w:lang w:val="en-US" w:eastAsia="zh-CN"/>
          <w14:textFill>
            <w14:solidFill>
              <w14:schemeClr w14:val="tx1"/>
            </w14:solidFill>
          </w14:textFill>
        </w:rPr>
        <w:t>交付时</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按实结算</w:t>
      </w:r>
    </w:p>
    <w:p w14:paraId="34D61C04">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000000" w:themeColor="text1"/>
          <w:kern w:val="0"/>
          <w:sz w:val="32"/>
          <w:szCs w:val="32"/>
          <w:highlight w:val="none"/>
          <w:u w:val="none"/>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highlight w:val="none"/>
          <w:u w:val="none"/>
          <w:lang w:val="en-US" w:eastAsia="zh-CN" w:bidi="ar"/>
          <w14:textFill>
            <w14:solidFill>
              <w14:schemeClr w14:val="tx1"/>
            </w14:solidFill>
          </w14:textFill>
        </w:rPr>
        <w:t>十四、宅基地安置</w:t>
      </w:r>
    </w:p>
    <w:p w14:paraId="31E67C00">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《温州市</w:t>
      </w:r>
      <w:r>
        <w:rPr>
          <w:rFonts w:hint="eastAsia" w:ascii="仿宋_GB2312" w:hAnsi="仿宋_GB2312" w:eastAsia="仿宋_GB2312" w:cs="仿宋_GB2312"/>
          <w:i w:val="0"/>
          <w:iCs w:val="0"/>
          <w:caps w:val="0"/>
          <w:color w:val="000000"/>
          <w:spacing w:val="0"/>
          <w:sz w:val="32"/>
          <w:szCs w:val="32"/>
          <w:highlight w:val="none"/>
          <w:lang w:val="en-US" w:eastAsia="zh-CN"/>
        </w:rPr>
        <w:t>国土空间总体</w:t>
      </w:r>
      <w:r>
        <w:rPr>
          <w:rFonts w:hint="eastAsia" w:ascii="仿宋_GB2312" w:hAnsi="仿宋_GB2312" w:eastAsia="仿宋_GB2312" w:cs="仿宋_GB2312"/>
          <w:i w:val="0"/>
          <w:iCs w:val="0"/>
          <w:caps w:val="0"/>
          <w:color w:val="000000"/>
          <w:spacing w:val="0"/>
          <w:sz w:val="32"/>
          <w:szCs w:val="32"/>
          <w:highlight w:val="none"/>
        </w:rPr>
        <w:t>规划</w:t>
      </w:r>
      <w:r>
        <w:rPr>
          <w:rFonts w:hint="eastAsia" w:ascii="仿宋_GB2312" w:hAnsi="仿宋_GB2312" w:eastAsia="仿宋_GB2312" w:cs="仿宋_GB2312"/>
          <w:i w:val="0"/>
          <w:iCs w:val="0"/>
          <w:caps w:val="0"/>
          <w:color w:val="000000"/>
          <w:spacing w:val="0"/>
          <w:sz w:val="32"/>
          <w:szCs w:val="32"/>
          <w:highlight w:val="none"/>
          <w:lang w:eastAsia="zh-CN"/>
        </w:rPr>
        <w:t>（</w:t>
      </w:r>
      <w:r>
        <w:rPr>
          <w:rFonts w:hint="eastAsia" w:ascii="仿宋_GB2312" w:hAnsi="仿宋_GB2312" w:eastAsia="仿宋_GB2312" w:cs="仿宋_GB2312"/>
          <w:i w:val="0"/>
          <w:iCs w:val="0"/>
          <w:caps w:val="0"/>
          <w:color w:val="000000"/>
          <w:spacing w:val="0"/>
          <w:sz w:val="32"/>
          <w:szCs w:val="32"/>
          <w:highlight w:val="none"/>
          <w:lang w:val="en-US" w:eastAsia="zh-CN"/>
        </w:rPr>
        <w:t>2021年-2035年</w:t>
      </w:r>
      <w:r>
        <w:rPr>
          <w:rFonts w:hint="eastAsia" w:ascii="仿宋_GB2312" w:hAnsi="仿宋_GB2312" w:eastAsia="仿宋_GB2312" w:cs="仿宋_GB2312"/>
          <w:i w:val="0"/>
          <w:iCs w:val="0"/>
          <w:caps w:val="0"/>
          <w:color w:val="000000"/>
          <w:spacing w:val="0"/>
          <w:sz w:val="32"/>
          <w:szCs w:val="32"/>
          <w:highlight w:val="none"/>
          <w:lang w:eastAsia="zh-CN"/>
        </w:rPr>
        <w:t>）》</w:t>
      </w:r>
      <w:r>
        <w:rPr>
          <w:rFonts w:hint="eastAsia" w:ascii="仿宋_GB2312" w:hAnsi="仿宋_GB2312" w:eastAsia="仿宋_GB2312" w:cs="仿宋_GB2312"/>
          <w:i w:val="0"/>
          <w:iCs w:val="0"/>
          <w:caps w:val="0"/>
          <w:color w:val="000000"/>
          <w:spacing w:val="0"/>
          <w:sz w:val="32"/>
          <w:szCs w:val="32"/>
          <w:highlight w:val="none"/>
          <w:lang w:val="en-US" w:eastAsia="zh-CN"/>
        </w:rPr>
        <w:t>确定的</w:t>
      </w:r>
      <w:r>
        <w:rPr>
          <w:rFonts w:hint="eastAsia" w:ascii="仿宋_GB2312" w:hAnsi="仿宋_GB2312" w:eastAsia="仿宋_GB2312" w:cs="仿宋_GB2312"/>
          <w:color w:val="000000"/>
          <w:sz w:val="32"/>
          <w:szCs w:val="32"/>
          <w:highlight w:val="none"/>
          <w:lang w:val="en-US" w:eastAsia="zh-CN"/>
        </w:rPr>
        <w:t>城镇开发边界范围外单独选址项目征地涉及对藤桥镇、山福镇范围内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合法及可视为合法住宅房屋实施补偿，</w:t>
      </w:r>
      <w:r>
        <w:rPr>
          <w:rFonts w:hint="eastAsia" w:ascii="仿宋_GB2312" w:hAnsi="仿宋_GB2312" w:eastAsia="仿宋_GB2312" w:cs="仿宋_GB2312"/>
          <w:color w:val="000000"/>
          <w:sz w:val="32"/>
          <w:szCs w:val="32"/>
          <w:highlight w:val="none"/>
          <w:lang w:val="en-US" w:eastAsia="zh-CN"/>
        </w:rPr>
        <w:t>该项目属地的村庄规划已预留足量住宅建设用地，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被补偿人系属</w:t>
      </w:r>
      <w:r>
        <w:rPr>
          <w:rFonts w:hint="eastAsia" w:ascii="Times New Roman" w:hAnsi="Times New Roman" w:eastAsia="仿宋_GB2312" w:cs="宋体"/>
          <w:strike w:val="0"/>
          <w:dstrike w:val="0"/>
          <w:color w:val="000000" w:themeColor="text1"/>
          <w:sz w:val="32"/>
          <w:szCs w:val="32"/>
          <w:u w:val="none"/>
          <w:lang w:val="en-US" w:eastAsia="zh-CN"/>
          <w14:textFill>
            <w14:solidFill>
              <w14:schemeClr w14:val="tx1"/>
            </w14:solidFill>
          </w14:textFill>
        </w:rPr>
        <w:t>地</w:t>
      </w:r>
      <w:r>
        <w:rPr>
          <w:rFonts w:hint="eastAsia" w:ascii="Times New Roman" w:hAnsi="Times New Roman" w:eastAsia="仿宋_GB2312" w:cs="宋体"/>
          <w:color w:val="000000" w:themeColor="text1"/>
          <w:sz w:val="32"/>
          <w:szCs w:val="32"/>
          <w:u w:val="none"/>
          <w:lang w:val="en-US" w:eastAsia="zh-CN"/>
          <w14:textFill>
            <w14:solidFill>
              <w14:schemeClr w14:val="tx1"/>
            </w14:solidFill>
          </w14:textFill>
        </w:rPr>
        <w:t>村集体经济组织成员且未曾因征收拆迁等就宅基地上房屋享受过补偿或安置并</w:t>
      </w:r>
      <w:r>
        <w:rPr>
          <w:rFonts w:hint="eastAsia" w:ascii="仿宋_GB2312" w:hAnsi="仿宋_GB2312" w:eastAsia="仿宋_GB2312" w:cs="仿宋_GB2312"/>
          <w:color w:val="000000"/>
          <w:sz w:val="32"/>
          <w:szCs w:val="32"/>
          <w:highlight w:val="none"/>
          <w:lang w:val="en-US" w:eastAsia="zh-CN"/>
        </w:rPr>
        <w:t>符合宅基地建房其他条件，在取得属地村集体经济组织另行安排宅基地选址书面意见的前提下，被补偿人可放弃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本细则规定的货币或产权调换、选择重新安排一处宅基地自行建房的方式安置。</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选择宅基地安置的被补偿人因历史原因若名下有多处集体土地住宅房屋的（即“一户多宅”），必须合并统一采用宅基地建房安置方式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具体如下：</w:t>
      </w:r>
    </w:p>
    <w:p w14:paraId="7DB44E65">
      <w:pPr>
        <w:keepNext w:val="0"/>
        <w:keepLines w:val="0"/>
        <w:pageBreakBefore w:val="0"/>
        <w:widowControl w:val="0"/>
        <w:suppressLineNumbers w:val="0"/>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宋体"/>
          <w:b w:val="0"/>
          <w:bCs w:val="0"/>
          <w:color w:val="000000" w:themeColor="text1"/>
          <w:sz w:val="32"/>
          <w:szCs w:val="32"/>
          <w:u w:val="none"/>
          <w:lang w:eastAsia="zh-CN"/>
          <w14:textFill>
            <w14:solidFill>
              <w14:schemeClr w14:val="tx1"/>
            </w14:solidFill>
          </w14:textFill>
        </w:rPr>
        <w:t>（</w:t>
      </w:r>
      <w:r>
        <w:rPr>
          <w:rFonts w:hint="eastAsia" w:ascii="Times New Roman" w:hAnsi="Times New Roman" w:eastAsia="仿宋_GB2312" w:cs="宋体"/>
          <w:b w:val="0"/>
          <w:bCs w:val="0"/>
          <w:color w:val="000000" w:themeColor="text1"/>
          <w:sz w:val="32"/>
          <w:szCs w:val="32"/>
          <w:u w:val="none"/>
          <w:lang w:val="en-US" w:eastAsia="zh-CN"/>
          <w14:textFill>
            <w14:solidFill>
              <w14:schemeClr w14:val="tx1"/>
            </w14:solidFill>
          </w14:textFill>
        </w:rPr>
        <w:t>一</w:t>
      </w:r>
      <w:r>
        <w:rPr>
          <w:rFonts w:hint="eastAsia" w:ascii="Times New Roman" w:hAnsi="Times New Roman" w:eastAsia="仿宋_GB2312" w:cs="宋体"/>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被补偿人</w:t>
      </w:r>
      <w:r>
        <w:rPr>
          <w:rFonts w:ascii="仿宋_GB2312" w:hAnsi="宋体" w:eastAsia="仿宋_GB2312" w:cs="仿宋_GB2312"/>
          <w:color w:val="000000" w:themeColor="text1"/>
          <w:kern w:val="0"/>
          <w:sz w:val="32"/>
          <w:szCs w:val="32"/>
          <w:lang w:val="en-US" w:eastAsia="zh-CN" w:bidi="ar"/>
          <w14:textFill>
            <w14:solidFill>
              <w14:schemeClr w14:val="tx1"/>
            </w14:solidFill>
          </w14:textFill>
        </w:rPr>
        <w:t>原合法及可视为合法</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房屋</w:t>
      </w:r>
      <w:r>
        <w:rPr>
          <w:rFonts w:ascii="仿宋_GB2312" w:hAnsi="宋体" w:eastAsia="仿宋_GB2312" w:cs="仿宋_GB2312"/>
          <w:color w:val="000000" w:themeColor="text1"/>
          <w:kern w:val="0"/>
          <w:sz w:val="32"/>
          <w:szCs w:val="32"/>
          <w:lang w:val="en-US" w:eastAsia="zh-CN" w:bidi="ar"/>
          <w14:textFill>
            <w14:solidFill>
              <w14:schemeClr w14:val="tx1"/>
            </w14:solidFill>
          </w14:textFill>
        </w:rPr>
        <w:t>建</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筑面积均按重置价（结合成新，含房屋室内装饰装修）评估给予补偿。</w:t>
      </w:r>
    </w:p>
    <w:p w14:paraId="1B347C12">
      <w:pPr>
        <w:keepNext w:val="0"/>
        <w:keepLines w:val="0"/>
        <w:pageBreakBefore w:val="0"/>
        <w:widowControl w:val="0"/>
        <w:numPr>
          <w:ilvl w:val="-1"/>
          <w:numId w:val="0"/>
        </w:numPr>
        <w:suppressLineNumbers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lang w:val="en-US" w:eastAsia="zh-CN"/>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被补偿人应当根据农村宅基地建房相关要求申请报批宅基地、获批后自行出资建房。</w:t>
      </w:r>
    </w:p>
    <w:p w14:paraId="54CC2E01">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过渡期间周转由被补偿人自行解决，实施单位一次性计付6个月临时安置费及二次搬迁费。</w:t>
      </w:r>
    </w:p>
    <w:p w14:paraId="6EF64470">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（四）选择宅基地安置的，土地补偿费和安置补助费均由村集体经济组织享有。</w:t>
      </w:r>
    </w:p>
    <w:p w14:paraId="1AE8DFF1">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十五、</w:t>
      </w:r>
      <w:r>
        <w:rPr>
          <w:rFonts w:hint="default" w:ascii="黑体" w:hAnsi="黑体" w:eastAsia="黑体" w:cs="黑体"/>
          <w:color w:val="000000" w:themeColor="text1"/>
          <w:sz w:val="32"/>
          <w:szCs w:val="32"/>
          <w:highlight w:val="none"/>
          <w:lang w:val="en-US" w:eastAsia="zh-CN"/>
          <w14:textFill>
            <w14:solidFill>
              <w14:schemeClr w14:val="tx1"/>
            </w14:solidFill>
          </w14:textFill>
        </w:rPr>
        <w:t>义务教育入学资格</w:t>
      </w:r>
    </w:p>
    <w:p w14:paraId="25CD6A09">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住宅房屋被补偿人</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实行货币补偿或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异地产权调换安置</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在征地补偿安置方案确定并公布之日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被补偿人</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已出生的子女、孙子女、外孙子女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义务教育入学资格按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下列</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规定处理：</w:t>
      </w:r>
    </w:p>
    <w:p w14:paraId="3A82CB7E">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符合</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征地补偿安置方案确定并公布当年</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小学入学招生工作相关政策规定的，</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可保留原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旧房</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所在地施教区小学入学资格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58B67804">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符合</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征地补偿安置方案确定并公布当年</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初中</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入学招生工作相关政策规定的，</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可</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自征地补偿安置方案确定并公布当年起保留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个学年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旧房</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所在地施教区初中入学资格。</w:t>
      </w:r>
    </w:p>
    <w:p w14:paraId="6817966B">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十六、附则</w:t>
      </w:r>
    </w:p>
    <w:p w14:paraId="4560D477">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（一）本细则所述“被补偿人”指不动产权属证书记载的房屋所有权人，或未经登记建筑初始入户调查实施单位登记的房屋权利人。</w:t>
      </w:r>
    </w:p>
    <w:p w14:paraId="56E5CADA">
      <w:pPr>
        <w:keepNext w:val="0"/>
        <w:keepLines w:val="0"/>
        <w:pageBreakBefore w:val="0"/>
        <w:widowControl w:val="0"/>
        <w:numPr>
          <w:ilvl w:val="-1"/>
          <w:numId w:val="0"/>
        </w:numPr>
        <w:suppressLineNumbers w:val="0"/>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本细则所述“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属</w:t>
      </w:r>
      <w:r>
        <w:rPr>
          <w:rFonts w:hint="eastAsia" w:ascii="Times New Roman" w:hAnsi="Times New Roman" w:eastAsia="仿宋_GB2312" w:cs="宋体"/>
          <w:strike w:val="0"/>
          <w:dstrike w:val="0"/>
          <w:color w:val="000000" w:themeColor="text1"/>
          <w:sz w:val="32"/>
          <w:szCs w:val="32"/>
          <w:highlight w:val="none"/>
          <w:u w:val="none"/>
          <w:lang w:val="en-US" w:eastAsia="zh-CN"/>
          <w14:textFill>
            <w14:solidFill>
              <w14:schemeClr w14:val="tx1"/>
            </w14:solidFill>
          </w14:textFill>
        </w:rPr>
        <w:t>地</w:t>
      </w:r>
      <w:r>
        <w:rPr>
          <w:rFonts w:hint="eastAsia" w:ascii="Times New Roman" w:hAnsi="Times New Roman" w:eastAsia="仿宋_GB2312" w:cs="宋体"/>
          <w:color w:val="000000" w:themeColor="text1"/>
          <w:sz w:val="32"/>
          <w:szCs w:val="32"/>
          <w:highlight w:val="none"/>
          <w:u w:val="none"/>
          <w:lang w:val="en-US" w:eastAsia="zh-CN"/>
          <w14:textFill>
            <w14:solidFill>
              <w14:schemeClr w14:val="tx1"/>
            </w14:solidFill>
          </w14:textFill>
        </w:rPr>
        <w:t>村集体经济组织成员</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w:t>
      </w:r>
      <w:r>
        <w:rPr>
          <w:rFonts w:hint="eastAsia" w:ascii="仿宋_GB2312" w:hAnsi="仿宋_GB2312" w:eastAsia="仿宋_GB2312" w:cs="仿宋_GB2312"/>
          <w:i w:val="0"/>
          <w:iCs w:val="0"/>
          <w:caps w:val="0"/>
          <w:spacing w:val="8"/>
          <w:sz w:val="32"/>
          <w:szCs w:val="32"/>
          <w:shd w:val="clear" w:fill="FFFFFF"/>
        </w:rPr>
        <w:t>农村集体经济组织</w:t>
      </w:r>
      <w:r>
        <w:rPr>
          <w:rFonts w:hint="eastAsia" w:ascii="仿宋_GB2312" w:hAnsi="仿宋_GB2312" w:eastAsia="仿宋_GB2312" w:cs="仿宋_GB2312"/>
          <w:i w:val="0"/>
          <w:iCs w:val="0"/>
          <w:caps w:val="0"/>
          <w:spacing w:val="8"/>
          <w:sz w:val="32"/>
          <w:szCs w:val="32"/>
          <w:shd w:val="clear" w:fill="FFFFFF"/>
          <w:lang w:eastAsia="zh-CN"/>
        </w:rPr>
        <w:t>按照法律规定确认并</w:t>
      </w:r>
      <w:r>
        <w:rPr>
          <w:rFonts w:hint="eastAsia" w:ascii="仿宋_GB2312" w:hAnsi="仿宋_GB2312" w:eastAsia="仿宋_GB2312" w:cs="仿宋_GB2312"/>
          <w:i w:val="0"/>
          <w:iCs w:val="0"/>
          <w:caps w:val="0"/>
          <w:spacing w:val="8"/>
          <w:sz w:val="32"/>
          <w:szCs w:val="32"/>
          <w:shd w:val="clear" w:fill="FFFFFF"/>
        </w:rPr>
        <w:t>报乡镇人民政府、街道办事处和</w:t>
      </w:r>
      <w:r>
        <w:rPr>
          <w:rFonts w:hint="eastAsia" w:ascii="仿宋_GB2312" w:hAnsi="仿宋_GB2312" w:eastAsia="仿宋_GB2312" w:cs="仿宋_GB2312"/>
          <w:i w:val="0"/>
          <w:iCs w:val="0"/>
          <w:caps w:val="0"/>
          <w:spacing w:val="8"/>
          <w:sz w:val="32"/>
          <w:szCs w:val="32"/>
          <w:shd w:val="clear" w:fill="FFFFFF"/>
          <w:lang w:eastAsia="zh-CN"/>
        </w:rPr>
        <w:t>区</w:t>
      </w:r>
      <w:r>
        <w:rPr>
          <w:rFonts w:hint="eastAsia" w:ascii="仿宋_GB2312" w:hAnsi="仿宋_GB2312" w:eastAsia="仿宋_GB2312" w:cs="仿宋_GB2312"/>
          <w:i w:val="0"/>
          <w:iCs w:val="0"/>
          <w:caps w:val="0"/>
          <w:spacing w:val="8"/>
          <w:sz w:val="32"/>
          <w:szCs w:val="32"/>
          <w:shd w:val="clear" w:fill="FFFFFF"/>
        </w:rPr>
        <w:t>农业农村主管部门备案</w:t>
      </w:r>
      <w:r>
        <w:rPr>
          <w:rFonts w:hint="eastAsia" w:ascii="仿宋_GB2312" w:hAnsi="仿宋_GB2312" w:eastAsia="仿宋_GB2312" w:cs="仿宋_GB2312"/>
          <w:i w:val="0"/>
          <w:iCs w:val="0"/>
          <w:caps w:val="0"/>
          <w:spacing w:val="8"/>
          <w:sz w:val="32"/>
          <w:szCs w:val="32"/>
          <w:shd w:val="clear" w:fill="FFFFFF"/>
          <w:lang w:eastAsia="zh-CN"/>
        </w:rPr>
        <w:t>的成员名册为准</w:t>
      </w:r>
      <w:r>
        <w:rPr>
          <w:rFonts w:hint="eastAsia" w:ascii="仿宋_GB2312" w:hAnsi="仿宋_GB2312" w:eastAsia="仿宋_GB2312" w:cs="仿宋_GB2312"/>
          <w:i w:val="0"/>
          <w:iCs w:val="0"/>
          <w:caps w:val="0"/>
          <w:spacing w:val="8"/>
          <w:sz w:val="32"/>
          <w:szCs w:val="32"/>
          <w:shd w:val="clear" w:fill="FFFFFF"/>
        </w:rPr>
        <w:t>。</w:t>
      </w:r>
    </w:p>
    <w:p w14:paraId="7D883118">
      <w:pPr>
        <w:keepNext w:val="0"/>
        <w:keepLines w:val="0"/>
        <w:pageBreakBefore w:val="0"/>
        <w:widowControl w:val="0"/>
        <w:suppressLineNumbers w:val="0"/>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kern w:val="2"/>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（三）被补偿人在2016年11月30日</w:t>
      </w:r>
      <w:r>
        <w:rPr>
          <w:rFonts w:hint="eastAsia" w:ascii="Times New Roman" w:hAnsi="Times New Roman" w:eastAsia="仿宋_GB2312" w:cs="宋体"/>
          <w:color w:val="000000" w:themeColor="text1"/>
          <w:kern w:val="2"/>
          <w:sz w:val="32"/>
          <w:szCs w:val="32"/>
          <w:highlight w:val="none"/>
          <w:u w:val="none"/>
          <w:lang w:val="en-US" w:eastAsia="zh-CN" w:bidi="ar"/>
          <w14:textFill>
            <w14:solidFill>
              <w14:schemeClr w14:val="tx1"/>
            </w14:solidFill>
          </w14:textFill>
        </w:rPr>
        <w:t>前因土地征用户籍已农转非、但仍系属地村集体经济组织成员的，</w:t>
      </w:r>
      <w:r>
        <w:rPr>
          <w:rFonts w:hint="eastAsia" w:ascii="仿宋_GB2312" w:hAnsi="仿宋_GB2312" w:eastAsia="仿宋_GB2312" w:cs="仿宋_GB2312"/>
          <w:color w:val="000000" w:themeColor="text1"/>
          <w:kern w:val="2"/>
          <w:sz w:val="32"/>
          <w:szCs w:val="32"/>
          <w:highlight w:val="none"/>
          <w:u w:val="none"/>
          <w:lang w:val="en-US" w:eastAsia="zh-CN" w:bidi="ar"/>
          <w14:textFill>
            <w14:solidFill>
              <w14:schemeClr w14:val="tx1"/>
            </w14:solidFill>
          </w14:textFill>
        </w:rPr>
        <w:t>若符合本细则“补偿安置方式”第（一）项第2点其他</w:t>
      </w:r>
      <w:r>
        <w:rPr>
          <w:rFonts w:hint="eastAsia" w:ascii="Times New Roman" w:hAnsi="Times New Roman" w:eastAsia="仿宋_GB2312" w:cs="宋体"/>
          <w:color w:val="000000" w:themeColor="text1"/>
          <w:kern w:val="2"/>
          <w:sz w:val="32"/>
          <w:szCs w:val="32"/>
          <w:highlight w:val="none"/>
          <w:u w:val="none"/>
          <w:lang w:val="en-US" w:eastAsia="zh-CN" w:bidi="ar"/>
          <w14:textFill>
            <w14:solidFill>
              <w14:schemeClr w14:val="tx1"/>
            </w14:solidFill>
          </w14:textFill>
        </w:rPr>
        <w:t>规定条件的，可给予享受“一翻三”安置。</w:t>
      </w:r>
    </w:p>
    <w:p w14:paraId="27B83BB7">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宋体"/>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（四）</w:t>
      </w:r>
      <w:r>
        <w:rPr>
          <w:rFonts w:hint="default"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本细则所述“</w:t>
      </w:r>
      <w:r>
        <w:rPr>
          <w:rFonts w:hint="eastAsia" w:ascii="Times New Roman" w:hAnsi="Times New Roman" w:eastAsia="仿宋_GB2312" w:cs="宋体"/>
          <w:color w:val="000000" w:themeColor="text1"/>
          <w:sz w:val="32"/>
          <w:szCs w:val="32"/>
          <w:highlight w:val="none"/>
          <w:u w:val="none"/>
          <w:lang w:val="en-US" w:eastAsia="zh-CN"/>
          <w14:textFill>
            <w14:solidFill>
              <w14:schemeClr w14:val="tx1"/>
            </w14:solidFill>
          </w14:textFill>
        </w:rPr>
        <w:t>宅基地属原始取得”是指，房屋所占宅基地系被补偿人通过申请获批方式取得，或虽不属于申请获批、但地上常规结构房屋系被补偿人于</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1984</w:t>
      </w:r>
      <w:r>
        <w:rPr>
          <w:rFonts w:hint="default"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年1月5日《城市规划条例》</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施行前建成并延续至今（期间因破损、坍塌等曾已灭失或拆建过的除外）</w:t>
      </w:r>
      <w:r>
        <w:rPr>
          <w:rFonts w:hint="eastAsia" w:ascii="仿宋_GB2312" w:hAnsi="仿宋_GB2312" w:eastAsia="仿宋_GB2312" w:cs="仿宋_GB2312"/>
          <w:strike w:val="0"/>
          <w:color w:val="000000" w:themeColor="text1"/>
          <w:sz w:val="32"/>
          <w:szCs w:val="32"/>
          <w:highlight w:val="none"/>
          <w:u w:val="none"/>
          <w:lang w:val="en-US" w:eastAsia="zh-CN"/>
          <w14:textFill>
            <w14:solidFill>
              <w14:schemeClr w14:val="tx1"/>
            </w14:solidFill>
          </w14:textFill>
        </w:rPr>
        <w:t>而历史</w:t>
      </w:r>
      <w:r>
        <w:rPr>
          <w:rFonts w:hint="eastAsia" w:ascii="仿宋_GB2312" w:hAnsi="ˎ̥" w:eastAsia="仿宋_GB2312"/>
          <w:strike w:val="0"/>
          <w:sz w:val="32"/>
          <w:szCs w:val="32"/>
          <w:lang w:eastAsia="zh-CN"/>
        </w:rPr>
        <w:t>沿用取得</w:t>
      </w:r>
      <w:r>
        <w:rPr>
          <w:rFonts w:hint="eastAsia" w:ascii="仿宋_GB2312" w:hAnsi="ˎ̥" w:eastAsia="仿宋_GB2312"/>
          <w:sz w:val="32"/>
          <w:szCs w:val="32"/>
        </w:rPr>
        <w:t>的</w:t>
      </w:r>
      <w:r>
        <w:rPr>
          <w:rFonts w:hint="eastAsia" w:ascii="Times New Roman" w:hAnsi="Times New Roman" w:eastAsia="仿宋_GB2312" w:cs="宋体"/>
          <w:color w:val="000000" w:themeColor="text1"/>
          <w:sz w:val="32"/>
          <w:szCs w:val="32"/>
          <w:highlight w:val="none"/>
          <w:u w:val="none"/>
          <w:lang w:val="en-US" w:eastAsia="zh-CN"/>
          <w14:textFill>
            <w14:solidFill>
              <w14:schemeClr w14:val="tx1"/>
            </w14:solidFill>
          </w14:textFill>
        </w:rPr>
        <w:t>。</w:t>
      </w:r>
    </w:p>
    <w:p w14:paraId="3ABA3611">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宋体"/>
          <w:color w:val="000000" w:themeColor="text1"/>
          <w:sz w:val="32"/>
          <w:szCs w:val="32"/>
          <w:highlight w:val="none"/>
          <w:u w:val="none"/>
          <w:lang w:val="en-US" w:eastAsia="zh-CN"/>
          <w14:textFill>
            <w14:solidFill>
              <w14:schemeClr w14:val="tx1"/>
            </w14:solidFill>
          </w14:textFill>
        </w:rPr>
        <w:t>宅基地系被继承人以前述方式原始取得、后由被补偿人通过房屋继承一并取得宅基地使用权的，可参照原始取得处理。</w:t>
      </w:r>
    </w:p>
    <w:p w14:paraId="070184FF">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宋体"/>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s="宋体"/>
          <w:b w:val="0"/>
          <w:bCs w:val="0"/>
          <w:color w:val="000000" w:themeColor="text1"/>
          <w:sz w:val="32"/>
          <w:szCs w:val="32"/>
          <w:u w:val="none"/>
          <w:lang w:val="en-US" w:eastAsia="zh-CN"/>
          <w14:textFill>
            <w14:solidFill>
              <w14:schemeClr w14:val="tx1"/>
            </w14:solidFill>
          </w14:textFill>
        </w:rPr>
        <w:t>（五）</w:t>
      </w:r>
      <w:r>
        <w:rPr>
          <w:rFonts w:hint="eastAsia" w:ascii="Times New Roman" w:hAnsi="Times New Roman" w:eastAsia="仿宋_GB2312" w:cs="宋体"/>
          <w:color w:val="000000" w:themeColor="text1"/>
          <w:sz w:val="32"/>
          <w:szCs w:val="32"/>
          <w:u w:val="none"/>
          <w:lang w:val="en-US" w:eastAsia="zh-CN"/>
          <w14:textFill>
            <w14:solidFill>
              <w14:schemeClr w14:val="tx1"/>
            </w14:solidFill>
          </w14:textFill>
        </w:rPr>
        <w:t>本细则所述“宅基地建筑基底面积”按下列规定确定：</w:t>
      </w:r>
    </w:p>
    <w:p w14:paraId="5AF1BECE">
      <w:pPr>
        <w:keepNext w:val="0"/>
        <w:keepLines w:val="0"/>
        <w:pageBreakBefore w:val="0"/>
        <w:widowControl w:val="0"/>
        <w:numPr>
          <w:ilvl w:val="-1"/>
          <w:numId w:val="0"/>
        </w:numPr>
        <w:suppressLineNumbers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1.已办理土地确权登记的，根据集体土地使用权证（含土地登记内档）记载的建筑占地面积确定；地上房屋</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已办理确权登记的，也可根据房屋登记记载的建筑占地确定</w:t>
      </w:r>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w:t>
      </w:r>
    </w:p>
    <w:p w14:paraId="2D607CEA">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宋体"/>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2.土地与房屋均未办理不动产权属登记，但现状常规结构住宅房屋建造于1984年1月5日《城市规划条</w:t>
      </w:r>
      <w:r>
        <w:rPr>
          <w:rFonts w:hint="eastAsia" w:ascii="Times New Roman" w:hAnsi="Times New Roman" w:eastAsia="仿宋_GB2312" w:cs="宋体"/>
          <w:color w:val="000000" w:themeColor="text1"/>
          <w:sz w:val="32"/>
          <w:szCs w:val="32"/>
          <w:u w:val="none"/>
          <w:lang w:val="en-US" w:eastAsia="zh-CN"/>
          <w14:textFill>
            <w14:solidFill>
              <w14:schemeClr w14:val="tx1"/>
            </w14:solidFill>
          </w14:textFill>
        </w:rPr>
        <w:t>例》施行前的，根据常规结构住宅房屋建筑占地面积确定。</w:t>
      </w:r>
    </w:p>
    <w:p w14:paraId="32BF7972">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（六）申请人均保底或住房保障安置的，被补偿人应在征地预公告发布之日起30日内</w:t>
      </w:r>
      <w:r>
        <w:rPr>
          <w:rFonts w:hint="eastAsia" w:ascii="仿宋_GB2312" w:hAnsi="宋体" w:eastAsia="仿宋_GB2312" w:cs="仿宋_GB2312"/>
          <w:color w:val="000000"/>
          <w:kern w:val="0"/>
          <w:sz w:val="32"/>
          <w:szCs w:val="32"/>
          <w:lang w:val="en-US" w:eastAsia="zh-CN" w:bidi="ar"/>
        </w:rPr>
        <w:t>向实施单位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提交</w:t>
      </w:r>
      <w:r>
        <w:rPr>
          <w:rFonts w:hint="eastAsia" w:ascii="仿宋_GB2312" w:hAnsi="宋体" w:eastAsia="仿宋_GB2312" w:cs="仿宋_GB2312"/>
          <w:color w:val="000000"/>
          <w:kern w:val="0"/>
          <w:sz w:val="32"/>
          <w:szCs w:val="32"/>
          <w:lang w:val="en-US" w:eastAsia="zh-CN" w:bidi="ar"/>
        </w:rPr>
        <w:t>书面申请，并如实提供户内成员的户口薄、身份证、结婚证、不动产权属证书、既往住房变化情况说明等与人均住房面积核定的有关材料，未按期提供的视为放弃。隐瞒事实或提供虚假材料的，一经核实即不予享受人均保底或住房保障安置。</w:t>
      </w:r>
    </w:p>
    <w:p w14:paraId="5CE33579">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本细则所述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营业用房包括符合“住宅变更营业用房”条件的房屋。</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“住宅变更营业用房”具体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照《鹿城区国有土地上房屋征收涉及门面房补偿规则若干意见》（温鹿政办〔2018〕79号）执行。</w:t>
      </w:r>
    </w:p>
    <w:p w14:paraId="375D4218">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被补偿人</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应当在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征地预公告发布之日起30日内</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向实施单位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如实</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提供住宅变更营业用房调查确定所需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的有关</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材料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宋体" w:eastAsia="仿宋_GB2312" w:cs="仿宋_GB2312"/>
          <w:color w:val="000000"/>
          <w:kern w:val="0"/>
          <w:sz w:val="32"/>
          <w:szCs w:val="32"/>
          <w:lang w:val="en-US" w:eastAsia="zh-CN" w:bidi="ar"/>
        </w:rPr>
        <w:t>未按期提供的视为放弃。</w:t>
      </w:r>
    </w:p>
    <w:p w14:paraId="0311480E">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（八）</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本细则所述“营业执照”期限计算中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，若</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根据《关于调整营业执照照面事项的通知》(市监注发〔2022〕71号)规定已不再记载营业期限或变更为“永久经营”、“长期”的，则以年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记录计算相关年限。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因政府通知暂停办理相关手续致使商业工商营业执照无法延续的，暂停之日至征地补偿安置方案确定并公布之日期间可计入一次性经济补助计算期限。</w:t>
      </w:r>
    </w:p>
    <w:p w14:paraId="1A14D5C2">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（九）</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宗教、庙宇、祠堂等其他特殊用房按照《温州市区宗祠寺观教堂等房屋征收与补偿的若干意见》（温政办〔2016〕95号）执行。</w:t>
      </w:r>
    </w:p>
    <w:p w14:paraId="671F43D8">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下列建筑物不予产权调换，</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也</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不纳入签约腾空奖励、临时安置费和搬迁费的计算范围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，但可给予相应补偿或补助：</w:t>
      </w:r>
    </w:p>
    <w:p w14:paraId="03BFE9A1">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多业主的公寓楼由业主自行出资建设的停车棚、门卫室等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用于</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公寓楼配套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建筑或抬（扩）建的附属建筑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地下层（地下室）、架空层、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门台</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等与房屋主体建筑有关的附属建筑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其他与前述情形类似或非常规结构的建筑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，若前述建筑属</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合法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可视为合法的，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按重置价结合成新评估</w:t>
      </w:r>
      <w:r>
        <w:rPr>
          <w:rFonts w:hint="default" w:ascii="仿宋_GB2312" w:hAnsi="仿宋_GB2312" w:eastAsia="仿宋_GB2312" w:cs="仿宋_GB2312"/>
          <w:color w:val="auto"/>
          <w:sz w:val="32"/>
          <w:szCs w:val="32"/>
          <w:highlight w:val="none"/>
          <w:lang w:val="en-US" w:eastAsia="zh-CN"/>
        </w:rPr>
        <w:t>实行一次性货币补偿</w:t>
      </w:r>
      <w:r>
        <w:rPr>
          <w:rFonts w:hint="eastAsia" w:ascii="仿宋_GB2312" w:hAnsi="仿宋_GB2312" w:eastAsia="仿宋_GB2312" w:cs="仿宋_GB2312"/>
          <w:color w:val="auto"/>
          <w:sz w:val="32"/>
          <w:szCs w:val="32"/>
          <w:highlight w:val="none"/>
          <w:lang w:val="en-US" w:eastAsia="zh-CN"/>
        </w:rPr>
        <w:t>；</w:t>
      </w:r>
    </w:p>
    <w:p w14:paraId="44F8919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2.其他不属于</w:t>
      </w:r>
      <w:r>
        <w:rPr>
          <w:rFonts w:hint="default" w:ascii="仿宋_GB2312" w:hAnsi="仿宋_GB2312" w:eastAsia="仿宋_GB2312" w:cs="仿宋_GB2312"/>
          <w:color w:val="auto"/>
          <w:sz w:val="32"/>
          <w:szCs w:val="32"/>
          <w:highlight w:val="none"/>
          <w:lang w:val="en-US" w:eastAsia="zh-CN"/>
        </w:rPr>
        <w:t>可视为合法的</w:t>
      </w:r>
      <w:r>
        <w:rPr>
          <w:rFonts w:hint="eastAsia" w:ascii="仿宋_GB2312" w:hAnsi="仿宋_GB2312" w:eastAsia="仿宋_GB2312" w:cs="仿宋_GB2312"/>
          <w:color w:val="auto"/>
          <w:sz w:val="32"/>
          <w:szCs w:val="32"/>
          <w:highlight w:val="none"/>
          <w:lang w:val="en-US" w:eastAsia="zh-CN"/>
        </w:rPr>
        <w:t>未经登记建筑，根据常规结构、简易结构、棚结构建筑分别按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每平方米200元、100元、50元给予一次性货币补助。</w:t>
      </w:r>
    </w:p>
    <w:p w14:paraId="36B984B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（十一）被补偿人</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可就下列财产持相关凭证向实施单位申请补助，补助标准如下：</w:t>
      </w:r>
    </w:p>
    <w:p w14:paraId="10B64EF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单相电表每只补助210元，三相电表每只补助700元；</w:t>
      </w:r>
    </w:p>
    <w:p w14:paraId="75E79DA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固定电话凭报停或移机证明，每台给予补助108元；</w:t>
      </w:r>
    </w:p>
    <w:p w14:paraId="5F38D6C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有线电视凭有线电视站证明，每户给予补助300元；</w:t>
      </w:r>
    </w:p>
    <w:p w14:paraId="242409B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独立报装的水表每只补助780元；</w:t>
      </w:r>
    </w:p>
    <w:p w14:paraId="5F9CE12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宽带网络凭报停或移机证明，每户给予补助158元。</w:t>
      </w:r>
    </w:p>
    <w:p w14:paraId="4311F0C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上述标准如有调整的，由区人民政府另行公布实施。</w:t>
      </w:r>
    </w:p>
    <w:p w14:paraId="1ADE2765">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（十二）被补偿人</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实行产权调换的，</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原旧房除临时安置费、搬迁费外的相关补偿、补助款项均转</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为</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安置房</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购房款</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w:t>
      </w:r>
    </w:p>
    <w:p w14:paraId="5C12FA25">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被补偿人实行货币补偿且按期腾空的，</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补偿、</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补助等</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款项</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自项目腾空截止期限届满之日起3个月内支付</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；未按期腾空的，自实际腾空交付验收合格之日起</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3个月内支付。</w:t>
      </w:r>
    </w:p>
    <w:p w14:paraId="2AEF958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（十三）</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实施单位与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被补偿人</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在补偿安置方案确定的签约期限内达不成协议或房屋所有权人不明确的，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由</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区人民政府按规定作出征地补偿安置决定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6106777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征地补偿安置决定作出前由实施单位</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拟定的</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补偿安置决定方案送达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被补偿人。被补偿人</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应当自</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补偿安置决定</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方案送达之日起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日内提出意见并选择补偿方式，逾期未选择的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补偿方式由征地补偿安置决定确定。</w:t>
      </w:r>
    </w:p>
    <w:p w14:paraId="3EFDF5E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（十四）</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本细则自2025年**月**日起施行。</w:t>
      </w: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《温州市鹿城区征收集体土地涉及房屋补偿实施细则》(温鹿政办〔2019〕24号发布，温鹿政办〔2020〕11号修订)</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鹿城区房屋征收人均保底安置人口审定办法（试行）》(温鹿政办〔2016〕41号)同时废止。本细则施行前征地补偿安置方案已确定并公布的项目，继续按照原有规定执行。其他征地房屋补偿相关政策与本细则不一致的，以本细则为准。</w:t>
      </w:r>
    </w:p>
    <w:p w14:paraId="7888EAF4">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67E2342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附件：人均住房面积核定规则</w:t>
      </w:r>
    </w:p>
    <w:p w14:paraId="0B588CA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br w:type="page"/>
      </w:r>
    </w:p>
    <w:p w14:paraId="5D4884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w:t>
      </w:r>
    </w:p>
    <w:p w14:paraId="7CD10C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小标宋" w:hAnsi="小标宋" w:eastAsia="小标宋" w:cs="小标宋"/>
          <w:color w:val="000000" w:themeColor="text1"/>
          <w:sz w:val="44"/>
          <w:szCs w:val="44"/>
          <w:highlight w:val="none"/>
          <w:lang w:val="en-US" w:eastAsia="zh-CN"/>
          <w14:textFill>
            <w14:solidFill>
              <w14:schemeClr w14:val="tx1"/>
            </w14:solidFill>
          </w14:textFill>
        </w:rPr>
      </w:pPr>
      <w:r>
        <w:rPr>
          <w:rFonts w:hint="eastAsia" w:ascii="小标宋" w:hAnsi="小标宋" w:eastAsia="小标宋" w:cs="小标宋"/>
          <w:color w:val="000000" w:themeColor="text1"/>
          <w:sz w:val="44"/>
          <w:szCs w:val="44"/>
          <w:highlight w:val="none"/>
          <w:lang w:val="en-US" w:eastAsia="zh-CN"/>
          <w14:textFill>
            <w14:solidFill>
              <w14:schemeClr w14:val="tx1"/>
            </w14:solidFill>
          </w14:textFill>
        </w:rPr>
        <w:t>人均住房面积核定规则</w:t>
      </w:r>
    </w:p>
    <w:p w14:paraId="0993996A">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一、人口数核定</w:t>
      </w:r>
    </w:p>
    <w:p w14:paraId="73A926E6">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原则上以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被补偿</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（以下称申请人）《户口簿》中在</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征地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预公告发</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布之日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一年前即</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已登记在册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且至征地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预公告发</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布之日仍未迁出或注销的申请人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本人及其</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单方直系血亲</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配偶人数为依据。</w:t>
      </w:r>
    </w:p>
    <w:p w14:paraId="51D20A8A">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有下列情形之一的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申请人单方直系血亲及配偶</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可增加计入人口数：</w:t>
      </w:r>
    </w:p>
    <w:p w14:paraId="2FF3DAF7">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在征地补偿安置方案确定并公布之日前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已出生申报</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将户籍登记在申请人户的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新生儿；</w:t>
      </w:r>
    </w:p>
    <w:p w14:paraId="10EB4E74">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与申请人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户口</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分立但登记地址一致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，且</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至征地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预公告发</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布之日未迁出或注销的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人员；</w:t>
      </w:r>
    </w:p>
    <w:p w14:paraId="1D7ABDA3">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w:t>
      </w:r>
      <w:r>
        <w:rPr>
          <w:rFonts w:hint="default" w:ascii="仿宋_GB2312" w:hAnsi="仿宋_GB2312" w:eastAsia="仿宋_GB2312" w:cs="仿宋_GB2312"/>
          <w:color w:val="auto"/>
          <w:sz w:val="32"/>
          <w:szCs w:val="32"/>
          <w:highlight w:val="none"/>
          <w:lang w:val="en-US" w:eastAsia="zh-CN"/>
        </w:rPr>
        <w:t>原登记在申请人《户口簿》中</w:t>
      </w:r>
      <w:r>
        <w:rPr>
          <w:rFonts w:hint="eastAsia" w:ascii="仿宋_GB2312" w:hAnsi="仿宋_GB2312" w:eastAsia="仿宋_GB2312" w:cs="仿宋_GB2312"/>
          <w:color w:val="auto"/>
          <w:sz w:val="32"/>
          <w:szCs w:val="32"/>
          <w:highlight w:val="none"/>
          <w:lang w:val="en-US" w:eastAsia="zh-CN"/>
        </w:rPr>
        <w:t>，但</w:t>
      </w:r>
      <w:r>
        <w:rPr>
          <w:rFonts w:hint="default" w:ascii="仿宋_GB2312" w:hAnsi="仿宋_GB2312" w:eastAsia="仿宋_GB2312" w:cs="仿宋_GB2312"/>
          <w:color w:val="auto"/>
          <w:sz w:val="32"/>
          <w:szCs w:val="32"/>
          <w:highlight w:val="none"/>
          <w:lang w:val="en-US" w:eastAsia="zh-CN"/>
        </w:rPr>
        <w:t>因仍在部队服役</w:t>
      </w:r>
      <w:r>
        <w:rPr>
          <w:rFonts w:hint="eastAsia" w:ascii="仿宋_GB2312" w:hAnsi="仿宋_GB2312" w:eastAsia="仿宋_GB2312" w:cs="仿宋_GB2312"/>
          <w:color w:val="auto"/>
          <w:sz w:val="32"/>
          <w:szCs w:val="32"/>
          <w:highlight w:val="none"/>
          <w:lang w:val="en-US" w:eastAsia="zh-CN"/>
        </w:rPr>
        <w:t>户口</w:t>
      </w:r>
      <w:r>
        <w:rPr>
          <w:rFonts w:hint="default" w:ascii="仿宋_GB2312" w:hAnsi="仿宋_GB2312" w:eastAsia="仿宋_GB2312" w:cs="仿宋_GB2312"/>
          <w:color w:val="auto"/>
          <w:sz w:val="32"/>
          <w:szCs w:val="32"/>
          <w:highlight w:val="none"/>
          <w:lang w:val="en-US" w:eastAsia="zh-CN"/>
        </w:rPr>
        <w:t>尚未迁回</w:t>
      </w:r>
      <w:r>
        <w:rPr>
          <w:rFonts w:hint="eastAsia" w:ascii="仿宋_GB2312" w:hAnsi="仿宋_GB2312" w:eastAsia="仿宋_GB2312" w:cs="仿宋_GB2312"/>
          <w:color w:val="auto"/>
          <w:sz w:val="32"/>
          <w:szCs w:val="32"/>
          <w:highlight w:val="none"/>
          <w:lang w:val="en-US" w:eastAsia="zh-CN"/>
        </w:rPr>
        <w:t>（退伍或转业后户籍已迁往他处的除外）</w:t>
      </w:r>
      <w:r>
        <w:rPr>
          <w:rFonts w:hint="default" w:ascii="仿宋_GB2312" w:hAnsi="仿宋_GB2312" w:eastAsia="仿宋_GB2312" w:cs="仿宋_GB2312"/>
          <w:color w:val="auto"/>
          <w:sz w:val="32"/>
          <w:szCs w:val="32"/>
          <w:highlight w:val="none"/>
          <w:lang w:val="en-US" w:eastAsia="zh-CN"/>
        </w:rPr>
        <w:t>或仍在服刑期间户籍被注销的</w:t>
      </w:r>
      <w:r>
        <w:rPr>
          <w:rFonts w:hint="eastAsia" w:ascii="仿宋_GB2312" w:hAnsi="仿宋_GB2312" w:eastAsia="仿宋_GB2312" w:cs="仿宋_GB2312"/>
          <w:color w:val="auto"/>
          <w:sz w:val="32"/>
          <w:szCs w:val="32"/>
          <w:highlight w:val="none"/>
          <w:lang w:val="en-US" w:eastAsia="zh-CN"/>
        </w:rPr>
        <w:t>人员；</w:t>
      </w:r>
    </w:p>
    <w:p w14:paraId="008A3FE0">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default" w:ascii="仿宋_GB2312" w:hAnsi="仿宋_GB2312" w:eastAsia="仿宋_GB2312" w:cs="仿宋_GB2312"/>
          <w:color w:val="auto"/>
          <w:sz w:val="32"/>
          <w:szCs w:val="32"/>
          <w:highlight w:val="none"/>
          <w:lang w:val="en-US" w:eastAsia="zh-CN"/>
        </w:rPr>
        <w:t>原登记在申请人《户口簿》中</w:t>
      </w:r>
      <w:r>
        <w:rPr>
          <w:rFonts w:hint="eastAsia" w:ascii="仿宋_GB2312" w:hAnsi="仿宋_GB2312" w:eastAsia="仿宋_GB2312" w:cs="仿宋_GB2312"/>
          <w:color w:val="auto"/>
          <w:sz w:val="32"/>
          <w:szCs w:val="32"/>
          <w:highlight w:val="none"/>
          <w:lang w:val="en-US" w:eastAsia="zh-CN"/>
        </w:rPr>
        <w:t>，因就学将</w:t>
      </w:r>
      <w:r>
        <w:rPr>
          <w:rFonts w:hint="default" w:ascii="仿宋_GB2312" w:hAnsi="仿宋_GB2312" w:eastAsia="仿宋_GB2312" w:cs="仿宋_GB2312"/>
          <w:color w:val="auto"/>
          <w:sz w:val="32"/>
          <w:szCs w:val="32"/>
          <w:highlight w:val="none"/>
          <w:lang w:val="en-US" w:eastAsia="zh-CN"/>
        </w:rPr>
        <w:t>户籍迁往所在学校</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val="en-US" w:eastAsia="zh-CN"/>
        </w:rPr>
        <w:t>在读学生</w:t>
      </w:r>
      <w:r>
        <w:rPr>
          <w:rFonts w:hint="eastAsia" w:ascii="仿宋_GB2312" w:hAnsi="仿宋_GB2312" w:eastAsia="仿宋_GB2312" w:cs="仿宋_GB2312"/>
          <w:color w:val="auto"/>
          <w:sz w:val="32"/>
          <w:szCs w:val="32"/>
          <w:highlight w:val="none"/>
          <w:lang w:val="en-US" w:eastAsia="zh-CN"/>
        </w:rPr>
        <w:t>（已毕业未迁回的除外）</w:t>
      </w:r>
      <w:r>
        <w:rPr>
          <w:rFonts w:hint="default" w:ascii="仿宋_GB2312" w:hAnsi="仿宋_GB2312" w:eastAsia="仿宋_GB2312" w:cs="仿宋_GB2312"/>
          <w:color w:val="auto"/>
          <w:sz w:val="32"/>
          <w:szCs w:val="32"/>
          <w:highlight w:val="none"/>
          <w:lang w:val="en-US" w:eastAsia="zh-CN"/>
        </w:rPr>
        <w:t>。</w:t>
      </w:r>
    </w:p>
    <w:p w14:paraId="5F436D84">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二、住房面积核定</w:t>
      </w:r>
    </w:p>
    <w:p w14:paraId="77CD5D76">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计入申请人户人口数人员在温州市区范围内的下列房产（面积）</w:t>
      </w:r>
      <w:r>
        <w:rPr>
          <w:rFonts w:ascii="仿宋_GB2312" w:hAnsi="宋体" w:eastAsia="仿宋_GB2312" w:cs="仿宋_GB2312"/>
          <w:color w:val="000000" w:themeColor="text1"/>
          <w:kern w:val="0"/>
          <w:sz w:val="32"/>
          <w:szCs w:val="32"/>
          <w:lang w:val="en-US" w:eastAsia="zh-CN" w:bidi="ar"/>
          <w14:textFill>
            <w14:solidFill>
              <w14:schemeClr w14:val="tx1"/>
            </w14:solidFill>
          </w14:textFill>
        </w:rPr>
        <w:t>应</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纳</w:t>
      </w:r>
      <w:r>
        <w:rPr>
          <w:rFonts w:ascii="仿宋_GB2312" w:hAnsi="宋体" w:eastAsia="仿宋_GB2312" w:cs="仿宋_GB2312"/>
          <w:color w:val="000000" w:themeColor="text1"/>
          <w:kern w:val="0"/>
          <w:sz w:val="32"/>
          <w:szCs w:val="32"/>
          <w:lang w:val="en-US" w:eastAsia="zh-CN" w:bidi="ar"/>
          <w14:textFill>
            <w14:solidFill>
              <w14:schemeClr w14:val="tx1"/>
            </w14:solidFill>
          </w14:textFill>
        </w:rPr>
        <w:t>入核定范围</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w:t>
      </w:r>
    </w:p>
    <w:p w14:paraId="27A20753">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（一）原始取得或以继承、析产或赠与方式取得的自建房、福利房、房改房、经济适用房等（含已转让）。</w:t>
      </w:r>
    </w:p>
    <w:p w14:paraId="29C21C60">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（二）前述第（一）项所列房屋因征收拆迁、危房解危等获得的安置房（含已转让）或待安置面积。</w:t>
      </w:r>
    </w:p>
    <w:p w14:paraId="42983BAC">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ascii="仿宋_GB2312" w:hAnsi="宋体"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实行货币等其他方式安置或尚未签约的，均仍按产权调换可安置的最大面积核定。</w:t>
      </w:r>
    </w:p>
    <w:p w14:paraId="45854422">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0"/>
          <w:sz w:val="32"/>
          <w:szCs w:val="32"/>
          <w:highlight w:val="none"/>
          <w:shd w:val="clear" w:color="auto" w:fill="auto"/>
          <w:lang w:eastAsia="zh-CN"/>
          <w14:textFill>
            <w14:solidFill>
              <w14:schemeClr w14:val="tx1"/>
            </w14:solidFill>
          </w14:textFill>
        </w:rPr>
        <w:t>承租的国家直管或单位自管公有住房（按市场价租赁的除外）。</w:t>
      </w:r>
    </w:p>
    <w:p w14:paraId="7004D54C">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（四）现名下（</w:t>
      </w:r>
      <w:r>
        <w:rPr>
          <w:rFonts w:hint="eastAsia" w:ascii="仿宋_GB2312" w:hAnsi="仿宋_GB2312" w:eastAsia="仿宋_GB2312" w:cs="仿宋_GB2312"/>
          <w:i w:val="0"/>
          <w:iCs w:val="0"/>
          <w:caps w:val="0"/>
          <w:color w:val="000000" w:themeColor="text1"/>
          <w:spacing w:val="0"/>
          <w:sz w:val="32"/>
          <w:szCs w:val="32"/>
          <w:highlight w:val="none"/>
          <w:shd w:val="clear" w:color="auto" w:fill="auto"/>
          <w:lang w:eastAsia="zh-CN"/>
          <w14:textFill>
            <w14:solidFill>
              <w14:schemeClr w14:val="tx1"/>
            </w14:solidFill>
          </w14:textFill>
        </w:rPr>
        <w:t>含已签订买卖合同并备案的期房</w:t>
      </w:r>
      <w:r>
        <w:rPr>
          <w:rFonts w:hint="eastAsia" w:ascii="仿宋_GB2312" w:hAnsi="仿宋_GB2312"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）或</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至</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征地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预公告发</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布之日</w:t>
      </w:r>
      <w:r>
        <w:rPr>
          <w:rFonts w:hint="eastAsia" w:ascii="仿宋_GB2312" w:hAnsi="仿宋_GB2312"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转让未满5年的商品房、二手房等（含非住宅）。</w:t>
      </w:r>
    </w:p>
    <w:p w14:paraId="7B4A1242">
      <w:pPr>
        <w:keepNext w:val="0"/>
        <w:keepLines w:val="0"/>
        <w:pageBreakBefore w:val="0"/>
        <w:widowControl w:val="0"/>
        <w:numPr>
          <w:ilvl w:val="-1"/>
          <w:numId w:val="0"/>
        </w:numPr>
        <w:suppressLineNumbers w:val="0"/>
        <w:kinsoku/>
        <w:wordWrap/>
        <w:overflowPunct w:val="0"/>
        <w:topLinePunct w:val="0"/>
        <w:autoSpaceDE/>
        <w:autoSpaceDN/>
        <w:bidi w:val="0"/>
        <w:adjustRightInd/>
        <w:snapToGrid/>
        <w:ind w:firstLine="640" w:firstLineChars="200"/>
        <w:jc w:val="left"/>
        <w:textAlignment w:val="auto"/>
        <w:rPr>
          <w:rFonts w:hint="default"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i w:val="0"/>
          <w:iCs w:val="0"/>
          <w:caps w:val="0"/>
          <w:color w:val="000000" w:themeColor="text1"/>
          <w:spacing w:val="0"/>
          <w:sz w:val="32"/>
          <w:szCs w:val="32"/>
          <w:highlight w:val="none"/>
          <w:shd w:val="clear" w:color="auto" w:fill="auto"/>
          <w:lang w:eastAsia="zh-CN"/>
          <w14:textFill>
            <w14:solidFill>
              <w14:schemeClr w14:val="tx1"/>
            </w14:solidFill>
          </w14:textFill>
        </w:rPr>
        <w:t>上述房产中的非住宅由本细则规定的评估机构出具评估价格，折算成同地段住宅面积纳入核定范围。</w:t>
      </w:r>
    </w:p>
    <w:sectPr>
      <w:footerReference r:id="rId3" w:type="default"/>
      <w:pgSz w:w="11906" w:h="16838"/>
      <w:pgMar w:top="2041" w:right="1531" w:bottom="175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2B95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DFD08">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BDFD08">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C29E7"/>
    <w:rsid w:val="00ED31FD"/>
    <w:rsid w:val="01086C64"/>
    <w:rsid w:val="013D1AB0"/>
    <w:rsid w:val="014C6B51"/>
    <w:rsid w:val="015522C4"/>
    <w:rsid w:val="01A32595"/>
    <w:rsid w:val="01F90A46"/>
    <w:rsid w:val="02555ED9"/>
    <w:rsid w:val="029562D6"/>
    <w:rsid w:val="029778E9"/>
    <w:rsid w:val="033C3144"/>
    <w:rsid w:val="036839EA"/>
    <w:rsid w:val="037979A5"/>
    <w:rsid w:val="03AB78D9"/>
    <w:rsid w:val="03B629A7"/>
    <w:rsid w:val="03C74BB5"/>
    <w:rsid w:val="04243DB5"/>
    <w:rsid w:val="04267B2D"/>
    <w:rsid w:val="04B35139"/>
    <w:rsid w:val="04DA26C6"/>
    <w:rsid w:val="04FA2D68"/>
    <w:rsid w:val="05717247"/>
    <w:rsid w:val="05BA7521"/>
    <w:rsid w:val="05D16547"/>
    <w:rsid w:val="05E619C5"/>
    <w:rsid w:val="06277B8D"/>
    <w:rsid w:val="062B1607"/>
    <w:rsid w:val="068C65AB"/>
    <w:rsid w:val="06D2551F"/>
    <w:rsid w:val="06D53145"/>
    <w:rsid w:val="06D816CB"/>
    <w:rsid w:val="07261BF2"/>
    <w:rsid w:val="07302A71"/>
    <w:rsid w:val="0797664C"/>
    <w:rsid w:val="07BB67DE"/>
    <w:rsid w:val="07DC0503"/>
    <w:rsid w:val="084A1910"/>
    <w:rsid w:val="08C01BD2"/>
    <w:rsid w:val="08CE2541"/>
    <w:rsid w:val="09130588"/>
    <w:rsid w:val="09300B06"/>
    <w:rsid w:val="094B2835"/>
    <w:rsid w:val="094E3682"/>
    <w:rsid w:val="095E38C5"/>
    <w:rsid w:val="0969226A"/>
    <w:rsid w:val="09CA5775"/>
    <w:rsid w:val="09DB1CAF"/>
    <w:rsid w:val="0A113B12"/>
    <w:rsid w:val="0A1A1F1F"/>
    <w:rsid w:val="0A1F5F08"/>
    <w:rsid w:val="0A23089E"/>
    <w:rsid w:val="0A40087E"/>
    <w:rsid w:val="0A474359"/>
    <w:rsid w:val="0AC77248"/>
    <w:rsid w:val="0AEA5A2F"/>
    <w:rsid w:val="0AFA5870"/>
    <w:rsid w:val="0B0B182B"/>
    <w:rsid w:val="0B30303F"/>
    <w:rsid w:val="0B3F3351"/>
    <w:rsid w:val="0B5F1B77"/>
    <w:rsid w:val="0B674587"/>
    <w:rsid w:val="0B735598"/>
    <w:rsid w:val="0B7C44D7"/>
    <w:rsid w:val="0B8E420A"/>
    <w:rsid w:val="0B9C4962"/>
    <w:rsid w:val="0BBE064B"/>
    <w:rsid w:val="0C085D6A"/>
    <w:rsid w:val="0C126BE9"/>
    <w:rsid w:val="0CF167FE"/>
    <w:rsid w:val="0CF462EF"/>
    <w:rsid w:val="0D295F98"/>
    <w:rsid w:val="0DA50530"/>
    <w:rsid w:val="0DC5581F"/>
    <w:rsid w:val="0DEB14A0"/>
    <w:rsid w:val="0E361531"/>
    <w:rsid w:val="0E74112A"/>
    <w:rsid w:val="0ED4167C"/>
    <w:rsid w:val="0EF57B1C"/>
    <w:rsid w:val="0F415F3C"/>
    <w:rsid w:val="0F9C6EF5"/>
    <w:rsid w:val="0FBC68B4"/>
    <w:rsid w:val="0FDD306A"/>
    <w:rsid w:val="0FFC1742"/>
    <w:rsid w:val="1045747C"/>
    <w:rsid w:val="10611EED"/>
    <w:rsid w:val="106317C1"/>
    <w:rsid w:val="107D1D55"/>
    <w:rsid w:val="10A36062"/>
    <w:rsid w:val="10C61D50"/>
    <w:rsid w:val="11196324"/>
    <w:rsid w:val="117619EB"/>
    <w:rsid w:val="11EF24FA"/>
    <w:rsid w:val="12202EBC"/>
    <w:rsid w:val="123277F5"/>
    <w:rsid w:val="12924326"/>
    <w:rsid w:val="12FA4174"/>
    <w:rsid w:val="133F6D99"/>
    <w:rsid w:val="137B7B3F"/>
    <w:rsid w:val="13AE5449"/>
    <w:rsid w:val="13B02BB8"/>
    <w:rsid w:val="13BB1914"/>
    <w:rsid w:val="13E62E35"/>
    <w:rsid w:val="13F82B68"/>
    <w:rsid w:val="143A6B62"/>
    <w:rsid w:val="146A5814"/>
    <w:rsid w:val="146D40E7"/>
    <w:rsid w:val="14777F31"/>
    <w:rsid w:val="148B12E6"/>
    <w:rsid w:val="14A14FAE"/>
    <w:rsid w:val="14DC1B42"/>
    <w:rsid w:val="151A266A"/>
    <w:rsid w:val="154222ED"/>
    <w:rsid w:val="158E5532"/>
    <w:rsid w:val="15986EEB"/>
    <w:rsid w:val="15E002D7"/>
    <w:rsid w:val="15FE2D8C"/>
    <w:rsid w:val="160E21CF"/>
    <w:rsid w:val="1613348A"/>
    <w:rsid w:val="16213B10"/>
    <w:rsid w:val="162A6462"/>
    <w:rsid w:val="16314110"/>
    <w:rsid w:val="164C2CF7"/>
    <w:rsid w:val="16BF171B"/>
    <w:rsid w:val="16D57191"/>
    <w:rsid w:val="17145370"/>
    <w:rsid w:val="175005C5"/>
    <w:rsid w:val="177863A7"/>
    <w:rsid w:val="17B86896"/>
    <w:rsid w:val="17D86F39"/>
    <w:rsid w:val="17FF44C5"/>
    <w:rsid w:val="181A30AD"/>
    <w:rsid w:val="183B4F4C"/>
    <w:rsid w:val="184D47F1"/>
    <w:rsid w:val="186802BC"/>
    <w:rsid w:val="18812D82"/>
    <w:rsid w:val="18891FE1"/>
    <w:rsid w:val="189A0770"/>
    <w:rsid w:val="18E34538"/>
    <w:rsid w:val="19115B37"/>
    <w:rsid w:val="19A846E9"/>
    <w:rsid w:val="19BE5CBA"/>
    <w:rsid w:val="19FE07AD"/>
    <w:rsid w:val="1A0F4768"/>
    <w:rsid w:val="1A136D81"/>
    <w:rsid w:val="1A165AF6"/>
    <w:rsid w:val="1A6B5E42"/>
    <w:rsid w:val="1AC27A2C"/>
    <w:rsid w:val="1AC46EDB"/>
    <w:rsid w:val="1AD11A1D"/>
    <w:rsid w:val="1AD13490"/>
    <w:rsid w:val="1AEA45E3"/>
    <w:rsid w:val="1AFC3FF9"/>
    <w:rsid w:val="1B063DBD"/>
    <w:rsid w:val="1B3A5814"/>
    <w:rsid w:val="1B4E6EF5"/>
    <w:rsid w:val="1C533032"/>
    <w:rsid w:val="1C9B22E3"/>
    <w:rsid w:val="1CC730D8"/>
    <w:rsid w:val="1CCD1E23"/>
    <w:rsid w:val="1CF132FA"/>
    <w:rsid w:val="1D0165EA"/>
    <w:rsid w:val="1D0A0015"/>
    <w:rsid w:val="1D156539"/>
    <w:rsid w:val="1D1C382B"/>
    <w:rsid w:val="1DD761F8"/>
    <w:rsid w:val="1DEF713E"/>
    <w:rsid w:val="1E0A3BC4"/>
    <w:rsid w:val="1E1467F1"/>
    <w:rsid w:val="1E1B7B7F"/>
    <w:rsid w:val="1E5170FD"/>
    <w:rsid w:val="1E556528"/>
    <w:rsid w:val="1E630B3F"/>
    <w:rsid w:val="1E7079DC"/>
    <w:rsid w:val="1E9E1CEF"/>
    <w:rsid w:val="1F0E28F7"/>
    <w:rsid w:val="1F6317DE"/>
    <w:rsid w:val="1F8F6D21"/>
    <w:rsid w:val="1F996FAD"/>
    <w:rsid w:val="1FC234F7"/>
    <w:rsid w:val="2007660D"/>
    <w:rsid w:val="20150A69"/>
    <w:rsid w:val="203171E6"/>
    <w:rsid w:val="20407429"/>
    <w:rsid w:val="20590F93"/>
    <w:rsid w:val="206C47FE"/>
    <w:rsid w:val="20860887"/>
    <w:rsid w:val="209F66B7"/>
    <w:rsid w:val="21537630"/>
    <w:rsid w:val="219C0FD7"/>
    <w:rsid w:val="21CF23D6"/>
    <w:rsid w:val="22217490"/>
    <w:rsid w:val="22BE6D2B"/>
    <w:rsid w:val="23045EE2"/>
    <w:rsid w:val="232C638A"/>
    <w:rsid w:val="23733FB9"/>
    <w:rsid w:val="23825FAA"/>
    <w:rsid w:val="23881749"/>
    <w:rsid w:val="23920B71"/>
    <w:rsid w:val="23B05984"/>
    <w:rsid w:val="241E1DB1"/>
    <w:rsid w:val="245B6F27"/>
    <w:rsid w:val="2460659E"/>
    <w:rsid w:val="247266E0"/>
    <w:rsid w:val="24822706"/>
    <w:rsid w:val="24857B00"/>
    <w:rsid w:val="248975AD"/>
    <w:rsid w:val="24910FD8"/>
    <w:rsid w:val="24DE36B4"/>
    <w:rsid w:val="25753641"/>
    <w:rsid w:val="25891872"/>
    <w:rsid w:val="25991E15"/>
    <w:rsid w:val="25AE0F76"/>
    <w:rsid w:val="2605422A"/>
    <w:rsid w:val="26445799"/>
    <w:rsid w:val="266A1799"/>
    <w:rsid w:val="268A58A2"/>
    <w:rsid w:val="26A1499A"/>
    <w:rsid w:val="27644233"/>
    <w:rsid w:val="279B763B"/>
    <w:rsid w:val="27A91D58"/>
    <w:rsid w:val="27AE306B"/>
    <w:rsid w:val="27C748D4"/>
    <w:rsid w:val="27CC1EEA"/>
    <w:rsid w:val="27EB6814"/>
    <w:rsid w:val="27FC632B"/>
    <w:rsid w:val="281448AD"/>
    <w:rsid w:val="281E7313"/>
    <w:rsid w:val="287B6AE0"/>
    <w:rsid w:val="28A075FF"/>
    <w:rsid w:val="28D472A8"/>
    <w:rsid w:val="290D4568"/>
    <w:rsid w:val="29371072"/>
    <w:rsid w:val="294A756A"/>
    <w:rsid w:val="294E705B"/>
    <w:rsid w:val="29920FBE"/>
    <w:rsid w:val="29D31E90"/>
    <w:rsid w:val="2A225DF1"/>
    <w:rsid w:val="2A663F30"/>
    <w:rsid w:val="2ABA3928"/>
    <w:rsid w:val="2B1E480B"/>
    <w:rsid w:val="2B2160A9"/>
    <w:rsid w:val="2B2E6B4F"/>
    <w:rsid w:val="2B5A53B0"/>
    <w:rsid w:val="2B9065A8"/>
    <w:rsid w:val="2BD45ED4"/>
    <w:rsid w:val="2BDC47A0"/>
    <w:rsid w:val="2C173DC0"/>
    <w:rsid w:val="2C3167C0"/>
    <w:rsid w:val="2CD6750B"/>
    <w:rsid w:val="2D157E8F"/>
    <w:rsid w:val="2D4B45C7"/>
    <w:rsid w:val="2DA749EF"/>
    <w:rsid w:val="2DDF4725"/>
    <w:rsid w:val="2DE17B3B"/>
    <w:rsid w:val="2DEA15CE"/>
    <w:rsid w:val="2DF33D2D"/>
    <w:rsid w:val="2E3305CD"/>
    <w:rsid w:val="2E616AEB"/>
    <w:rsid w:val="2EB07E70"/>
    <w:rsid w:val="2FBB4D1E"/>
    <w:rsid w:val="2FE36023"/>
    <w:rsid w:val="2FE4442D"/>
    <w:rsid w:val="300A7F20"/>
    <w:rsid w:val="301937F3"/>
    <w:rsid w:val="30393E95"/>
    <w:rsid w:val="304545E8"/>
    <w:rsid w:val="30766E97"/>
    <w:rsid w:val="308C0468"/>
    <w:rsid w:val="309372EB"/>
    <w:rsid w:val="30A6152A"/>
    <w:rsid w:val="30DA5678"/>
    <w:rsid w:val="30F878AC"/>
    <w:rsid w:val="30FF1DE4"/>
    <w:rsid w:val="3112096E"/>
    <w:rsid w:val="31CE34E0"/>
    <w:rsid w:val="325D5A8A"/>
    <w:rsid w:val="325F0913"/>
    <w:rsid w:val="32867865"/>
    <w:rsid w:val="32870EE7"/>
    <w:rsid w:val="329942A0"/>
    <w:rsid w:val="32A970B0"/>
    <w:rsid w:val="32AA2E28"/>
    <w:rsid w:val="32D00AE0"/>
    <w:rsid w:val="32E46B14"/>
    <w:rsid w:val="332B1372"/>
    <w:rsid w:val="335A0456"/>
    <w:rsid w:val="3374672A"/>
    <w:rsid w:val="338B4A07"/>
    <w:rsid w:val="33A855B9"/>
    <w:rsid w:val="33D60378"/>
    <w:rsid w:val="341B222F"/>
    <w:rsid w:val="34403A44"/>
    <w:rsid w:val="34850429"/>
    <w:rsid w:val="349124F1"/>
    <w:rsid w:val="34941256"/>
    <w:rsid w:val="34AC732B"/>
    <w:rsid w:val="34D76B54"/>
    <w:rsid w:val="35394E5E"/>
    <w:rsid w:val="3589141A"/>
    <w:rsid w:val="35A85D44"/>
    <w:rsid w:val="35A973C7"/>
    <w:rsid w:val="35A97584"/>
    <w:rsid w:val="35AD46F6"/>
    <w:rsid w:val="35ED0F38"/>
    <w:rsid w:val="36154A5C"/>
    <w:rsid w:val="36A302BA"/>
    <w:rsid w:val="36C344B8"/>
    <w:rsid w:val="36EC6BE5"/>
    <w:rsid w:val="371B60A2"/>
    <w:rsid w:val="37307DA0"/>
    <w:rsid w:val="377A30BB"/>
    <w:rsid w:val="37BE13A2"/>
    <w:rsid w:val="37C36E66"/>
    <w:rsid w:val="37F214F9"/>
    <w:rsid w:val="37FC79B7"/>
    <w:rsid w:val="38141FD3"/>
    <w:rsid w:val="38591CF5"/>
    <w:rsid w:val="38876ACD"/>
    <w:rsid w:val="3891486E"/>
    <w:rsid w:val="38BD701D"/>
    <w:rsid w:val="38EE4DA4"/>
    <w:rsid w:val="39007C46"/>
    <w:rsid w:val="39161217"/>
    <w:rsid w:val="391627E0"/>
    <w:rsid w:val="39202096"/>
    <w:rsid w:val="392531C1"/>
    <w:rsid w:val="392B1FB7"/>
    <w:rsid w:val="3958538C"/>
    <w:rsid w:val="395A326A"/>
    <w:rsid w:val="395F671A"/>
    <w:rsid w:val="396957EB"/>
    <w:rsid w:val="39736669"/>
    <w:rsid w:val="397E103D"/>
    <w:rsid w:val="399108CB"/>
    <w:rsid w:val="39C83DFD"/>
    <w:rsid w:val="39CE376C"/>
    <w:rsid w:val="39DD09CD"/>
    <w:rsid w:val="3A015A23"/>
    <w:rsid w:val="3A0948D8"/>
    <w:rsid w:val="3A3556CD"/>
    <w:rsid w:val="3A4B3142"/>
    <w:rsid w:val="3A5424C9"/>
    <w:rsid w:val="3A781DA4"/>
    <w:rsid w:val="3ACE6F06"/>
    <w:rsid w:val="3AFD61EB"/>
    <w:rsid w:val="3B191E01"/>
    <w:rsid w:val="3B337E5E"/>
    <w:rsid w:val="3B3D3954"/>
    <w:rsid w:val="3B8E3B9E"/>
    <w:rsid w:val="3BCB5C9A"/>
    <w:rsid w:val="3BE638AE"/>
    <w:rsid w:val="3C1F4887"/>
    <w:rsid w:val="3C3A6FCB"/>
    <w:rsid w:val="3D5B248B"/>
    <w:rsid w:val="3E0C2BE9"/>
    <w:rsid w:val="3E3412EE"/>
    <w:rsid w:val="3E386FBD"/>
    <w:rsid w:val="3E4D5833"/>
    <w:rsid w:val="3E656809"/>
    <w:rsid w:val="3E6E3885"/>
    <w:rsid w:val="3E741E75"/>
    <w:rsid w:val="3E7E74F4"/>
    <w:rsid w:val="3E974BA8"/>
    <w:rsid w:val="3E9C21BE"/>
    <w:rsid w:val="3F067638"/>
    <w:rsid w:val="3F186F0A"/>
    <w:rsid w:val="3F496B0E"/>
    <w:rsid w:val="3F656D25"/>
    <w:rsid w:val="3F6E3B5B"/>
    <w:rsid w:val="3F9115F7"/>
    <w:rsid w:val="3FB3156E"/>
    <w:rsid w:val="40070ECD"/>
    <w:rsid w:val="40271F5C"/>
    <w:rsid w:val="40732A8D"/>
    <w:rsid w:val="40800863"/>
    <w:rsid w:val="40E67721"/>
    <w:rsid w:val="40F21C2A"/>
    <w:rsid w:val="410718B0"/>
    <w:rsid w:val="41633FCC"/>
    <w:rsid w:val="41686388"/>
    <w:rsid w:val="4177481D"/>
    <w:rsid w:val="417D62D7"/>
    <w:rsid w:val="419B49AF"/>
    <w:rsid w:val="41B45A71"/>
    <w:rsid w:val="41C75CCA"/>
    <w:rsid w:val="42042555"/>
    <w:rsid w:val="42575EF3"/>
    <w:rsid w:val="429C09DF"/>
    <w:rsid w:val="42A56347"/>
    <w:rsid w:val="435C1F1C"/>
    <w:rsid w:val="43762FDE"/>
    <w:rsid w:val="439D6CFE"/>
    <w:rsid w:val="43F21A2E"/>
    <w:rsid w:val="4413082D"/>
    <w:rsid w:val="44472BF1"/>
    <w:rsid w:val="44550E45"/>
    <w:rsid w:val="44823C05"/>
    <w:rsid w:val="44BA514C"/>
    <w:rsid w:val="45303661"/>
    <w:rsid w:val="453A1315"/>
    <w:rsid w:val="454669E0"/>
    <w:rsid w:val="454B3FF6"/>
    <w:rsid w:val="454D7D6F"/>
    <w:rsid w:val="45533D78"/>
    <w:rsid w:val="45611A6C"/>
    <w:rsid w:val="459040FF"/>
    <w:rsid w:val="459862B3"/>
    <w:rsid w:val="45B05D81"/>
    <w:rsid w:val="45B24076"/>
    <w:rsid w:val="45DB537A"/>
    <w:rsid w:val="45F34DBA"/>
    <w:rsid w:val="4600750E"/>
    <w:rsid w:val="4607610B"/>
    <w:rsid w:val="461869EF"/>
    <w:rsid w:val="46256F3D"/>
    <w:rsid w:val="4710374A"/>
    <w:rsid w:val="472D633B"/>
    <w:rsid w:val="477912EF"/>
    <w:rsid w:val="47852418"/>
    <w:rsid w:val="47863A0C"/>
    <w:rsid w:val="47A53E92"/>
    <w:rsid w:val="47BA5463"/>
    <w:rsid w:val="48026F58"/>
    <w:rsid w:val="4822306C"/>
    <w:rsid w:val="48254FD3"/>
    <w:rsid w:val="487675DC"/>
    <w:rsid w:val="48C77E38"/>
    <w:rsid w:val="48D80297"/>
    <w:rsid w:val="48E36114"/>
    <w:rsid w:val="48F15BBD"/>
    <w:rsid w:val="492C6489"/>
    <w:rsid w:val="493B2B85"/>
    <w:rsid w:val="49492F43"/>
    <w:rsid w:val="495C67D2"/>
    <w:rsid w:val="49AA2395"/>
    <w:rsid w:val="49DC3DB7"/>
    <w:rsid w:val="4A2E73A2"/>
    <w:rsid w:val="4A8E50B1"/>
    <w:rsid w:val="4A980693"/>
    <w:rsid w:val="4AA246B9"/>
    <w:rsid w:val="4AC22529"/>
    <w:rsid w:val="4B064B25"/>
    <w:rsid w:val="4B302B99"/>
    <w:rsid w:val="4B4B0D41"/>
    <w:rsid w:val="4B74283D"/>
    <w:rsid w:val="4BB548C0"/>
    <w:rsid w:val="4BE551A5"/>
    <w:rsid w:val="4BF83E68"/>
    <w:rsid w:val="4C2253D8"/>
    <w:rsid w:val="4C303830"/>
    <w:rsid w:val="4C3B21FA"/>
    <w:rsid w:val="4C404189"/>
    <w:rsid w:val="4C746494"/>
    <w:rsid w:val="4C8D2CE5"/>
    <w:rsid w:val="4C902074"/>
    <w:rsid w:val="4CF90473"/>
    <w:rsid w:val="4CFB7972"/>
    <w:rsid w:val="4D5A127B"/>
    <w:rsid w:val="4DC736BA"/>
    <w:rsid w:val="4DEE73C6"/>
    <w:rsid w:val="4E047438"/>
    <w:rsid w:val="4E167D49"/>
    <w:rsid w:val="4E181A22"/>
    <w:rsid w:val="4E4D7031"/>
    <w:rsid w:val="4E564138"/>
    <w:rsid w:val="4E964534"/>
    <w:rsid w:val="4EAD4A8B"/>
    <w:rsid w:val="4ECE7F4C"/>
    <w:rsid w:val="4F043B94"/>
    <w:rsid w:val="4F147B4F"/>
    <w:rsid w:val="4F1B2C8C"/>
    <w:rsid w:val="4F9071D6"/>
    <w:rsid w:val="4F961853"/>
    <w:rsid w:val="4F9B0908"/>
    <w:rsid w:val="4FA55626"/>
    <w:rsid w:val="4FE37260"/>
    <w:rsid w:val="4FFC486B"/>
    <w:rsid w:val="502B5150"/>
    <w:rsid w:val="503E30D6"/>
    <w:rsid w:val="506F7D23"/>
    <w:rsid w:val="50770396"/>
    <w:rsid w:val="50E377D9"/>
    <w:rsid w:val="51016C99"/>
    <w:rsid w:val="51BD75E0"/>
    <w:rsid w:val="51DA5080"/>
    <w:rsid w:val="51DD5BE3"/>
    <w:rsid w:val="51E47CAD"/>
    <w:rsid w:val="522E0F28"/>
    <w:rsid w:val="52346DF2"/>
    <w:rsid w:val="523C1897"/>
    <w:rsid w:val="525070F0"/>
    <w:rsid w:val="52837907"/>
    <w:rsid w:val="52A66D10"/>
    <w:rsid w:val="533B1B4E"/>
    <w:rsid w:val="536D7469"/>
    <w:rsid w:val="545F3B5A"/>
    <w:rsid w:val="54636587"/>
    <w:rsid w:val="549B6CC9"/>
    <w:rsid w:val="54AB2D04"/>
    <w:rsid w:val="54E61650"/>
    <w:rsid w:val="550C37A2"/>
    <w:rsid w:val="55146247"/>
    <w:rsid w:val="55472A2C"/>
    <w:rsid w:val="55DF266A"/>
    <w:rsid w:val="57284198"/>
    <w:rsid w:val="574C432A"/>
    <w:rsid w:val="574D00A2"/>
    <w:rsid w:val="58266D31"/>
    <w:rsid w:val="58815446"/>
    <w:rsid w:val="5898359F"/>
    <w:rsid w:val="589A2E73"/>
    <w:rsid w:val="58DF4D2A"/>
    <w:rsid w:val="593B3DC2"/>
    <w:rsid w:val="5A0C1B4F"/>
    <w:rsid w:val="5A2C733B"/>
    <w:rsid w:val="5A513A05"/>
    <w:rsid w:val="5A9D30EE"/>
    <w:rsid w:val="5ABF76F5"/>
    <w:rsid w:val="5AEB641A"/>
    <w:rsid w:val="5AF310DD"/>
    <w:rsid w:val="5AF93CE8"/>
    <w:rsid w:val="5B0352CA"/>
    <w:rsid w:val="5B296730"/>
    <w:rsid w:val="5B3A5A6F"/>
    <w:rsid w:val="5B4D68C3"/>
    <w:rsid w:val="5BAF4E87"/>
    <w:rsid w:val="5BC70423"/>
    <w:rsid w:val="5BED775E"/>
    <w:rsid w:val="5C245875"/>
    <w:rsid w:val="5C2A2760"/>
    <w:rsid w:val="5C556587"/>
    <w:rsid w:val="5C6A0E18"/>
    <w:rsid w:val="5C6B2A87"/>
    <w:rsid w:val="5C912102"/>
    <w:rsid w:val="5D1551BE"/>
    <w:rsid w:val="5D46181B"/>
    <w:rsid w:val="5D486E09"/>
    <w:rsid w:val="5D8229FE"/>
    <w:rsid w:val="5D846E42"/>
    <w:rsid w:val="5D977AE5"/>
    <w:rsid w:val="5DA70B6E"/>
    <w:rsid w:val="5DE51034"/>
    <w:rsid w:val="5E08795B"/>
    <w:rsid w:val="5E1C64BE"/>
    <w:rsid w:val="5E380637"/>
    <w:rsid w:val="5E3E6996"/>
    <w:rsid w:val="5E631F59"/>
    <w:rsid w:val="5E677C9B"/>
    <w:rsid w:val="5EC724E8"/>
    <w:rsid w:val="5F0674B4"/>
    <w:rsid w:val="5F17609E"/>
    <w:rsid w:val="5F8E1DF7"/>
    <w:rsid w:val="5F9C1BC7"/>
    <w:rsid w:val="5FC15189"/>
    <w:rsid w:val="5FF95ED7"/>
    <w:rsid w:val="60002155"/>
    <w:rsid w:val="60235E44"/>
    <w:rsid w:val="60433DF0"/>
    <w:rsid w:val="604E1113"/>
    <w:rsid w:val="60932FCA"/>
    <w:rsid w:val="60C96251"/>
    <w:rsid w:val="611B6B1B"/>
    <w:rsid w:val="611C2FBF"/>
    <w:rsid w:val="611F03B9"/>
    <w:rsid w:val="61603D40"/>
    <w:rsid w:val="617F70AA"/>
    <w:rsid w:val="619D083B"/>
    <w:rsid w:val="619D39D4"/>
    <w:rsid w:val="61BE5E24"/>
    <w:rsid w:val="61C62F2B"/>
    <w:rsid w:val="61CD250B"/>
    <w:rsid w:val="61F2202F"/>
    <w:rsid w:val="62015D11"/>
    <w:rsid w:val="620C1B9B"/>
    <w:rsid w:val="621912AD"/>
    <w:rsid w:val="623817EA"/>
    <w:rsid w:val="62682234"/>
    <w:rsid w:val="626D24DE"/>
    <w:rsid w:val="628156E7"/>
    <w:rsid w:val="62C0797A"/>
    <w:rsid w:val="62C1644E"/>
    <w:rsid w:val="62C82063"/>
    <w:rsid w:val="634051DF"/>
    <w:rsid w:val="63422A85"/>
    <w:rsid w:val="63536A40"/>
    <w:rsid w:val="63702D2D"/>
    <w:rsid w:val="63772CEB"/>
    <w:rsid w:val="63AE0354"/>
    <w:rsid w:val="63BC2FCD"/>
    <w:rsid w:val="64055F8C"/>
    <w:rsid w:val="642503DD"/>
    <w:rsid w:val="64322AF9"/>
    <w:rsid w:val="648570CD"/>
    <w:rsid w:val="6488096B"/>
    <w:rsid w:val="64AC0143"/>
    <w:rsid w:val="64E21E2A"/>
    <w:rsid w:val="64F90E95"/>
    <w:rsid w:val="653603C7"/>
    <w:rsid w:val="65717652"/>
    <w:rsid w:val="65827169"/>
    <w:rsid w:val="6626043C"/>
    <w:rsid w:val="66310F67"/>
    <w:rsid w:val="663F505A"/>
    <w:rsid w:val="664D7777"/>
    <w:rsid w:val="66E83943"/>
    <w:rsid w:val="66FC3FF5"/>
    <w:rsid w:val="67281F92"/>
    <w:rsid w:val="672E7424"/>
    <w:rsid w:val="673B1CC5"/>
    <w:rsid w:val="67713939"/>
    <w:rsid w:val="678B6DDA"/>
    <w:rsid w:val="67C27CF0"/>
    <w:rsid w:val="67DF4006"/>
    <w:rsid w:val="68472346"/>
    <w:rsid w:val="68DE002C"/>
    <w:rsid w:val="68F760C0"/>
    <w:rsid w:val="691D4401"/>
    <w:rsid w:val="6943123E"/>
    <w:rsid w:val="69503FE6"/>
    <w:rsid w:val="69603C65"/>
    <w:rsid w:val="69A82B2E"/>
    <w:rsid w:val="69C064B2"/>
    <w:rsid w:val="69E94057"/>
    <w:rsid w:val="69ED0698"/>
    <w:rsid w:val="6A0710AA"/>
    <w:rsid w:val="6A3A3CBA"/>
    <w:rsid w:val="6BA442DD"/>
    <w:rsid w:val="6BAA42A1"/>
    <w:rsid w:val="6C4531B8"/>
    <w:rsid w:val="6CCE0EE6"/>
    <w:rsid w:val="6CD556B0"/>
    <w:rsid w:val="6CFA1CDB"/>
    <w:rsid w:val="6D317DF2"/>
    <w:rsid w:val="6D4553EC"/>
    <w:rsid w:val="6D7B2E1B"/>
    <w:rsid w:val="6E096679"/>
    <w:rsid w:val="6E1F7C4B"/>
    <w:rsid w:val="6E414065"/>
    <w:rsid w:val="6E755ABD"/>
    <w:rsid w:val="6EC513AF"/>
    <w:rsid w:val="6EED7866"/>
    <w:rsid w:val="6EFD3909"/>
    <w:rsid w:val="6F6D038F"/>
    <w:rsid w:val="70553DF8"/>
    <w:rsid w:val="70CC0D1E"/>
    <w:rsid w:val="70F33611"/>
    <w:rsid w:val="710F1F61"/>
    <w:rsid w:val="71110948"/>
    <w:rsid w:val="711E432E"/>
    <w:rsid w:val="713752AB"/>
    <w:rsid w:val="713909C0"/>
    <w:rsid w:val="713C0B14"/>
    <w:rsid w:val="714A76D4"/>
    <w:rsid w:val="71752277"/>
    <w:rsid w:val="71A1198F"/>
    <w:rsid w:val="71D76A8E"/>
    <w:rsid w:val="71DF48F9"/>
    <w:rsid w:val="72165BE5"/>
    <w:rsid w:val="722A4E10"/>
    <w:rsid w:val="725D3437"/>
    <w:rsid w:val="727F33AE"/>
    <w:rsid w:val="729F57FE"/>
    <w:rsid w:val="72B83744"/>
    <w:rsid w:val="730F75B8"/>
    <w:rsid w:val="7319535E"/>
    <w:rsid w:val="733022EF"/>
    <w:rsid w:val="734939BC"/>
    <w:rsid w:val="735A59EF"/>
    <w:rsid w:val="735C2483"/>
    <w:rsid w:val="739764D5"/>
    <w:rsid w:val="73D16655"/>
    <w:rsid w:val="73D72D76"/>
    <w:rsid w:val="73E150D8"/>
    <w:rsid w:val="740A2C53"/>
    <w:rsid w:val="743D10E0"/>
    <w:rsid w:val="74681C20"/>
    <w:rsid w:val="747F58E7"/>
    <w:rsid w:val="74B03CF2"/>
    <w:rsid w:val="7521074C"/>
    <w:rsid w:val="75385A96"/>
    <w:rsid w:val="753F6E24"/>
    <w:rsid w:val="757F1917"/>
    <w:rsid w:val="75956A44"/>
    <w:rsid w:val="75971963"/>
    <w:rsid w:val="75BF7F65"/>
    <w:rsid w:val="75C630A2"/>
    <w:rsid w:val="75D80491"/>
    <w:rsid w:val="764B35A7"/>
    <w:rsid w:val="765E152C"/>
    <w:rsid w:val="76A35191"/>
    <w:rsid w:val="76AF7FDA"/>
    <w:rsid w:val="76D52CA1"/>
    <w:rsid w:val="773A5AF5"/>
    <w:rsid w:val="77A2038B"/>
    <w:rsid w:val="77A37566"/>
    <w:rsid w:val="78104AA8"/>
    <w:rsid w:val="782567A5"/>
    <w:rsid w:val="783F0EE9"/>
    <w:rsid w:val="786F0FDF"/>
    <w:rsid w:val="78B611AB"/>
    <w:rsid w:val="78E265DD"/>
    <w:rsid w:val="793670DA"/>
    <w:rsid w:val="797A042B"/>
    <w:rsid w:val="799A29A3"/>
    <w:rsid w:val="799C4845"/>
    <w:rsid w:val="79BD656A"/>
    <w:rsid w:val="79CE28E0"/>
    <w:rsid w:val="7A361837"/>
    <w:rsid w:val="7A680BCB"/>
    <w:rsid w:val="7A996FD7"/>
    <w:rsid w:val="7AE00762"/>
    <w:rsid w:val="7AEA6E41"/>
    <w:rsid w:val="7AEC7106"/>
    <w:rsid w:val="7AF46971"/>
    <w:rsid w:val="7B1228E5"/>
    <w:rsid w:val="7B96BE9A"/>
    <w:rsid w:val="7C0B7A60"/>
    <w:rsid w:val="7C4776F3"/>
    <w:rsid w:val="7CCB4DA1"/>
    <w:rsid w:val="7CD10CAA"/>
    <w:rsid w:val="7CDD52AC"/>
    <w:rsid w:val="7D641B1E"/>
    <w:rsid w:val="7D657644"/>
    <w:rsid w:val="7D7004C3"/>
    <w:rsid w:val="7D70077E"/>
    <w:rsid w:val="7D847ACA"/>
    <w:rsid w:val="7D9F4904"/>
    <w:rsid w:val="7DA273E4"/>
    <w:rsid w:val="7DE25FF2"/>
    <w:rsid w:val="7E2931B0"/>
    <w:rsid w:val="7E2D0162"/>
    <w:rsid w:val="7E3314F0"/>
    <w:rsid w:val="7E442357"/>
    <w:rsid w:val="7E6E42D6"/>
    <w:rsid w:val="7E745D91"/>
    <w:rsid w:val="7E8458A8"/>
    <w:rsid w:val="7E91638D"/>
    <w:rsid w:val="7EBED84D"/>
    <w:rsid w:val="7F0D5387"/>
    <w:rsid w:val="7F345520"/>
    <w:rsid w:val="7F5F07EF"/>
    <w:rsid w:val="7F721BA4"/>
    <w:rsid w:val="7FEC1957"/>
    <w:rsid w:val="7FEF20BA"/>
    <w:rsid w:val="F7A7AA34"/>
    <w:rsid w:val="FDF785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6">
    <w:name w:val="Normal (Web)"/>
    <w:basedOn w:val="1"/>
    <w:qFormat/>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7689</Words>
  <Characters>7910</Characters>
  <Lines>0</Lines>
  <Paragraphs>0</Paragraphs>
  <TotalTime>52</TotalTime>
  <ScaleCrop>false</ScaleCrop>
  <LinksUpToDate>false</LinksUpToDate>
  <CharactersWithSpaces>7911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2025-01-17T08:07:00Z</dcterms:created>
  <dc:creator>Lenovo</dc:creator>
  <cp:lastModifiedBy>用户</cp:lastModifiedBy>
  <dcterms:modified xsi:type="dcterms:W3CDTF">2025-08-20T07:13:33Z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eyJoZGlkIjoiMzEwODIwNDhiNmU0NTg0ZGVlZmY5ZjRlZTg2MGUxZDQifQ==</vt:lpwstr>
  </property>
  <property fmtid="{D5CDD505-2E9C-101B-9397-08002B2CF9AE}" pid="4" name="ICV">
    <vt:lpwstr>AE1598D37F1C414FA9A49B6904AD0B97_13</vt:lpwstr>
  </property>
</Properties>
</file>