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bookmarkStart w:id="20" w:name="_GoBack"/>
      <w:bookmarkEnd w:id="20"/>
    </w:p>
    <w:p>
      <w:pPr>
        <w:jc w:val="center"/>
        <w:rPr>
          <w:rFonts w:ascii="黑体" w:hAnsi="黑体" w:eastAsia="黑体" w:cs="Times New Roman"/>
          <w:sz w:val="44"/>
          <w:szCs w:val="44"/>
        </w:rPr>
      </w:pPr>
      <w:bookmarkStart w:id="0" w:name="_Toc4900"/>
      <w:bookmarkStart w:id="1" w:name="_Toc21423"/>
    </w:p>
    <w:p>
      <w:pPr>
        <w:jc w:val="center"/>
        <w:rPr>
          <w:rFonts w:ascii="黑体" w:hAnsi="黑体" w:eastAsia="黑体" w:cs="Times New Roman"/>
          <w:sz w:val="44"/>
          <w:szCs w:val="44"/>
        </w:rPr>
      </w:pPr>
      <w:r>
        <w:rPr>
          <w:rFonts w:hint="eastAsia" w:ascii="黑体" w:hAnsi="黑体" w:eastAsia="黑体" w:cs="Times New Roman"/>
          <w:sz w:val="44"/>
          <w:szCs w:val="44"/>
        </w:rPr>
        <w:t>桐庐县建筑领域（不含居民生活）</w:t>
      </w:r>
    </w:p>
    <w:p>
      <w:pPr>
        <w:jc w:val="center"/>
        <w:rPr>
          <w:rFonts w:ascii="黑体" w:hAnsi="黑体" w:eastAsia="黑体" w:cs="Times New Roman"/>
          <w:sz w:val="44"/>
          <w:szCs w:val="44"/>
        </w:rPr>
      </w:pPr>
      <w:r>
        <w:rPr>
          <w:rFonts w:hint="eastAsia" w:ascii="黑体" w:hAnsi="黑体" w:eastAsia="黑体" w:cs="Times New Roman"/>
          <w:sz w:val="44"/>
          <w:szCs w:val="44"/>
        </w:rPr>
        <w:t>碳达峰专项行动方案</w:t>
      </w:r>
    </w:p>
    <w:p>
      <w:pPr>
        <w:jc w:val="center"/>
        <w:rPr>
          <w:rFonts w:ascii="黑体" w:hAnsi="黑体" w:eastAsia="黑体" w:cs="Times New Roman"/>
          <w:sz w:val="44"/>
          <w:szCs w:val="44"/>
        </w:rPr>
      </w:pPr>
    </w:p>
    <w:bookmarkEnd w:id="0"/>
    <w:bookmarkEnd w:id="1"/>
    <w:p>
      <w:pPr>
        <w:pStyle w:val="2"/>
        <w:ind w:firstLine="880"/>
        <w:rPr>
          <w:rFonts w:ascii="黑体" w:hAnsi="黑体" w:eastAsia="黑体"/>
          <w:sz w:val="44"/>
          <w:szCs w:val="44"/>
        </w:rPr>
      </w:pPr>
    </w:p>
    <w:p>
      <w:pPr>
        <w:pStyle w:val="2"/>
        <w:ind w:firstLine="880"/>
        <w:rPr>
          <w:rFonts w:ascii="黑体" w:hAnsi="黑体" w:eastAsia="黑体"/>
          <w:sz w:val="44"/>
          <w:szCs w:val="44"/>
        </w:rPr>
      </w:pPr>
    </w:p>
    <w:p>
      <w:pPr>
        <w:pStyle w:val="2"/>
        <w:ind w:firstLine="880"/>
        <w:rPr>
          <w:rFonts w:ascii="黑体" w:hAnsi="黑体" w:eastAsia="黑体"/>
          <w:sz w:val="44"/>
          <w:szCs w:val="44"/>
        </w:rPr>
      </w:pPr>
    </w:p>
    <w:p>
      <w:pPr>
        <w:pStyle w:val="2"/>
        <w:ind w:firstLine="880"/>
        <w:rPr>
          <w:rFonts w:ascii="黑体" w:hAnsi="黑体" w:eastAsia="黑体"/>
          <w:sz w:val="44"/>
          <w:szCs w:val="44"/>
        </w:rPr>
      </w:pPr>
    </w:p>
    <w:p>
      <w:pPr>
        <w:pStyle w:val="2"/>
        <w:ind w:firstLine="880"/>
        <w:rPr>
          <w:rFonts w:ascii="黑体" w:hAnsi="黑体" w:eastAsia="黑体"/>
          <w:sz w:val="44"/>
          <w:szCs w:val="44"/>
        </w:rPr>
      </w:pPr>
    </w:p>
    <w:p>
      <w:pPr>
        <w:pStyle w:val="2"/>
        <w:ind w:firstLine="880"/>
        <w:rPr>
          <w:rFonts w:ascii="黑体" w:hAnsi="黑体" w:eastAsia="黑体"/>
          <w:sz w:val="44"/>
          <w:szCs w:val="44"/>
        </w:rPr>
      </w:pPr>
    </w:p>
    <w:p>
      <w:pPr>
        <w:pStyle w:val="2"/>
        <w:ind w:firstLine="880"/>
        <w:rPr>
          <w:rFonts w:ascii="黑体" w:hAnsi="黑体" w:eastAsia="黑体"/>
          <w:sz w:val="44"/>
          <w:szCs w:val="44"/>
        </w:rPr>
      </w:pPr>
    </w:p>
    <w:p>
      <w:pPr>
        <w:pStyle w:val="2"/>
        <w:ind w:firstLine="880"/>
        <w:rPr>
          <w:rFonts w:ascii="黑体" w:hAnsi="黑体" w:eastAsia="黑体"/>
          <w:sz w:val="44"/>
          <w:szCs w:val="44"/>
        </w:rPr>
      </w:pPr>
    </w:p>
    <w:p>
      <w:pPr>
        <w:pStyle w:val="2"/>
        <w:ind w:firstLine="880"/>
        <w:rPr>
          <w:rFonts w:ascii="黑体" w:hAnsi="黑体" w:eastAsia="黑体"/>
          <w:sz w:val="44"/>
          <w:szCs w:val="44"/>
        </w:rPr>
      </w:pPr>
    </w:p>
    <w:p>
      <w:pPr>
        <w:pStyle w:val="2"/>
        <w:ind w:firstLine="880"/>
        <w:rPr>
          <w:rFonts w:ascii="黑体" w:hAnsi="黑体" w:eastAsia="黑体"/>
          <w:sz w:val="44"/>
          <w:szCs w:val="44"/>
        </w:rPr>
      </w:pPr>
    </w:p>
    <w:p>
      <w:pPr>
        <w:pStyle w:val="2"/>
        <w:ind w:firstLine="880"/>
        <w:rPr>
          <w:rFonts w:ascii="黑体" w:hAnsi="黑体" w:eastAsia="黑体"/>
          <w:sz w:val="44"/>
          <w:szCs w:val="44"/>
        </w:rPr>
      </w:pPr>
    </w:p>
    <w:p>
      <w:pPr>
        <w:pStyle w:val="2"/>
        <w:ind w:firstLine="880"/>
        <w:rPr>
          <w:rFonts w:ascii="黑体" w:hAnsi="黑体" w:eastAsia="黑体"/>
          <w:sz w:val="44"/>
          <w:szCs w:val="44"/>
        </w:rPr>
      </w:pPr>
    </w:p>
    <w:p>
      <w:pPr>
        <w:pStyle w:val="2"/>
        <w:ind w:firstLine="880"/>
        <w:rPr>
          <w:rFonts w:ascii="黑体" w:hAnsi="黑体" w:eastAsia="黑体"/>
          <w:sz w:val="44"/>
          <w:szCs w:val="44"/>
        </w:rPr>
      </w:pPr>
    </w:p>
    <w:p>
      <w:pPr>
        <w:pStyle w:val="2"/>
        <w:ind w:firstLine="880"/>
        <w:rPr>
          <w:rFonts w:ascii="黑体" w:hAnsi="黑体" w:eastAsia="黑体"/>
          <w:sz w:val="44"/>
          <w:szCs w:val="44"/>
        </w:rPr>
      </w:pPr>
    </w:p>
    <w:p>
      <w:pPr>
        <w:pStyle w:val="2"/>
        <w:ind w:firstLine="880"/>
        <w:rPr>
          <w:rFonts w:ascii="黑体" w:hAnsi="黑体" w:eastAsia="黑体"/>
          <w:sz w:val="44"/>
          <w:szCs w:val="44"/>
        </w:rPr>
      </w:pPr>
    </w:p>
    <w:p>
      <w:pPr>
        <w:jc w:val="center"/>
        <w:rPr>
          <w:rFonts w:ascii="黑体" w:hAnsi="黑体" w:eastAsia="黑体" w:cs="黑体"/>
          <w:sz w:val="36"/>
          <w:szCs w:val="36"/>
        </w:rPr>
      </w:pPr>
      <w:r>
        <w:rPr>
          <w:rFonts w:hint="eastAsia" w:ascii="黑体" w:hAnsi="黑体" w:eastAsia="黑体" w:cs="黑体"/>
          <w:sz w:val="36"/>
          <w:szCs w:val="36"/>
        </w:rPr>
        <w:t>二〇二二年四月</w:t>
      </w:r>
    </w:p>
    <w:p>
      <w:pPr>
        <w:pStyle w:val="2"/>
        <w:ind w:firstLine="880"/>
        <w:rPr>
          <w:rFonts w:ascii="黑体" w:hAnsi="黑体" w:eastAsia="黑体"/>
          <w:sz w:val="44"/>
          <w:szCs w:val="44"/>
        </w:rPr>
        <w:sectPr>
          <w:pgSz w:w="11906" w:h="16838"/>
          <w:pgMar w:top="1440" w:right="1800" w:bottom="1440" w:left="1800" w:header="851" w:footer="992" w:gutter="0"/>
          <w:cols w:space="425" w:num="1"/>
          <w:docGrid w:type="lines" w:linePitch="312" w:charSpace="0"/>
        </w:sectPr>
      </w:pPr>
    </w:p>
    <w:p>
      <w:pPr>
        <w:jc w:val="center"/>
        <w:rPr>
          <w:rFonts w:ascii="黑体" w:hAnsi="黑体" w:eastAsia="黑体" w:cs="黑体"/>
          <w:sz w:val="36"/>
          <w:szCs w:val="36"/>
        </w:rPr>
      </w:pPr>
      <w:r>
        <w:rPr>
          <w:rFonts w:hint="eastAsia" w:ascii="黑体" w:hAnsi="黑体" w:eastAsia="黑体" w:cs="黑体"/>
          <w:sz w:val="36"/>
          <w:szCs w:val="36"/>
        </w:rPr>
        <w:t>目 录</w:t>
      </w:r>
    </w:p>
    <w:p>
      <w:pPr>
        <w:pStyle w:val="2"/>
        <w:ind w:firstLine="720"/>
        <w:rPr>
          <w:rFonts w:ascii="黑体" w:hAnsi="黑体" w:eastAsia="黑体" w:cs="黑体"/>
          <w:sz w:val="36"/>
          <w:szCs w:val="36"/>
        </w:rPr>
      </w:pPr>
    </w:p>
    <w:p>
      <w:pPr>
        <w:pStyle w:val="6"/>
        <w:tabs>
          <w:tab w:val="right" w:leader="dot" w:pos="8306"/>
        </w:tabs>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TOC \o "1-2" \h \u </w:instrText>
      </w:r>
      <w:r>
        <w:rPr>
          <w:rFonts w:hint="eastAsia" w:ascii="黑体" w:hAnsi="黑体" w:eastAsia="黑体" w:cs="黑体"/>
          <w:sz w:val="28"/>
          <w:szCs w:val="28"/>
        </w:rPr>
        <w:fldChar w:fldCharType="separate"/>
      </w:r>
      <w:r>
        <w:fldChar w:fldCharType="begin"/>
      </w:r>
      <w:r>
        <w:instrText xml:space="preserve"> HYPERLINK \l "_Toc23754" </w:instrText>
      </w:r>
      <w:r>
        <w:fldChar w:fldCharType="separate"/>
      </w:r>
      <w:r>
        <w:rPr>
          <w:rFonts w:hint="eastAsia" w:ascii="黑体" w:hAnsi="黑体" w:eastAsia="黑体"/>
          <w:sz w:val="28"/>
          <w:szCs w:val="28"/>
        </w:rPr>
        <w:t>一</w:t>
      </w:r>
      <w:r>
        <w:rPr>
          <w:rFonts w:ascii="黑体" w:hAnsi="黑体" w:eastAsia="黑体"/>
          <w:sz w:val="28"/>
          <w:szCs w:val="28"/>
        </w:rPr>
        <w:t>、总体要求</w:t>
      </w:r>
      <w:r>
        <w:rPr>
          <w:sz w:val="28"/>
          <w:szCs w:val="28"/>
        </w:rPr>
        <w:tab/>
      </w:r>
      <w:r>
        <w:rPr>
          <w:sz w:val="28"/>
          <w:szCs w:val="28"/>
        </w:rPr>
        <w:fldChar w:fldCharType="begin"/>
      </w:r>
      <w:r>
        <w:rPr>
          <w:sz w:val="28"/>
          <w:szCs w:val="28"/>
        </w:rPr>
        <w:instrText xml:space="preserve"> PAGEREF _Toc23754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"_Toc23855" </w:instrText>
      </w:r>
      <w:r>
        <w:fldChar w:fldCharType="separate"/>
      </w:r>
      <w:r>
        <w:rPr>
          <w:rFonts w:hint="eastAsia" w:ascii="楷体_GB2312" w:hAnsi="黑体" w:eastAsia="楷体_GB2312"/>
          <w:sz w:val="28"/>
          <w:szCs w:val="28"/>
        </w:rPr>
        <w:t>（一）指导思想</w:t>
      </w:r>
      <w:r>
        <w:rPr>
          <w:sz w:val="28"/>
          <w:szCs w:val="28"/>
        </w:rPr>
        <w:tab/>
      </w:r>
      <w:r>
        <w:rPr>
          <w:sz w:val="28"/>
          <w:szCs w:val="28"/>
        </w:rPr>
        <w:fldChar w:fldCharType="begin"/>
      </w:r>
      <w:r>
        <w:rPr>
          <w:sz w:val="28"/>
          <w:szCs w:val="28"/>
        </w:rPr>
        <w:instrText xml:space="preserve"> PAGEREF _Toc23855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"_Toc25671" </w:instrText>
      </w:r>
      <w:r>
        <w:fldChar w:fldCharType="separate"/>
      </w:r>
      <w:r>
        <w:rPr>
          <w:rFonts w:hint="eastAsia" w:ascii="楷体_GB2312" w:hAnsi="黑体" w:eastAsia="楷体_GB2312"/>
          <w:sz w:val="28"/>
          <w:szCs w:val="28"/>
        </w:rPr>
        <w:t>（二）基本原则</w:t>
      </w:r>
      <w:r>
        <w:rPr>
          <w:sz w:val="28"/>
          <w:szCs w:val="28"/>
        </w:rPr>
        <w:tab/>
      </w:r>
      <w:r>
        <w:rPr>
          <w:sz w:val="28"/>
          <w:szCs w:val="28"/>
        </w:rPr>
        <w:fldChar w:fldCharType="begin"/>
      </w:r>
      <w:r>
        <w:rPr>
          <w:sz w:val="28"/>
          <w:szCs w:val="28"/>
        </w:rPr>
        <w:instrText xml:space="preserve"> PAGEREF _Toc25671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"_Toc661" </w:instrText>
      </w:r>
      <w:r>
        <w:fldChar w:fldCharType="separate"/>
      </w:r>
      <w:r>
        <w:rPr>
          <w:rFonts w:hint="eastAsia" w:ascii="楷体_GB2312" w:hAnsi="黑体" w:eastAsia="楷体_GB2312"/>
          <w:sz w:val="28"/>
          <w:szCs w:val="28"/>
        </w:rPr>
        <w:t>（三）发展目标</w:t>
      </w:r>
      <w:r>
        <w:rPr>
          <w:sz w:val="28"/>
          <w:szCs w:val="28"/>
        </w:rPr>
        <w:tab/>
      </w:r>
      <w:r>
        <w:rPr>
          <w:sz w:val="28"/>
          <w:szCs w:val="28"/>
        </w:rPr>
        <w:fldChar w:fldCharType="begin"/>
      </w:r>
      <w:r>
        <w:rPr>
          <w:sz w:val="28"/>
          <w:szCs w:val="28"/>
        </w:rPr>
        <w:instrText xml:space="preserve"> PAGEREF _Toc661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6"/>
        <w:tabs>
          <w:tab w:val="right" w:leader="dot" w:pos="8306"/>
        </w:tabs>
        <w:rPr>
          <w:sz w:val="28"/>
          <w:szCs w:val="28"/>
        </w:rPr>
      </w:pPr>
      <w:r>
        <w:fldChar w:fldCharType="begin"/>
      </w:r>
      <w:r>
        <w:instrText xml:space="preserve"> HYPERLINK \l "_Toc26518" </w:instrText>
      </w:r>
      <w:r>
        <w:fldChar w:fldCharType="separate"/>
      </w:r>
      <w:r>
        <w:rPr>
          <w:rFonts w:hint="eastAsia" w:ascii="黑体" w:hAnsi="黑体" w:eastAsia="黑体"/>
          <w:sz w:val="28"/>
          <w:szCs w:val="28"/>
        </w:rPr>
        <w:t>二、重点任务</w:t>
      </w:r>
      <w:r>
        <w:rPr>
          <w:sz w:val="28"/>
          <w:szCs w:val="28"/>
        </w:rPr>
        <w:tab/>
      </w:r>
      <w:r>
        <w:rPr>
          <w:sz w:val="28"/>
          <w:szCs w:val="28"/>
        </w:rPr>
        <w:fldChar w:fldCharType="begin"/>
      </w:r>
      <w:r>
        <w:rPr>
          <w:sz w:val="28"/>
          <w:szCs w:val="28"/>
        </w:rPr>
        <w:instrText xml:space="preserve"> PAGEREF _Toc26518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"_Toc10434" </w:instrText>
      </w:r>
      <w:r>
        <w:fldChar w:fldCharType="separate"/>
      </w:r>
      <w:r>
        <w:rPr>
          <w:rFonts w:hint="eastAsia" w:ascii="楷体_GB2312" w:hAnsi="黑体" w:eastAsia="楷体_GB2312"/>
          <w:sz w:val="28"/>
          <w:szCs w:val="28"/>
        </w:rPr>
        <w:t>（一）城乡建设绿色低碳转型行动</w:t>
      </w:r>
      <w:r>
        <w:rPr>
          <w:sz w:val="28"/>
          <w:szCs w:val="28"/>
        </w:rPr>
        <w:tab/>
      </w:r>
      <w:r>
        <w:rPr>
          <w:sz w:val="28"/>
          <w:szCs w:val="28"/>
        </w:rPr>
        <w:fldChar w:fldCharType="begin"/>
      </w:r>
      <w:r>
        <w:rPr>
          <w:sz w:val="28"/>
          <w:szCs w:val="28"/>
        </w:rPr>
        <w:instrText xml:space="preserve"> PAGEREF _Toc10434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"_Toc17635" </w:instrText>
      </w:r>
      <w:r>
        <w:fldChar w:fldCharType="separate"/>
      </w:r>
      <w:r>
        <w:rPr>
          <w:rFonts w:hint="eastAsia" w:ascii="楷体_GB2312" w:hAnsi="黑体" w:eastAsia="楷体_GB2312"/>
          <w:sz w:val="28"/>
          <w:szCs w:val="28"/>
        </w:rPr>
        <w:t>（二）建筑能效水平提升行动</w:t>
      </w:r>
      <w:r>
        <w:rPr>
          <w:sz w:val="28"/>
          <w:szCs w:val="28"/>
        </w:rPr>
        <w:tab/>
      </w:r>
      <w:r>
        <w:rPr>
          <w:sz w:val="28"/>
          <w:szCs w:val="28"/>
        </w:rPr>
        <w:fldChar w:fldCharType="begin"/>
      </w:r>
      <w:r>
        <w:rPr>
          <w:sz w:val="28"/>
          <w:szCs w:val="28"/>
        </w:rPr>
        <w:instrText xml:space="preserve"> PAGEREF _Toc17635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"_Toc257" </w:instrText>
      </w:r>
      <w:r>
        <w:fldChar w:fldCharType="separate"/>
      </w:r>
      <w:r>
        <w:rPr>
          <w:rFonts w:hint="eastAsia" w:ascii="楷体_GB2312" w:hAnsi="黑体" w:eastAsia="楷体_GB2312"/>
          <w:sz w:val="28"/>
          <w:szCs w:val="28"/>
        </w:rPr>
        <w:t>（三）建筑用能结构优化行动</w:t>
      </w:r>
      <w:r>
        <w:rPr>
          <w:sz w:val="28"/>
          <w:szCs w:val="28"/>
        </w:rPr>
        <w:tab/>
      </w:r>
      <w:r>
        <w:rPr>
          <w:sz w:val="28"/>
          <w:szCs w:val="28"/>
        </w:rPr>
        <w:fldChar w:fldCharType="begin"/>
      </w:r>
      <w:r>
        <w:rPr>
          <w:sz w:val="28"/>
          <w:szCs w:val="28"/>
        </w:rPr>
        <w:instrText xml:space="preserve"> PAGEREF _Toc257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"_Toc19669" </w:instrText>
      </w:r>
      <w:r>
        <w:fldChar w:fldCharType="separate"/>
      </w:r>
      <w:r>
        <w:rPr>
          <w:rFonts w:hint="eastAsia" w:ascii="楷体_GB2312" w:hAnsi="黑体" w:eastAsia="楷体_GB2312"/>
          <w:sz w:val="28"/>
          <w:szCs w:val="28"/>
        </w:rPr>
        <w:t>（四）农村建设和用能低碳转型行动</w:t>
      </w:r>
      <w:r>
        <w:rPr>
          <w:sz w:val="28"/>
          <w:szCs w:val="28"/>
        </w:rPr>
        <w:tab/>
      </w:r>
      <w:r>
        <w:rPr>
          <w:sz w:val="28"/>
          <w:szCs w:val="28"/>
        </w:rPr>
        <w:fldChar w:fldCharType="begin"/>
      </w:r>
      <w:r>
        <w:rPr>
          <w:sz w:val="28"/>
          <w:szCs w:val="28"/>
        </w:rPr>
        <w:instrText xml:space="preserve"> PAGEREF _Toc19669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"_Toc5054" </w:instrText>
      </w:r>
      <w:r>
        <w:fldChar w:fldCharType="separate"/>
      </w:r>
      <w:r>
        <w:rPr>
          <w:rFonts w:hint="eastAsia" w:ascii="楷体_GB2312" w:hAnsi="黑体" w:eastAsia="楷体_GB2312"/>
          <w:sz w:val="28"/>
          <w:szCs w:val="28"/>
        </w:rPr>
        <w:t>（五）绿色生活促进行动</w:t>
      </w:r>
      <w:r>
        <w:rPr>
          <w:sz w:val="28"/>
          <w:szCs w:val="28"/>
        </w:rPr>
        <w:tab/>
      </w:r>
      <w:r>
        <w:rPr>
          <w:sz w:val="28"/>
          <w:szCs w:val="28"/>
        </w:rPr>
        <w:fldChar w:fldCharType="begin"/>
      </w:r>
      <w:r>
        <w:rPr>
          <w:sz w:val="28"/>
          <w:szCs w:val="28"/>
        </w:rPr>
        <w:instrText xml:space="preserve"> PAGEREF _Toc5054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6"/>
        <w:tabs>
          <w:tab w:val="right" w:leader="dot" w:pos="8306"/>
        </w:tabs>
        <w:rPr>
          <w:sz w:val="28"/>
          <w:szCs w:val="28"/>
        </w:rPr>
      </w:pPr>
      <w:r>
        <w:fldChar w:fldCharType="begin"/>
      </w:r>
      <w:r>
        <w:instrText xml:space="preserve"> HYPERLINK \l "_Toc32514" </w:instrText>
      </w:r>
      <w:r>
        <w:fldChar w:fldCharType="separate"/>
      </w:r>
      <w:r>
        <w:rPr>
          <w:rFonts w:hint="eastAsia" w:ascii="黑体" w:hAnsi="黑体" w:eastAsia="黑体"/>
          <w:sz w:val="28"/>
          <w:szCs w:val="28"/>
        </w:rPr>
        <w:t>三、行动保障</w:t>
      </w:r>
      <w:r>
        <w:rPr>
          <w:sz w:val="28"/>
          <w:szCs w:val="28"/>
        </w:rPr>
        <w:tab/>
      </w:r>
      <w:r>
        <w:rPr>
          <w:sz w:val="28"/>
          <w:szCs w:val="28"/>
        </w:rPr>
        <w:fldChar w:fldCharType="begin"/>
      </w:r>
      <w:r>
        <w:rPr>
          <w:sz w:val="28"/>
          <w:szCs w:val="28"/>
        </w:rPr>
        <w:instrText xml:space="preserve"> PAGEREF _Toc32514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"_Toc32686" </w:instrText>
      </w:r>
      <w:r>
        <w:fldChar w:fldCharType="separate"/>
      </w:r>
      <w:r>
        <w:rPr>
          <w:rFonts w:hint="eastAsia" w:ascii="楷体_GB2312" w:hAnsi="黑体" w:eastAsia="楷体_GB2312"/>
          <w:sz w:val="28"/>
          <w:szCs w:val="28"/>
        </w:rPr>
        <w:t>（一）加强组织实施</w:t>
      </w:r>
      <w:r>
        <w:rPr>
          <w:sz w:val="28"/>
          <w:szCs w:val="28"/>
        </w:rPr>
        <w:tab/>
      </w:r>
      <w:r>
        <w:rPr>
          <w:sz w:val="28"/>
          <w:szCs w:val="28"/>
        </w:rPr>
        <w:fldChar w:fldCharType="begin"/>
      </w:r>
      <w:r>
        <w:rPr>
          <w:sz w:val="28"/>
          <w:szCs w:val="28"/>
        </w:rPr>
        <w:instrText xml:space="preserve"> PAGEREF _Toc32686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"_Toc28406" </w:instrText>
      </w:r>
      <w:r>
        <w:fldChar w:fldCharType="separate"/>
      </w:r>
      <w:r>
        <w:rPr>
          <w:rFonts w:hint="eastAsia" w:ascii="楷体_GB2312" w:hAnsi="黑体" w:eastAsia="楷体_GB2312"/>
          <w:sz w:val="28"/>
          <w:szCs w:val="28"/>
        </w:rPr>
        <w:t>（二）完善政策体系</w:t>
      </w:r>
      <w:r>
        <w:rPr>
          <w:sz w:val="28"/>
          <w:szCs w:val="28"/>
        </w:rPr>
        <w:tab/>
      </w:r>
      <w:r>
        <w:rPr>
          <w:sz w:val="28"/>
          <w:szCs w:val="28"/>
        </w:rPr>
        <w:fldChar w:fldCharType="begin"/>
      </w:r>
      <w:r>
        <w:rPr>
          <w:sz w:val="28"/>
          <w:szCs w:val="28"/>
        </w:rPr>
        <w:instrText xml:space="preserve"> PAGEREF _Toc28406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"_Toc25383" </w:instrText>
      </w:r>
      <w:r>
        <w:fldChar w:fldCharType="separate"/>
      </w:r>
      <w:r>
        <w:rPr>
          <w:rFonts w:hint="eastAsia" w:ascii="楷体_GB2312" w:hAnsi="黑体" w:eastAsia="楷体_GB2312"/>
          <w:sz w:val="28"/>
          <w:szCs w:val="28"/>
        </w:rPr>
        <w:t>（三）强化支撑保障</w:t>
      </w:r>
      <w:r>
        <w:rPr>
          <w:sz w:val="28"/>
          <w:szCs w:val="28"/>
        </w:rPr>
        <w:tab/>
      </w:r>
      <w:r>
        <w:rPr>
          <w:sz w:val="28"/>
          <w:szCs w:val="28"/>
        </w:rPr>
        <w:fldChar w:fldCharType="begin"/>
      </w:r>
      <w:r>
        <w:rPr>
          <w:sz w:val="28"/>
          <w:szCs w:val="28"/>
        </w:rPr>
        <w:instrText xml:space="preserve"> PAGEREF _Toc25383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tabs>
          <w:tab w:val="right" w:leader="dot" w:pos="8306"/>
        </w:tabs>
        <w:rPr>
          <w:sz w:val="28"/>
          <w:szCs w:val="28"/>
        </w:rPr>
      </w:pPr>
      <w:r>
        <w:fldChar w:fldCharType="begin"/>
      </w:r>
      <w:r>
        <w:instrText xml:space="preserve"> HYPERLINK \l "_Toc16040" </w:instrText>
      </w:r>
      <w:r>
        <w:fldChar w:fldCharType="separate"/>
      </w:r>
      <w:r>
        <w:rPr>
          <w:rFonts w:hint="eastAsia" w:ascii="楷体_GB2312" w:hAnsi="黑体" w:eastAsia="楷体_GB2312"/>
          <w:sz w:val="28"/>
          <w:szCs w:val="28"/>
        </w:rPr>
        <w:t>（四）营造良好氛围</w:t>
      </w:r>
      <w:r>
        <w:rPr>
          <w:sz w:val="28"/>
          <w:szCs w:val="28"/>
        </w:rPr>
        <w:tab/>
      </w:r>
      <w:r>
        <w:rPr>
          <w:sz w:val="28"/>
          <w:szCs w:val="28"/>
        </w:rPr>
        <w:fldChar w:fldCharType="begin"/>
      </w:r>
      <w:r>
        <w:rPr>
          <w:sz w:val="28"/>
          <w:szCs w:val="28"/>
        </w:rPr>
        <w:instrText xml:space="preserve"> PAGEREF _Toc16040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6"/>
        <w:tabs>
          <w:tab w:val="right" w:leader="dot" w:pos="8306"/>
        </w:tabs>
        <w:rPr>
          <w:sz w:val="28"/>
          <w:szCs w:val="28"/>
        </w:rPr>
      </w:pPr>
      <w:r>
        <w:fldChar w:fldCharType="begin"/>
      </w:r>
      <w:r>
        <w:instrText xml:space="preserve"> HYPERLINK \l "_Toc18779" </w:instrText>
      </w:r>
      <w:r>
        <w:fldChar w:fldCharType="separate"/>
      </w:r>
      <w:r>
        <w:rPr>
          <w:rFonts w:hint="eastAsia" w:ascii="黑体" w:hAnsi="黑体" w:eastAsia="黑体"/>
          <w:sz w:val="28"/>
          <w:szCs w:val="28"/>
        </w:rPr>
        <w:t>附件：桐庐县建筑领域（不含居民生活）碳排放现状与形势分析报告</w:t>
      </w:r>
      <w:r>
        <w:rPr>
          <w:sz w:val="28"/>
          <w:szCs w:val="28"/>
        </w:rPr>
        <w:tab/>
      </w:r>
      <w:r>
        <w:rPr>
          <w:sz w:val="28"/>
          <w:szCs w:val="28"/>
        </w:rPr>
        <w:fldChar w:fldCharType="begin"/>
      </w:r>
      <w:r>
        <w:rPr>
          <w:sz w:val="28"/>
          <w:szCs w:val="28"/>
        </w:rPr>
        <w:instrText xml:space="preserve"> PAGEREF _Toc18779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6"/>
        <w:tabs>
          <w:tab w:val="right" w:leader="dot" w:pos="8306"/>
        </w:tabs>
        <w:rPr>
          <w:sz w:val="28"/>
          <w:szCs w:val="28"/>
        </w:rPr>
      </w:pPr>
      <w:r>
        <w:fldChar w:fldCharType="begin"/>
      </w:r>
      <w:r>
        <w:instrText xml:space="preserve"> HYPERLINK \l "_Toc16714" </w:instrText>
      </w:r>
      <w:r>
        <w:fldChar w:fldCharType="separate"/>
      </w:r>
      <w:r>
        <w:rPr>
          <w:rFonts w:hint="eastAsia" w:ascii="黑体" w:hAnsi="黑体" w:eastAsia="黑体"/>
          <w:sz w:val="28"/>
          <w:szCs w:val="28"/>
        </w:rPr>
        <w:t>一、建筑领域碳排放变化与特征</w:t>
      </w:r>
      <w:r>
        <w:rPr>
          <w:sz w:val="28"/>
          <w:szCs w:val="28"/>
        </w:rPr>
        <w:tab/>
      </w:r>
      <w:r>
        <w:rPr>
          <w:sz w:val="28"/>
          <w:szCs w:val="28"/>
        </w:rPr>
        <w:fldChar w:fldCharType="begin"/>
      </w:r>
      <w:r>
        <w:rPr>
          <w:sz w:val="28"/>
          <w:szCs w:val="28"/>
        </w:rPr>
        <w:instrText xml:space="preserve"> PAGEREF _Toc16714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6"/>
        <w:tabs>
          <w:tab w:val="right" w:leader="dot" w:pos="8306"/>
        </w:tabs>
        <w:rPr>
          <w:sz w:val="28"/>
          <w:szCs w:val="28"/>
        </w:rPr>
      </w:pPr>
      <w:r>
        <w:fldChar w:fldCharType="begin"/>
      </w:r>
      <w:r>
        <w:instrText xml:space="preserve"> HYPERLINK \l "_Toc600" </w:instrText>
      </w:r>
      <w:r>
        <w:fldChar w:fldCharType="separate"/>
      </w:r>
      <w:r>
        <w:rPr>
          <w:rFonts w:hint="eastAsia" w:ascii="黑体" w:hAnsi="黑体" w:eastAsia="黑体"/>
          <w:sz w:val="28"/>
          <w:szCs w:val="28"/>
        </w:rPr>
        <w:t>二、建筑领域碳排放趋势与预测</w:t>
      </w:r>
      <w:r>
        <w:rPr>
          <w:sz w:val="28"/>
          <w:szCs w:val="28"/>
        </w:rPr>
        <w:tab/>
      </w:r>
      <w:r>
        <w:rPr>
          <w:sz w:val="28"/>
          <w:szCs w:val="28"/>
        </w:rPr>
        <w:fldChar w:fldCharType="begin"/>
      </w:r>
      <w:r>
        <w:rPr>
          <w:sz w:val="28"/>
          <w:szCs w:val="28"/>
        </w:rPr>
        <w:instrText xml:space="preserve"> PAGEREF _Toc600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
        <w:ind w:firstLine="560"/>
        <w:rPr>
          <w:rFonts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黑体" w:hAnsi="黑体" w:eastAsia="黑体" w:cs="黑体"/>
          <w:sz w:val="28"/>
          <w:szCs w:val="28"/>
        </w:rPr>
        <w:fldChar w:fldCharType="end"/>
      </w:r>
    </w:p>
    <w:p>
      <w:pPr>
        <w:rPr>
          <w:sz w:val="28"/>
          <w:szCs w:val="28"/>
        </w:rPr>
      </w:pPr>
    </w:p>
    <w:p>
      <w:pPr>
        <w:jc w:val="center"/>
        <w:rPr>
          <w:rFonts w:ascii="黑体" w:hAnsi="黑体" w:eastAsia="黑体"/>
          <w:sz w:val="36"/>
          <w:szCs w:val="28"/>
        </w:rPr>
      </w:pPr>
      <w:r>
        <w:rPr>
          <w:rFonts w:hint="eastAsia" w:ascii="黑体" w:hAnsi="黑体" w:eastAsia="黑体"/>
          <w:sz w:val="36"/>
          <w:szCs w:val="28"/>
        </w:rPr>
        <w:t>桐庐县建筑领域（不含居民生活）碳</w:t>
      </w:r>
    </w:p>
    <w:p>
      <w:pPr>
        <w:jc w:val="center"/>
        <w:rPr>
          <w:rFonts w:ascii="黑体" w:hAnsi="黑体" w:eastAsia="黑体"/>
          <w:sz w:val="36"/>
          <w:szCs w:val="28"/>
        </w:rPr>
      </w:pPr>
      <w:r>
        <w:rPr>
          <w:rFonts w:hint="eastAsia" w:ascii="黑体" w:hAnsi="黑体" w:eastAsia="黑体"/>
          <w:sz w:val="36"/>
          <w:szCs w:val="28"/>
        </w:rPr>
        <w:t>排放达峰专项行动方案</w:t>
      </w:r>
    </w:p>
    <w:p>
      <w:pPr>
        <w:rPr>
          <w:sz w:val="28"/>
          <w:szCs w:val="28"/>
        </w:rPr>
      </w:pPr>
    </w:p>
    <w:p>
      <w:pPr>
        <w:ind w:firstLine="640" w:firstLineChars="200"/>
        <w:outlineLvl w:val="0"/>
        <w:rPr>
          <w:rFonts w:ascii="黑体" w:hAnsi="黑体" w:eastAsia="黑体"/>
          <w:sz w:val="32"/>
          <w:szCs w:val="32"/>
        </w:rPr>
      </w:pPr>
      <w:bookmarkStart w:id="2" w:name="_Toc23754"/>
      <w:r>
        <w:rPr>
          <w:rFonts w:hint="eastAsia" w:ascii="黑体" w:hAnsi="黑体" w:eastAsia="黑体"/>
          <w:sz w:val="32"/>
          <w:szCs w:val="32"/>
        </w:rPr>
        <w:t>一</w:t>
      </w:r>
      <w:r>
        <w:rPr>
          <w:rFonts w:ascii="黑体" w:hAnsi="黑体" w:eastAsia="黑体"/>
          <w:sz w:val="32"/>
          <w:szCs w:val="32"/>
        </w:rPr>
        <w:t>、总体要求</w:t>
      </w:r>
      <w:bookmarkEnd w:id="2"/>
    </w:p>
    <w:p>
      <w:pPr>
        <w:ind w:firstLine="640" w:firstLineChars="200"/>
        <w:outlineLvl w:val="1"/>
        <w:rPr>
          <w:rFonts w:ascii="黑体" w:hAnsi="黑体" w:eastAsia="黑体"/>
          <w:sz w:val="32"/>
          <w:szCs w:val="32"/>
        </w:rPr>
      </w:pPr>
      <w:bookmarkStart w:id="3" w:name="_Toc23855"/>
      <w:r>
        <w:rPr>
          <w:rFonts w:hint="eastAsia" w:ascii="楷体_GB2312" w:hAnsi="黑体" w:eastAsia="楷体_GB2312"/>
          <w:sz w:val="32"/>
          <w:szCs w:val="32"/>
        </w:rPr>
        <w:t>（一）指导思想</w:t>
      </w:r>
      <w:bookmarkEnd w:id="3"/>
    </w:p>
    <w:p>
      <w:pPr>
        <w:ind w:firstLine="640" w:firstLineChars="200"/>
        <w:rPr>
          <w:rFonts w:ascii="仿宋_GB2312" w:hAnsi="黑体" w:eastAsia="仿宋_GB2312"/>
          <w:sz w:val="32"/>
          <w:szCs w:val="32"/>
        </w:rPr>
      </w:pPr>
      <w:r>
        <w:rPr>
          <w:rFonts w:hint="eastAsia" w:ascii="仿宋_GB2312" w:hAnsi="黑体" w:eastAsia="仿宋_GB2312"/>
          <w:sz w:val="32"/>
          <w:szCs w:val="32"/>
        </w:rPr>
        <w:t>以习近平新时代中国特色社会主义思想为指导，全面贯彻党的十九大和十九届二中、三中、四中、五中全会精神，深入贯彻习近平生态文明思想，立足新发展阶段，贯彻新发展理念，构建新发展格局，坚持系统观念，处理好发展和减排、整体和局部、短期和中长期的关系，把碳达峰、碳中和纳入经济社会发展全局，将绿色低碳理念贯穿到建筑领域规划、设计、施工、验收等全领域全环节，以优化建筑能源供需结构为路径，牢牢抓住</w:t>
      </w:r>
      <w:r>
        <w:rPr>
          <w:rFonts w:hint="eastAsia" w:ascii="仿宋_GB2312" w:hAnsi="仿宋" w:eastAsia="仿宋_GB2312"/>
          <w:sz w:val="32"/>
          <w:szCs w:val="32"/>
        </w:rPr>
        <w:t>建筑设计节能率关键变量，加快转变城乡建设方式，聚焦城乡建设绿色低碳转型、提升建筑能效水平、优化建筑用能结构、农村建设和用能低碳转型、绿色生活促进“五大领域”，落实完善标准体系，强化技术创新，推动建筑领域发展建立在资源高效利用和绿色低碳发展的基础之上，为全县如期实现碳达峰贡献力量。</w:t>
      </w:r>
    </w:p>
    <w:p>
      <w:pPr>
        <w:ind w:firstLine="640" w:firstLineChars="200"/>
        <w:outlineLvl w:val="1"/>
        <w:rPr>
          <w:rFonts w:ascii="黑体" w:hAnsi="黑体" w:eastAsia="黑体"/>
          <w:sz w:val="32"/>
          <w:szCs w:val="32"/>
        </w:rPr>
      </w:pPr>
      <w:bookmarkStart w:id="4" w:name="_Toc25671"/>
      <w:r>
        <w:rPr>
          <w:rFonts w:hint="eastAsia" w:ascii="楷体_GB2312" w:hAnsi="黑体" w:eastAsia="楷体_GB2312"/>
          <w:sz w:val="32"/>
          <w:szCs w:val="32"/>
        </w:rPr>
        <w:t>（二）基本原则</w:t>
      </w:r>
      <w:bookmarkEnd w:id="4"/>
    </w:p>
    <w:p>
      <w:pPr>
        <w:ind w:firstLine="640" w:firstLineChars="200"/>
        <w:rPr>
          <w:rFonts w:ascii="仿宋_GB2312" w:hAnsi="黑体" w:eastAsia="仿宋_GB2312"/>
          <w:sz w:val="32"/>
          <w:szCs w:val="32"/>
        </w:rPr>
      </w:pPr>
      <w:r>
        <w:rPr>
          <w:rFonts w:hint="eastAsia" w:ascii="仿宋_GB2312" w:hAnsi="黑体" w:eastAsia="仿宋_GB2312"/>
          <w:sz w:val="32"/>
          <w:szCs w:val="32"/>
        </w:rPr>
        <w:t>1.科学规范。坚持以绿色低碳发展为导向，科学分析碳排放历史变化及发展趋势，确保建筑领域二氧化碳排放分析边界明晰、数据统一、方法规范，科学确定二氧化碳排放达峰行动的目标、时间表、路线图。</w:t>
      </w:r>
    </w:p>
    <w:p>
      <w:pPr>
        <w:ind w:firstLine="640" w:firstLineChars="200"/>
        <w:rPr>
          <w:rFonts w:ascii="仿宋_GB2312" w:hAnsi="黑体" w:eastAsia="仿宋_GB2312"/>
          <w:sz w:val="32"/>
          <w:szCs w:val="32"/>
        </w:rPr>
      </w:pPr>
      <w:r>
        <w:rPr>
          <w:rFonts w:hint="eastAsia" w:ascii="仿宋_GB2312" w:hAnsi="黑体" w:eastAsia="仿宋_GB2312"/>
          <w:sz w:val="32"/>
          <w:szCs w:val="32"/>
        </w:rPr>
        <w:t>2.因地制宜。充分分析建筑领域及各子领域二氧化碳排放达峰基本特征，根据全县经济社会发展状况和气候地理条件，提出分类指导的适应方案，选择的达峰路径及重点任务清晰精准，提出的政策行动和保障措施切实可行。</w:t>
      </w:r>
    </w:p>
    <w:p>
      <w:pPr>
        <w:ind w:firstLine="640" w:firstLineChars="200"/>
        <w:rPr>
          <w:rFonts w:ascii="仿宋_GB2312" w:hAnsi="黑体" w:eastAsia="仿宋_GB2312"/>
          <w:sz w:val="32"/>
          <w:szCs w:val="32"/>
        </w:rPr>
      </w:pPr>
      <w:r>
        <w:rPr>
          <w:rFonts w:hint="eastAsia" w:ascii="仿宋_GB2312" w:hAnsi="黑体" w:eastAsia="仿宋_GB2312"/>
          <w:sz w:val="32"/>
          <w:szCs w:val="32"/>
        </w:rPr>
        <w:t>3.以人为本。树立绿色、和谐、可持续的发展理念,以满足人民群众对美好生活的向往为出发点,处理好发展和减排、未来和现在、整体和局部的关系，实现建筑碳达峰与人居环境改善互促互进。</w:t>
      </w:r>
    </w:p>
    <w:p>
      <w:pPr>
        <w:ind w:firstLine="640" w:firstLineChars="200"/>
        <w:rPr>
          <w:rFonts w:ascii="仿宋_GB2312" w:hAnsi="黑体" w:eastAsia="仿宋_GB2312"/>
          <w:sz w:val="32"/>
          <w:szCs w:val="32"/>
        </w:rPr>
      </w:pPr>
      <w:r>
        <w:rPr>
          <w:rFonts w:hint="eastAsia" w:ascii="仿宋_GB2312" w:hAnsi="黑体" w:eastAsia="仿宋_GB2312"/>
          <w:sz w:val="32"/>
          <w:szCs w:val="32"/>
        </w:rPr>
        <w:t>4.广泛参与。建立全社会节能减排生活共识，积极主</w:t>
      </w:r>
    </w:p>
    <w:p>
      <w:pPr>
        <w:ind w:firstLine="640" w:firstLineChars="200"/>
        <w:rPr>
          <w:rFonts w:ascii="仿宋_GB2312" w:hAnsi="黑体" w:eastAsia="仿宋_GB2312"/>
          <w:sz w:val="32"/>
          <w:szCs w:val="32"/>
        </w:rPr>
      </w:pPr>
      <w:r>
        <w:rPr>
          <w:rFonts w:hint="eastAsia" w:ascii="仿宋_GB2312" w:hAnsi="黑体" w:eastAsia="仿宋_GB2312"/>
          <w:sz w:val="32"/>
          <w:szCs w:val="32"/>
        </w:rPr>
        <w:t>动参与达峰行动，加强碳排放工作能力建设，倡导低碳生活新理念，以绿色低碳为纽带吸引和凝聚各方力量支持建筑碳达峰、碳中和事业。</w:t>
      </w:r>
    </w:p>
    <w:p>
      <w:pPr>
        <w:ind w:firstLine="640" w:firstLineChars="200"/>
        <w:outlineLvl w:val="1"/>
        <w:rPr>
          <w:rFonts w:ascii="黑体" w:hAnsi="黑体" w:eastAsia="黑体"/>
          <w:sz w:val="32"/>
          <w:szCs w:val="32"/>
        </w:rPr>
      </w:pPr>
      <w:bookmarkStart w:id="5" w:name="_Toc661"/>
      <w:r>
        <w:rPr>
          <w:rFonts w:hint="eastAsia" w:ascii="楷体_GB2312" w:hAnsi="黑体" w:eastAsia="楷体_GB2312"/>
          <w:sz w:val="32"/>
          <w:szCs w:val="32"/>
        </w:rPr>
        <w:t>（三）发展目标</w:t>
      </w:r>
      <w:bookmarkEnd w:id="5"/>
    </w:p>
    <w:p>
      <w:pPr>
        <w:ind w:firstLine="640" w:firstLineChars="200"/>
        <w:rPr>
          <w:rFonts w:ascii="仿宋_GB2312" w:hAnsi="黑体" w:eastAsia="仿宋_GB2312"/>
          <w:sz w:val="32"/>
          <w:szCs w:val="32"/>
        </w:rPr>
      </w:pPr>
      <w:r>
        <w:rPr>
          <w:rFonts w:hint="eastAsia" w:ascii="仿宋_GB2312" w:hAnsi="黑体" w:eastAsia="仿宋_GB2312"/>
          <w:sz w:val="32"/>
          <w:szCs w:val="32"/>
        </w:rPr>
        <w:t>总体目标：到2025年，建筑领域绿色发展体制机制和政策体系基本建立，建设方式绿色转型成效显著，碳减排扎实推进，城市整体性、系统性、生长性增强，建筑领域综合治理能力显著提高，绿色生活方式普遍推广。建筑领域单位增加值能源消耗比2020年下降13.5%，单位增加值二氧化碳排放比2020年下降18%。</w:t>
      </w:r>
    </w:p>
    <w:p>
      <w:pPr>
        <w:ind w:firstLine="643" w:firstLineChars="200"/>
        <w:rPr>
          <w:rFonts w:ascii="仿宋_GB2312" w:hAnsi="黑体" w:eastAsia="仿宋_GB2312"/>
          <w:sz w:val="32"/>
          <w:szCs w:val="32"/>
        </w:rPr>
      </w:pPr>
      <w:r>
        <w:rPr>
          <w:rFonts w:hint="eastAsia" w:ascii="仿宋_GB2312" w:hAnsi="黑体" w:eastAsia="仿宋_GB2312"/>
          <w:b/>
          <w:sz w:val="32"/>
          <w:szCs w:val="32"/>
        </w:rPr>
        <w:t>城乡建设绿色低碳转型全面推进</w:t>
      </w:r>
      <w:r>
        <w:rPr>
          <w:rFonts w:hint="eastAsia" w:ascii="仿宋_GB2312" w:hAnsi="黑体" w:eastAsia="仿宋_GB2312"/>
          <w:sz w:val="32"/>
          <w:szCs w:val="32"/>
        </w:rPr>
        <w:t>。争创绿色县城试点，创建1个省级及以上绿色生态城区，实现绿色城镇建设全覆盖，建设一批绿色社区。到2025年，城镇新建建筑中装配式建筑比例达到 35%，完成10个省级绿色施工示范工程。</w:t>
      </w:r>
    </w:p>
    <w:p>
      <w:pPr>
        <w:ind w:firstLine="643" w:firstLineChars="200"/>
        <w:rPr>
          <w:rFonts w:ascii="仿宋_GB2312" w:hAnsi="黑体" w:eastAsia="仿宋_GB2312"/>
          <w:sz w:val="32"/>
          <w:szCs w:val="32"/>
        </w:rPr>
      </w:pPr>
      <w:r>
        <w:rPr>
          <w:rFonts w:hint="eastAsia" w:ascii="仿宋_GB2312" w:hAnsi="黑体" w:eastAsia="仿宋_GB2312"/>
          <w:b/>
          <w:sz w:val="32"/>
          <w:szCs w:val="32"/>
        </w:rPr>
        <w:t>建筑能效水平大幅提升</w:t>
      </w:r>
      <w:r>
        <w:rPr>
          <w:rFonts w:hint="eastAsia" w:ascii="仿宋_GB2312" w:hAnsi="黑体" w:eastAsia="仿宋_GB2312"/>
          <w:sz w:val="32"/>
          <w:szCs w:val="32"/>
        </w:rPr>
        <w:t>。到2025年，完成高星级绿色建筑认证项目2个，超低能耗建筑认证面积4万平方米，（近）零能耗建筑认证项目1个；完成20万平方米既有公共建筑节能改造，完成2万平方米既有居住建筑节能改造，新建建筑面积节能率达到75%。</w:t>
      </w:r>
    </w:p>
    <w:p>
      <w:pPr>
        <w:ind w:firstLine="643" w:firstLineChars="200"/>
        <w:rPr>
          <w:rFonts w:ascii="仿宋_GB2312" w:hAnsi="黑体" w:eastAsia="仿宋_GB2312"/>
          <w:sz w:val="32"/>
          <w:szCs w:val="32"/>
        </w:rPr>
      </w:pPr>
      <w:r>
        <w:rPr>
          <w:rFonts w:hint="eastAsia" w:ascii="仿宋_GB2312" w:hAnsi="黑体" w:eastAsia="仿宋_GB2312"/>
          <w:b/>
          <w:sz w:val="32"/>
          <w:szCs w:val="32"/>
        </w:rPr>
        <w:t>建筑用能结构加快优化</w:t>
      </w:r>
      <w:r>
        <w:rPr>
          <w:rFonts w:hint="eastAsia" w:ascii="仿宋_GB2312" w:hAnsi="黑体" w:eastAsia="仿宋_GB2312"/>
          <w:sz w:val="32"/>
          <w:szCs w:val="32"/>
        </w:rPr>
        <w:t>。到2025年，完成民用建筑可再生能源应用建筑面积（可再生能源利用率大于12%）9万平方米,城镇建筑可再生能源替代率达到8%；完成民用建筑太阳能光伏装机容量2万Kw，新建公共机构建筑、新建厂房屋顶光伏覆盖率力争达到50%。争取整县推进分布式光伏试点。</w:t>
      </w:r>
    </w:p>
    <w:p>
      <w:pPr>
        <w:ind w:firstLine="643" w:firstLineChars="200"/>
        <w:rPr>
          <w:rFonts w:ascii="仿宋_GB2312" w:hAnsi="黑体" w:eastAsia="仿宋_GB2312"/>
          <w:sz w:val="32"/>
          <w:szCs w:val="32"/>
        </w:rPr>
      </w:pPr>
      <w:r>
        <w:rPr>
          <w:rFonts w:hint="eastAsia" w:ascii="仿宋_GB2312" w:hAnsi="黑体" w:eastAsia="仿宋_GB2312"/>
          <w:b/>
          <w:sz w:val="32"/>
          <w:szCs w:val="32"/>
        </w:rPr>
        <w:t>农村建设和用能低碳转型有序推进</w:t>
      </w:r>
      <w:r>
        <w:rPr>
          <w:rFonts w:hint="eastAsia" w:ascii="仿宋_GB2312" w:hAnsi="黑体" w:eastAsia="仿宋_GB2312"/>
          <w:sz w:val="32"/>
          <w:szCs w:val="32"/>
        </w:rPr>
        <w:t>。到2025 年，城乡居民天然气气化率达到 40%以上。</w:t>
      </w:r>
    </w:p>
    <w:p>
      <w:pPr>
        <w:ind w:firstLine="640" w:firstLineChars="200"/>
        <w:outlineLvl w:val="0"/>
        <w:rPr>
          <w:rFonts w:ascii="黑体" w:hAnsi="黑体" w:eastAsia="黑体"/>
          <w:sz w:val="32"/>
          <w:szCs w:val="32"/>
        </w:rPr>
      </w:pPr>
      <w:bookmarkStart w:id="6" w:name="_Toc26518"/>
      <w:r>
        <w:rPr>
          <w:rFonts w:hint="eastAsia" w:ascii="黑体" w:hAnsi="黑体" w:eastAsia="黑体"/>
          <w:sz w:val="32"/>
          <w:szCs w:val="32"/>
        </w:rPr>
        <w:t>二、重点任务</w:t>
      </w:r>
      <w:bookmarkEnd w:id="6"/>
    </w:p>
    <w:p>
      <w:pPr>
        <w:ind w:firstLine="640" w:firstLineChars="200"/>
        <w:outlineLvl w:val="1"/>
        <w:rPr>
          <w:rFonts w:ascii="黑体" w:hAnsi="黑体" w:eastAsia="黑体"/>
          <w:sz w:val="32"/>
          <w:szCs w:val="32"/>
        </w:rPr>
      </w:pPr>
      <w:bookmarkStart w:id="7" w:name="_Toc10434"/>
      <w:r>
        <w:rPr>
          <w:rFonts w:hint="eastAsia" w:ascii="楷体_GB2312" w:hAnsi="黑体" w:eastAsia="楷体_GB2312"/>
          <w:sz w:val="32"/>
          <w:szCs w:val="32"/>
        </w:rPr>
        <w:t>（一）城乡建设绿色低碳转型行动</w:t>
      </w:r>
      <w:bookmarkEnd w:id="7"/>
    </w:p>
    <w:p>
      <w:pPr>
        <w:ind w:firstLine="643" w:firstLineChars="200"/>
        <w:rPr>
          <w:rFonts w:ascii="仿宋_GB2312" w:hAnsi="黑体" w:eastAsia="仿宋_GB2312"/>
          <w:sz w:val="32"/>
          <w:szCs w:val="32"/>
        </w:rPr>
      </w:pPr>
      <w:r>
        <w:rPr>
          <w:rFonts w:hint="eastAsia" w:ascii="仿宋_GB2312" w:hAnsi="黑体" w:eastAsia="仿宋_GB2312"/>
          <w:b/>
          <w:sz w:val="32"/>
          <w:szCs w:val="32"/>
        </w:rPr>
        <w:t>1.争创绿色低碳县城</w:t>
      </w:r>
      <w:r>
        <w:rPr>
          <w:rFonts w:hint="eastAsia" w:ascii="仿宋_GB2312" w:hAnsi="黑体" w:eastAsia="仿宋_GB2312"/>
          <w:sz w:val="32"/>
          <w:szCs w:val="32"/>
        </w:rPr>
        <w:t>。在国土空间规划中统筹划定生态保护红线、永久基本农田、城镇开发边界等管控边界，科学确定建设规模，控制新增建设用地过快增长。加强县城绿色低碳建设，大力提升公共设施和服务水平。全面提升城市功能，结合景区城创建，高标准设计塑造城市形象，推进“一江两岸”城市公共空间建设，重现富春山居图美景。高标准建设“海绵城市”“韧性城市”，建立城市生态系统和安全系统。推动建立以绿色低碳为导向的城乡规划建设管理机制，制定建筑拆除管理办法，杜绝大拆大建。2022年底前完成绿色建筑专项规划修编工作。到2025年，培育1个省级及以上绿色生态城区，实现绿色城镇建设全覆盖，建设一批绿色社区。</w:t>
      </w:r>
    </w:p>
    <w:p>
      <w:pPr>
        <w:ind w:firstLine="643" w:firstLineChars="200"/>
        <w:rPr>
          <w:rFonts w:ascii="仿宋_GB2312" w:hAnsi="黑体" w:eastAsia="仿宋_GB2312"/>
          <w:sz w:val="32"/>
          <w:szCs w:val="32"/>
        </w:rPr>
      </w:pPr>
      <w:r>
        <w:rPr>
          <w:rFonts w:hint="eastAsia" w:ascii="仿宋_GB2312" w:hAnsi="黑体" w:eastAsia="仿宋_GB2312"/>
          <w:b/>
          <w:sz w:val="32"/>
          <w:szCs w:val="32"/>
        </w:rPr>
        <w:t>2.推广绿色低碳建材</w:t>
      </w:r>
      <w:r>
        <w:rPr>
          <w:rFonts w:hint="eastAsia" w:ascii="仿宋_GB2312" w:hAnsi="黑体" w:eastAsia="仿宋_GB2312"/>
          <w:sz w:val="32"/>
          <w:szCs w:val="32"/>
        </w:rPr>
        <w:t>。大力发展装配式建筑，重点推动钢结构装配式住宅建设，不断提升构件标准化水平，推动形成完整产业链，推动智能建造和建筑工业化协同发展。落实完善绿色建材产品认证制度，积极争取绿色建材应用示范工程，鼓励使用综合利用产品。到2025 年,装配式建筑占同期新开工建筑面积比达35%，装配化装修建筑占同期新开工成品住房面积比达20%；积极申报绿色建材产品认证证书项目、绿色建材应用示范项目，并完成市下达指标。</w:t>
      </w:r>
    </w:p>
    <w:p>
      <w:pPr>
        <w:ind w:firstLine="643" w:firstLineChars="200"/>
        <w:rPr>
          <w:rFonts w:ascii="仿宋_GB2312" w:hAnsi="黑体" w:eastAsia="仿宋_GB2312"/>
          <w:sz w:val="32"/>
          <w:szCs w:val="32"/>
        </w:rPr>
      </w:pPr>
      <w:r>
        <w:rPr>
          <w:rFonts w:hint="eastAsia" w:ascii="仿宋_GB2312" w:hAnsi="黑体" w:eastAsia="仿宋_GB2312"/>
          <w:b/>
          <w:sz w:val="32"/>
          <w:szCs w:val="32"/>
        </w:rPr>
        <w:t>3.推广绿色建造方式</w:t>
      </w:r>
      <w:r>
        <w:rPr>
          <w:rFonts w:hint="eastAsia" w:ascii="仿宋_GB2312" w:hAnsi="黑体" w:eastAsia="仿宋_GB2312"/>
          <w:sz w:val="32"/>
          <w:szCs w:val="32"/>
        </w:rPr>
        <w:t>。积极争取绿色建造示范工程，推广绿色化、工业化、信息化、集约化、产业化建造方式，加强技术创新和集成，利用新技术实现精细化设计和施工。推动传统建筑业转型升级，完善工程建设组织模式，加快推行工程总承包，推广全过程工程咨询。推进数字赋能和智慧监管，提升建筑产业数字化水平。大力发展专业作业企业，培育职业化、专业化、技能化建筑产业工人队伍。2022年起，全县新出让及划拨的国有建设用地上的民用建筑项目执行更高要求的绿色建筑标准，项目立项、方案设计及初步设计审查、施工图设计审查执行《绿色建筑设计标准》（DB33/1032-2021）。到2025年，完成10个省级绿色施工示范工程。</w:t>
      </w:r>
    </w:p>
    <w:p>
      <w:pPr>
        <w:ind w:firstLine="640" w:firstLineChars="200"/>
        <w:outlineLvl w:val="1"/>
        <w:rPr>
          <w:rFonts w:ascii="黑体" w:hAnsi="黑体" w:eastAsia="黑体"/>
          <w:sz w:val="32"/>
          <w:szCs w:val="32"/>
        </w:rPr>
      </w:pPr>
      <w:bookmarkStart w:id="8" w:name="_Toc17635"/>
      <w:r>
        <w:rPr>
          <w:rFonts w:hint="eastAsia" w:ascii="楷体_GB2312" w:hAnsi="黑体" w:eastAsia="楷体_GB2312"/>
          <w:sz w:val="32"/>
          <w:szCs w:val="32"/>
        </w:rPr>
        <w:t>（二）建筑能效水平提升行动</w:t>
      </w:r>
      <w:bookmarkEnd w:id="8"/>
    </w:p>
    <w:p>
      <w:pPr>
        <w:ind w:firstLine="643" w:firstLineChars="200"/>
        <w:rPr>
          <w:rFonts w:ascii="仿宋_GB2312" w:hAnsi="黑体" w:eastAsia="仿宋_GB2312"/>
          <w:sz w:val="32"/>
          <w:szCs w:val="32"/>
        </w:rPr>
      </w:pPr>
      <w:r>
        <w:rPr>
          <w:rFonts w:hint="eastAsia" w:ascii="仿宋_GB2312" w:hAnsi="黑体" w:eastAsia="仿宋_GB2312"/>
          <w:b/>
          <w:sz w:val="32"/>
          <w:szCs w:val="32"/>
        </w:rPr>
        <w:t>4.严格建筑节能要求</w:t>
      </w:r>
      <w:r>
        <w:rPr>
          <w:rFonts w:hint="eastAsia" w:ascii="仿宋_GB2312" w:hAnsi="黑体" w:eastAsia="仿宋_GB2312"/>
          <w:sz w:val="32"/>
          <w:szCs w:val="32"/>
        </w:rPr>
        <w:t>。合理规划城镇建筑面积发展目标，严格管控高能耗公共建筑建设。2022年起，执行《公共建筑节能设计标准》（DB33/1036-2021）、《居住建筑节能设计标准》（</w:t>
      </w:r>
      <w:r>
        <w:rPr>
          <w:rFonts w:ascii="仿宋_GB2312" w:hAnsi="黑体" w:eastAsia="仿宋_GB2312"/>
          <w:sz w:val="32"/>
          <w:szCs w:val="32"/>
        </w:rPr>
        <w:t>DB33/1015</w:t>
      </w:r>
      <w:r>
        <w:rPr>
          <w:rFonts w:hint="eastAsia" w:ascii="仿宋_GB2312" w:hAnsi="黑体" w:eastAsia="仿宋_GB2312"/>
          <w:sz w:val="32"/>
          <w:szCs w:val="32"/>
        </w:rPr>
        <w:t>-2021）等新建建筑绿色节能低碳有关设计标准，严格落实建筑绿色低碳基本要求。全面推进超低能耗建筑，提高建筑建设底线控制水平, 推行更高节能要求的低能耗与超低能耗建筑强制性标准。2023 年起，结合项目有序推进近零能耗建筑试点示范创建工作。到2025年，完成高星级绿色建筑认证项目2个，超低能耗建筑认证面积4万平方米，（近）零能耗建筑认证项目1个</w:t>
      </w:r>
    </w:p>
    <w:p>
      <w:pPr>
        <w:ind w:firstLine="643" w:firstLineChars="200"/>
        <w:rPr>
          <w:rFonts w:ascii="仿宋_GB2312" w:hAnsi="黑体" w:eastAsia="仿宋_GB2312"/>
          <w:sz w:val="32"/>
          <w:szCs w:val="32"/>
        </w:rPr>
      </w:pPr>
      <w:r>
        <w:rPr>
          <w:rFonts w:hint="eastAsia" w:ascii="仿宋_GB2312" w:hAnsi="黑体" w:eastAsia="仿宋_GB2312"/>
          <w:b/>
          <w:sz w:val="32"/>
          <w:szCs w:val="32"/>
        </w:rPr>
        <w:t>5.提高绿色建筑发展质量</w:t>
      </w:r>
      <w:r>
        <w:rPr>
          <w:rFonts w:hint="eastAsia" w:ascii="仿宋_GB2312" w:hAnsi="黑体" w:eastAsia="仿宋_GB2312"/>
          <w:sz w:val="32"/>
          <w:szCs w:val="32"/>
        </w:rPr>
        <w:t>。规范绿色建筑设计、施工、运行、管理。加强财政、金融、规划、建设等政策支持，推动高质量绿色建筑规模化发展。以富春未来城建设为示范，开展绿色低碳城区创建，引领和带动高星级绿色建筑发展和高水平绿色建筑适宜技术推广应用。大力推广超低能耗、近零能耗建筑，有序发展零能耗建筑，推动政府投资项目率先示范。鼓励房地产开发企业建设绿色住宅小区，推进绿色社区创建。加强公共建筑节能监管，新建政府机关办公建筑、政府投资和以政府投资为主的公共建筑及总建筑面积1万平米以上的其他公共建筑全部纳入能耗监管平台的监管。建设单位按规定做好公共建筑建筑能耗系统，并接入杭州市建筑节能信息平台，落实第三方实地核验制度，未接入平台不予组织竣工验收。</w:t>
      </w:r>
    </w:p>
    <w:p>
      <w:pPr>
        <w:ind w:firstLine="643" w:firstLineChars="200"/>
        <w:rPr>
          <w:rFonts w:ascii="仿宋_GB2312" w:hAnsi="黑体" w:eastAsia="仿宋_GB2312"/>
          <w:sz w:val="32"/>
          <w:szCs w:val="32"/>
        </w:rPr>
      </w:pPr>
      <w:r>
        <w:rPr>
          <w:rFonts w:hint="eastAsia" w:ascii="仿宋_GB2312" w:hAnsi="黑体" w:eastAsia="仿宋_GB2312"/>
          <w:b/>
          <w:sz w:val="32"/>
          <w:szCs w:val="32"/>
        </w:rPr>
        <w:t>6.加快推进既有建筑绿色化改造</w:t>
      </w:r>
      <w:r>
        <w:rPr>
          <w:rFonts w:hint="eastAsia" w:ascii="仿宋_GB2312" w:hAnsi="黑体" w:eastAsia="仿宋_GB2312"/>
          <w:sz w:val="32"/>
          <w:szCs w:val="32"/>
        </w:rPr>
        <w:t>。全面落实既有建筑能效提升要求，鼓励与城镇老旧小区改造、农村危房改造、抗震加固等同步实施。持续深化建筑、公共机构等重点领域节能，开展绿色建筑、节约型机关、绿色学校、绿色医院创建行动。提升数据中心、新型通信等信息化基础设施能效水平。实施绿色建筑统一标识制度，建立城市建筑用水、用电、用气、用热等数据共享机制，提升建筑能耗监测能力。培育节能服务产业和市场，推广合同能源管理、合同节水管理服务模式。到2025年，完成20万平方米既有公共建筑节能改造，完成2万平方米既有居住建筑节能改造，新建建筑面积节能率达到75%。</w:t>
      </w:r>
    </w:p>
    <w:p>
      <w:pPr>
        <w:ind w:firstLine="640" w:firstLineChars="200"/>
        <w:outlineLvl w:val="1"/>
        <w:rPr>
          <w:rFonts w:ascii="黑体" w:hAnsi="黑体" w:eastAsia="黑体"/>
          <w:sz w:val="32"/>
          <w:szCs w:val="32"/>
        </w:rPr>
      </w:pPr>
      <w:bookmarkStart w:id="9" w:name="_Toc257"/>
      <w:r>
        <w:rPr>
          <w:rFonts w:hint="eastAsia" w:ascii="楷体_GB2312" w:hAnsi="黑体" w:eastAsia="楷体_GB2312"/>
          <w:sz w:val="32"/>
          <w:szCs w:val="32"/>
        </w:rPr>
        <w:t>（三）建筑用能结构优化行动</w:t>
      </w:r>
      <w:bookmarkEnd w:id="9"/>
    </w:p>
    <w:p>
      <w:pPr>
        <w:ind w:firstLine="643" w:firstLineChars="200"/>
        <w:rPr>
          <w:rFonts w:ascii="仿宋_GB2312" w:hAnsi="黑体" w:eastAsia="仿宋_GB2312"/>
          <w:sz w:val="32"/>
          <w:szCs w:val="32"/>
        </w:rPr>
      </w:pPr>
      <w:r>
        <w:rPr>
          <w:rFonts w:hint="eastAsia" w:ascii="仿宋_GB2312" w:hAnsi="黑体" w:eastAsia="仿宋_GB2312"/>
          <w:b/>
          <w:sz w:val="32"/>
          <w:szCs w:val="32"/>
        </w:rPr>
        <w:t>7.大力推动可再生能源建筑应用</w:t>
      </w:r>
      <w:r>
        <w:rPr>
          <w:rFonts w:hint="eastAsia" w:ascii="仿宋_GB2312" w:hAnsi="黑体" w:eastAsia="仿宋_GB2312"/>
          <w:sz w:val="32"/>
          <w:szCs w:val="32"/>
        </w:rPr>
        <w:t>。继续执行并完善可再生能源建筑应用的相关政策，落实执行《民用建筑可再生能源应用核算标准》（DBJ33/T 1105-2022）。因地制宜推行热泵、生物质能、地热能、太阳能等清洁低碳供暖。提高建筑终端电气化水平，大幅提高建筑采暖、生活热水、炊事等电气化普及率。公共建筑优先应用太阳能光伏发电建筑一体化技术；住宅建筑大力推广太阳能光伏发电建筑一体化技术，太阳能光热技术与空气源热泵技术。加快建设“光储直柔”建筑，鼓励智能光伏与绿色建筑融合创新发展，在公共建筑中率先加装太阳能光伏系统，鼓励有条件其他既有民用建筑结合建筑改造应用太阳能光伏系统。争取整县推进分布式光伏试点。到2025年，完成民用建筑可再生能源应用建筑面积（可再生能源利用率大于12%）9万平方米，城镇建筑可再生能源替代率达到8%；完成民用建筑太阳能光伏装机容量2万Kw，新建公共机构建筑、新建厂房屋顶光伏覆盖率力争达到50%。</w:t>
      </w:r>
    </w:p>
    <w:p>
      <w:pPr>
        <w:ind w:firstLine="640" w:firstLineChars="200"/>
        <w:outlineLvl w:val="1"/>
        <w:rPr>
          <w:rFonts w:ascii="黑体" w:hAnsi="黑体" w:eastAsia="黑体"/>
          <w:sz w:val="32"/>
          <w:szCs w:val="32"/>
        </w:rPr>
      </w:pPr>
      <w:bookmarkStart w:id="10" w:name="_Toc19669"/>
      <w:r>
        <w:rPr>
          <w:rFonts w:hint="eastAsia" w:ascii="楷体_GB2312" w:hAnsi="黑体" w:eastAsia="楷体_GB2312"/>
          <w:sz w:val="32"/>
          <w:szCs w:val="32"/>
        </w:rPr>
        <w:t>（四）农村建设和用能低碳转型行动</w:t>
      </w:r>
      <w:bookmarkEnd w:id="10"/>
    </w:p>
    <w:p>
      <w:pPr>
        <w:ind w:firstLine="643" w:firstLineChars="200"/>
        <w:rPr>
          <w:rFonts w:ascii="仿宋_GB2312" w:hAnsi="黑体" w:eastAsia="仿宋_GB2312"/>
          <w:sz w:val="32"/>
          <w:szCs w:val="32"/>
        </w:rPr>
      </w:pPr>
      <w:r>
        <w:rPr>
          <w:rFonts w:hint="eastAsia" w:ascii="仿宋_GB2312" w:hAnsi="黑体" w:eastAsia="仿宋_GB2312"/>
          <w:b/>
          <w:sz w:val="32"/>
          <w:szCs w:val="32"/>
        </w:rPr>
        <w:t>8.推进农村绿色低碳发展</w:t>
      </w:r>
      <w:r>
        <w:rPr>
          <w:rFonts w:hint="eastAsia" w:ascii="仿宋_GB2312" w:hAnsi="黑体" w:eastAsia="仿宋_GB2312"/>
          <w:sz w:val="32"/>
          <w:szCs w:val="32"/>
        </w:rPr>
        <w:t>。结合实施乡村建设行动，推进绿色农房建设，加快农房节能改造。因地制宜推动生物质能、太阳能在农村建筑中的应用。提升农村用能电气化水平，持续推进农网改造升级工程，推动城乡电力公共服务均等化。扩大农村天然气利用，推动城市天然气管网向乡镇和城郊村、中心村延伸，探索微管网方式推进管道燃气覆盖偏远村。到2025 年，城乡居民天然气气化率达到40%以上。</w:t>
      </w:r>
    </w:p>
    <w:p>
      <w:pPr>
        <w:ind w:firstLine="640" w:firstLineChars="200"/>
        <w:outlineLvl w:val="1"/>
        <w:rPr>
          <w:rFonts w:ascii="黑体" w:hAnsi="黑体" w:eastAsia="黑体"/>
          <w:sz w:val="32"/>
          <w:szCs w:val="32"/>
        </w:rPr>
      </w:pPr>
      <w:bookmarkStart w:id="11" w:name="_Toc5054"/>
      <w:r>
        <w:rPr>
          <w:rFonts w:hint="eastAsia" w:ascii="楷体_GB2312" w:hAnsi="黑体" w:eastAsia="楷体_GB2312"/>
          <w:sz w:val="32"/>
          <w:szCs w:val="32"/>
        </w:rPr>
        <w:t>（五）绿色生活促进行动</w:t>
      </w:r>
      <w:bookmarkEnd w:id="11"/>
    </w:p>
    <w:p>
      <w:pPr>
        <w:ind w:firstLine="643" w:firstLineChars="200"/>
        <w:rPr>
          <w:rFonts w:ascii="仿宋_GB2312" w:hAnsi="黑体" w:eastAsia="仿宋_GB2312"/>
          <w:sz w:val="32"/>
          <w:szCs w:val="32"/>
        </w:rPr>
      </w:pPr>
      <w:r>
        <w:rPr>
          <w:rFonts w:hint="eastAsia" w:ascii="仿宋_GB2312" w:hAnsi="黑体" w:eastAsia="仿宋_GB2312"/>
          <w:b/>
          <w:sz w:val="32"/>
          <w:szCs w:val="32"/>
        </w:rPr>
        <w:t>9.推动形成绿色生活方式</w:t>
      </w:r>
      <w:r>
        <w:rPr>
          <w:rFonts w:hint="eastAsia" w:ascii="仿宋_GB2312" w:hAnsi="黑体" w:eastAsia="仿宋_GB2312"/>
          <w:sz w:val="32"/>
          <w:szCs w:val="32"/>
        </w:rPr>
        <w:t>。倡导绿色装修，鼓励选用绿色建材、家具、家电。加强建筑材料循环利用，促进建筑垃圾减量化。科学制定城市慢行系统规划，因地制宜建设自行车专用道和绿道，全面开展人行道净化行动，改造提升重点城市步行街。推广节能低碳节水用品，推动太阳能、再生水等应用，鼓励使用环保再生产品和绿色设计产品，减少一次性消费品和包装用材消耗。</w:t>
      </w:r>
    </w:p>
    <w:p>
      <w:pPr>
        <w:ind w:firstLine="643" w:firstLineChars="200"/>
        <w:rPr>
          <w:rFonts w:ascii="黑体" w:hAnsi="黑体" w:eastAsia="黑体"/>
          <w:sz w:val="32"/>
          <w:szCs w:val="32"/>
        </w:rPr>
      </w:pPr>
      <w:r>
        <w:rPr>
          <w:rFonts w:hint="eastAsia" w:ascii="仿宋_GB2312" w:hAnsi="黑体" w:eastAsia="仿宋_GB2312"/>
          <w:b/>
          <w:sz w:val="32"/>
          <w:szCs w:val="32"/>
        </w:rPr>
        <w:t>10.加快充电设施建设</w:t>
      </w:r>
      <w:r>
        <w:rPr>
          <w:rFonts w:hint="eastAsia" w:ascii="仿宋_GB2312" w:hAnsi="黑体" w:eastAsia="仿宋_GB2312"/>
          <w:sz w:val="32"/>
          <w:szCs w:val="32"/>
        </w:rPr>
        <w:t>。严格落实《杭州市城市建筑工程机动车停车位配建标准实施细则》，不断提高新建建筑工程充电设施建设规模和配置水平。推动公交场站、出租车服务区和停驻地配套充电设施建设。持续</w:t>
      </w:r>
      <w:r>
        <w:rPr>
          <w:rFonts w:hint="eastAsia" w:ascii="仿宋_GB2312" w:hAnsi="黑体" w:eastAsia="仿宋_GB2312" w:cstheme="minorBidi"/>
          <w:kern w:val="2"/>
          <w:sz w:val="32"/>
          <w:szCs w:val="32"/>
        </w:rPr>
        <w:t>优化充电设施规划布局，</w:t>
      </w:r>
      <w:r>
        <w:rPr>
          <w:rFonts w:hint="eastAsia" w:ascii="仿宋_GB2312" w:hAnsi="黑体" w:eastAsia="仿宋_GB2312"/>
          <w:sz w:val="32"/>
          <w:szCs w:val="32"/>
        </w:rPr>
        <w:t>根据桐庐中长期新能源汽车保有量、区域分布、类型结构等，科学布局充换电基础设施，加强与城乡建设规划、电网规划及物业管理、城市停车等的统筹协调。加大居民区充电桩、城市中心公共充电设施等建设困难协调力度，补齐充电网络短板。探索充换电并行发展模式，积极探索可供充电车型和换电车型同时使用的充换电一体化站点建设，并在电网升级改造计划中充分考虑换电站建设的电力需求。推进充电站和分布式光伏共建。推进充电设施智慧化发展，引导企业联合建立充电设施运营服务平台，实现互联互通、信息共享与统一结算等功能，加快建设车桩相宜、智能高效的充电基础设施体系。</w:t>
      </w:r>
    </w:p>
    <w:p>
      <w:pPr>
        <w:ind w:firstLine="640" w:firstLineChars="200"/>
        <w:outlineLvl w:val="0"/>
        <w:rPr>
          <w:rFonts w:ascii="黑体" w:hAnsi="黑体" w:eastAsia="黑体"/>
          <w:sz w:val="32"/>
          <w:szCs w:val="32"/>
        </w:rPr>
      </w:pPr>
      <w:bookmarkStart w:id="12" w:name="_Toc32514"/>
      <w:r>
        <w:rPr>
          <w:rFonts w:hint="eastAsia" w:ascii="黑体" w:hAnsi="黑体" w:eastAsia="黑体"/>
          <w:sz w:val="32"/>
          <w:szCs w:val="32"/>
        </w:rPr>
        <w:t>三、行动保障</w:t>
      </w:r>
      <w:bookmarkEnd w:id="12"/>
    </w:p>
    <w:p>
      <w:pPr>
        <w:ind w:firstLine="640" w:firstLineChars="200"/>
        <w:outlineLvl w:val="1"/>
        <w:rPr>
          <w:rFonts w:ascii="黑体" w:hAnsi="黑体" w:eastAsia="黑体"/>
          <w:sz w:val="32"/>
          <w:szCs w:val="32"/>
        </w:rPr>
      </w:pPr>
      <w:bookmarkStart w:id="13" w:name="_Toc32686"/>
      <w:r>
        <w:rPr>
          <w:rFonts w:hint="eastAsia" w:ascii="楷体_GB2312" w:hAnsi="黑体" w:eastAsia="楷体_GB2312"/>
          <w:sz w:val="32"/>
          <w:szCs w:val="32"/>
        </w:rPr>
        <w:t>（一）加强组织实施</w:t>
      </w:r>
      <w:bookmarkEnd w:id="13"/>
    </w:p>
    <w:p>
      <w:pPr>
        <w:ind w:firstLine="640" w:firstLineChars="200"/>
        <w:rPr>
          <w:rFonts w:ascii="黑体" w:hAnsi="黑体" w:eastAsia="黑体"/>
          <w:sz w:val="32"/>
          <w:szCs w:val="32"/>
        </w:rPr>
      </w:pPr>
      <w:r>
        <w:rPr>
          <w:rFonts w:hint="eastAsia" w:ascii="仿宋_GB2312" w:hAnsi="黑体" w:eastAsia="仿宋_GB2312"/>
          <w:sz w:val="32"/>
          <w:szCs w:val="32"/>
        </w:rPr>
        <w:t>建立健全建筑领域碳达峰碳中和工作制度，切实做好顶层设计，加强部门、乡镇（街道）的统筹协调。县级有关部门要根据职责分工，将本行动方案相关内容纳入“十四五”规划和年度工作计划。建立各项重点任务的进度反馈机制，强化责任意识，有序推进任务分工，抓好工作落实。健全能源管理体系，强化重点用能单位节能管理和目标责任。</w:t>
      </w:r>
    </w:p>
    <w:p>
      <w:pPr>
        <w:ind w:firstLine="640" w:firstLineChars="200"/>
        <w:outlineLvl w:val="1"/>
        <w:rPr>
          <w:rFonts w:ascii="黑体" w:hAnsi="黑体" w:eastAsia="黑体"/>
          <w:sz w:val="32"/>
          <w:szCs w:val="32"/>
        </w:rPr>
      </w:pPr>
      <w:bookmarkStart w:id="14" w:name="_Toc28406"/>
      <w:r>
        <w:rPr>
          <w:rFonts w:hint="eastAsia" w:ascii="楷体_GB2312" w:hAnsi="黑体" w:eastAsia="楷体_GB2312"/>
          <w:sz w:val="32"/>
          <w:szCs w:val="32"/>
        </w:rPr>
        <w:t>（二）完善政策体系</w:t>
      </w:r>
      <w:bookmarkEnd w:id="14"/>
    </w:p>
    <w:p>
      <w:pPr>
        <w:ind w:firstLine="640" w:firstLineChars="200"/>
        <w:rPr>
          <w:rFonts w:ascii="仿宋_GB2312" w:hAnsi="黑体" w:eastAsia="仿宋_GB2312"/>
          <w:sz w:val="32"/>
          <w:szCs w:val="32"/>
        </w:rPr>
      </w:pPr>
      <w:r>
        <w:rPr>
          <w:rFonts w:ascii="仿宋_GB2312" w:hAnsi="黑体" w:eastAsia="仿宋_GB2312"/>
          <w:sz w:val="32"/>
          <w:szCs w:val="32"/>
        </w:rPr>
        <w:t>积极争取省、市绿色建筑领域专项发展</w:t>
      </w:r>
      <w:r>
        <w:rPr>
          <w:rFonts w:hint="eastAsia" w:ascii="仿宋_GB2312" w:hAnsi="黑体" w:eastAsia="仿宋_GB2312"/>
          <w:sz w:val="32"/>
          <w:szCs w:val="32"/>
        </w:rPr>
        <w:t>资金，支持各类申报绿色建筑</w:t>
      </w:r>
      <w:r>
        <w:rPr>
          <w:rFonts w:ascii="仿宋_GB2312" w:hAnsi="黑体" w:eastAsia="仿宋_GB2312"/>
          <w:sz w:val="32"/>
          <w:szCs w:val="32"/>
        </w:rPr>
        <w:t>示范试点项目。制定推进</w:t>
      </w:r>
      <w:r>
        <w:rPr>
          <w:rFonts w:hint="eastAsia" w:ascii="仿宋_GB2312" w:hAnsi="黑体" w:eastAsia="仿宋_GB2312"/>
          <w:sz w:val="32"/>
          <w:szCs w:val="32"/>
        </w:rPr>
        <w:t>绿色建筑和新型建筑工业化发展的专项政策</w:t>
      </w:r>
      <w:r>
        <w:rPr>
          <w:rFonts w:ascii="仿宋_GB2312" w:hAnsi="黑体" w:eastAsia="仿宋_GB2312"/>
          <w:sz w:val="32"/>
          <w:szCs w:val="32"/>
        </w:rPr>
        <w:t>。完善优化用能结构与政策，推行差别化绿色价格政策。落实推广绿色投融资政策。</w:t>
      </w:r>
    </w:p>
    <w:p>
      <w:pPr>
        <w:ind w:firstLine="640" w:firstLineChars="200"/>
        <w:outlineLvl w:val="1"/>
        <w:rPr>
          <w:rFonts w:ascii="仿宋_GB2312" w:hAnsi="黑体" w:eastAsia="仿宋_GB2312"/>
          <w:sz w:val="32"/>
          <w:szCs w:val="32"/>
        </w:rPr>
      </w:pPr>
      <w:bookmarkStart w:id="15" w:name="_Toc25383"/>
      <w:r>
        <w:rPr>
          <w:rFonts w:hint="eastAsia" w:ascii="楷体_GB2312" w:hAnsi="黑体" w:eastAsia="楷体_GB2312"/>
          <w:sz w:val="32"/>
          <w:szCs w:val="32"/>
        </w:rPr>
        <w:t>（三）强化支撑保障</w:t>
      </w:r>
      <w:bookmarkEnd w:id="15"/>
    </w:p>
    <w:p>
      <w:pPr>
        <w:ind w:firstLine="640" w:firstLineChars="200"/>
        <w:rPr>
          <w:rFonts w:ascii="黑体" w:hAnsi="黑体" w:eastAsia="黑体"/>
          <w:sz w:val="32"/>
          <w:szCs w:val="32"/>
        </w:rPr>
      </w:pPr>
      <w:r>
        <w:rPr>
          <w:rFonts w:hint="eastAsia" w:ascii="仿宋_GB2312" w:hAnsi="黑体" w:eastAsia="仿宋_GB2312"/>
          <w:sz w:val="32"/>
          <w:szCs w:val="32"/>
        </w:rPr>
        <w:t>建立健全建筑领域能耗统计监测和计量体系，加强重点用能单位能耗在线监测系统建设。加强建筑能效测评、绿色建筑评价、建筑节能服务等机构能力建设。支持引进、培育建筑领域碳达峰领军人才和高级专业技术人才。</w:t>
      </w:r>
    </w:p>
    <w:p>
      <w:pPr>
        <w:ind w:firstLine="640" w:firstLineChars="200"/>
        <w:outlineLvl w:val="1"/>
        <w:rPr>
          <w:rFonts w:ascii="黑体" w:hAnsi="黑体" w:eastAsia="黑体"/>
          <w:sz w:val="32"/>
          <w:szCs w:val="32"/>
        </w:rPr>
      </w:pPr>
      <w:bookmarkStart w:id="16" w:name="_Toc16040"/>
      <w:r>
        <w:rPr>
          <w:rFonts w:hint="eastAsia" w:ascii="楷体_GB2312" w:hAnsi="黑体" w:eastAsia="楷体_GB2312"/>
          <w:sz w:val="32"/>
          <w:szCs w:val="32"/>
        </w:rPr>
        <w:t>（四）营造良好氛围</w:t>
      </w:r>
      <w:bookmarkEnd w:id="16"/>
    </w:p>
    <w:p>
      <w:pPr>
        <w:ind w:firstLine="640" w:firstLineChars="200"/>
        <w:rPr>
          <w:rFonts w:ascii="仿宋_GB2312" w:hAnsi="黑体" w:eastAsia="仿宋_GB2312"/>
          <w:sz w:val="32"/>
          <w:szCs w:val="32"/>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仿宋_GB2312" w:hAnsi="黑体" w:eastAsia="仿宋_GB2312"/>
          <w:sz w:val="32"/>
          <w:szCs w:val="32"/>
        </w:rPr>
        <w:t>建立政府、媒体、企业与公众相结合的宣传推广机制，广泛宣传绿色建筑、装配式建筑、钢结构装配式住宅、装配式装修等在建筑领域碳达峰的优势，共同营造社会各方关注、认可、支持建筑领域碳达峰的良好氛围。</w:t>
      </w:r>
    </w:p>
    <w:p>
      <w:pPr>
        <w:ind w:firstLine="0" w:firstLineChars="0"/>
        <w:jc w:val="center"/>
        <w:outlineLvl w:val="0"/>
        <w:rPr>
          <w:rFonts w:ascii="黑体" w:hAnsi="黑体" w:eastAsia="黑体"/>
          <w:sz w:val="32"/>
          <w:szCs w:val="32"/>
        </w:rPr>
      </w:pPr>
      <w:bookmarkStart w:id="17" w:name="_Toc18779"/>
      <w:r>
        <w:rPr>
          <w:rFonts w:hint="eastAsia" w:ascii="黑体" w:hAnsi="黑体" w:eastAsia="黑体"/>
          <w:sz w:val="32"/>
          <w:szCs w:val="32"/>
        </w:rPr>
        <w:t xml:space="preserve"> 附表：桐庐县建筑领域（不含居民生活）碳达峰专项行动工作任务目标表</w:t>
      </w:r>
    </w:p>
    <w:tbl>
      <w:tblPr>
        <w:tblStyle w:val="10"/>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984"/>
        <w:gridCol w:w="760"/>
        <w:gridCol w:w="737"/>
        <w:gridCol w:w="737"/>
        <w:gridCol w:w="737"/>
        <w:gridCol w:w="1035"/>
        <w:gridCol w:w="1034"/>
        <w:gridCol w:w="103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b/>
                <w:sz w:val="24"/>
                <w:szCs w:val="24"/>
              </w:rPr>
            </w:pPr>
            <w:r>
              <w:rPr>
                <w:rFonts w:hint="eastAsia" w:ascii="仿宋_GB2312" w:eastAsia="仿宋_GB2312"/>
                <w:b/>
                <w:sz w:val="24"/>
                <w:szCs w:val="24"/>
              </w:rPr>
              <w:t>序号</w:t>
            </w:r>
          </w:p>
        </w:tc>
        <w:tc>
          <w:tcPr>
            <w:tcW w:w="1984" w:type="dxa"/>
            <w:vAlign w:val="center"/>
          </w:tcPr>
          <w:p>
            <w:pPr>
              <w:jc w:val="center"/>
              <w:rPr>
                <w:rFonts w:ascii="仿宋_GB2312" w:eastAsia="仿宋_GB2312"/>
                <w:b/>
                <w:sz w:val="24"/>
                <w:szCs w:val="24"/>
              </w:rPr>
            </w:pPr>
            <w:r>
              <w:rPr>
                <w:rFonts w:hint="eastAsia" w:ascii="仿宋_GB2312" w:eastAsia="仿宋_GB2312"/>
                <w:b/>
                <w:sz w:val="24"/>
                <w:szCs w:val="24"/>
              </w:rPr>
              <w:t>指标</w:t>
            </w:r>
          </w:p>
        </w:tc>
        <w:tc>
          <w:tcPr>
            <w:tcW w:w="760" w:type="dxa"/>
            <w:vAlign w:val="center"/>
          </w:tcPr>
          <w:p>
            <w:pPr>
              <w:jc w:val="center"/>
              <w:rPr>
                <w:rFonts w:ascii="仿宋_GB2312" w:eastAsia="仿宋_GB2312"/>
                <w:b/>
                <w:sz w:val="24"/>
                <w:szCs w:val="24"/>
              </w:rPr>
            </w:pPr>
            <w:r>
              <w:rPr>
                <w:rFonts w:hint="eastAsia" w:ascii="仿宋_GB2312" w:eastAsia="仿宋_GB2312"/>
                <w:b/>
                <w:sz w:val="24"/>
                <w:szCs w:val="24"/>
              </w:rPr>
              <w:t>单位</w:t>
            </w:r>
          </w:p>
        </w:tc>
        <w:tc>
          <w:tcPr>
            <w:tcW w:w="737" w:type="dxa"/>
            <w:vAlign w:val="center"/>
          </w:tcPr>
          <w:p>
            <w:pPr>
              <w:jc w:val="center"/>
              <w:rPr>
                <w:rFonts w:ascii="仿宋_GB2312" w:eastAsia="仿宋_GB2312"/>
                <w:b/>
                <w:sz w:val="24"/>
                <w:szCs w:val="24"/>
              </w:rPr>
            </w:pPr>
            <w:r>
              <w:rPr>
                <w:rFonts w:hint="eastAsia" w:ascii="仿宋_GB2312" w:eastAsia="仿宋_GB2312"/>
                <w:b/>
                <w:sz w:val="24"/>
                <w:szCs w:val="24"/>
              </w:rPr>
              <w:t>2021</w:t>
            </w:r>
          </w:p>
        </w:tc>
        <w:tc>
          <w:tcPr>
            <w:tcW w:w="737" w:type="dxa"/>
            <w:vAlign w:val="center"/>
          </w:tcPr>
          <w:p>
            <w:pPr>
              <w:jc w:val="center"/>
              <w:rPr>
                <w:rFonts w:ascii="仿宋_GB2312" w:eastAsia="仿宋_GB2312"/>
                <w:b/>
                <w:sz w:val="24"/>
                <w:szCs w:val="24"/>
              </w:rPr>
            </w:pPr>
            <w:r>
              <w:rPr>
                <w:rFonts w:hint="eastAsia" w:ascii="仿宋_GB2312" w:eastAsia="仿宋_GB2312"/>
                <w:b/>
                <w:sz w:val="24"/>
                <w:szCs w:val="24"/>
              </w:rPr>
              <w:t>2022</w:t>
            </w:r>
          </w:p>
        </w:tc>
        <w:tc>
          <w:tcPr>
            <w:tcW w:w="737" w:type="dxa"/>
            <w:vAlign w:val="center"/>
          </w:tcPr>
          <w:p>
            <w:pPr>
              <w:jc w:val="center"/>
              <w:rPr>
                <w:rFonts w:ascii="仿宋_GB2312" w:eastAsia="仿宋_GB2312"/>
                <w:b/>
                <w:sz w:val="24"/>
                <w:szCs w:val="24"/>
              </w:rPr>
            </w:pPr>
            <w:r>
              <w:rPr>
                <w:rFonts w:hint="eastAsia" w:ascii="仿宋_GB2312" w:eastAsia="仿宋_GB2312"/>
                <w:b/>
                <w:sz w:val="24"/>
                <w:szCs w:val="24"/>
              </w:rPr>
              <w:t>2023</w:t>
            </w:r>
          </w:p>
        </w:tc>
        <w:tc>
          <w:tcPr>
            <w:tcW w:w="1035" w:type="dxa"/>
            <w:vAlign w:val="center"/>
          </w:tcPr>
          <w:p>
            <w:pPr>
              <w:jc w:val="center"/>
              <w:rPr>
                <w:rFonts w:ascii="仿宋_GB2312" w:eastAsia="仿宋_GB2312"/>
                <w:b/>
                <w:sz w:val="24"/>
                <w:szCs w:val="24"/>
              </w:rPr>
            </w:pPr>
            <w:r>
              <w:rPr>
                <w:rFonts w:hint="eastAsia" w:ascii="仿宋_GB2312" w:eastAsia="仿宋_GB2312"/>
                <w:b/>
                <w:sz w:val="24"/>
                <w:szCs w:val="24"/>
              </w:rPr>
              <w:t>2024</w:t>
            </w:r>
          </w:p>
        </w:tc>
        <w:tc>
          <w:tcPr>
            <w:tcW w:w="1034" w:type="dxa"/>
            <w:vAlign w:val="center"/>
          </w:tcPr>
          <w:p>
            <w:pPr>
              <w:jc w:val="center"/>
              <w:rPr>
                <w:rFonts w:ascii="仿宋_GB2312" w:eastAsia="仿宋_GB2312"/>
                <w:b/>
                <w:sz w:val="24"/>
                <w:szCs w:val="24"/>
              </w:rPr>
            </w:pPr>
            <w:r>
              <w:rPr>
                <w:rFonts w:hint="eastAsia" w:ascii="仿宋_GB2312" w:eastAsia="仿宋_GB2312"/>
                <w:b/>
                <w:sz w:val="24"/>
                <w:szCs w:val="24"/>
              </w:rPr>
              <w:t>2025</w:t>
            </w:r>
          </w:p>
        </w:tc>
        <w:tc>
          <w:tcPr>
            <w:tcW w:w="1033" w:type="dxa"/>
            <w:vAlign w:val="center"/>
          </w:tcPr>
          <w:p>
            <w:pPr>
              <w:jc w:val="center"/>
              <w:rPr>
                <w:rFonts w:ascii="仿宋_GB2312" w:eastAsia="仿宋_GB2312"/>
                <w:b/>
                <w:sz w:val="24"/>
                <w:szCs w:val="24"/>
              </w:rPr>
            </w:pPr>
            <w:r>
              <w:rPr>
                <w:rFonts w:hint="eastAsia" w:ascii="仿宋_GB2312" w:eastAsia="仿宋_GB2312"/>
                <w:b/>
                <w:sz w:val="24"/>
                <w:szCs w:val="24"/>
              </w:rPr>
              <w:t>合计</w:t>
            </w:r>
          </w:p>
        </w:tc>
        <w:tc>
          <w:tcPr>
            <w:tcW w:w="1033" w:type="dxa"/>
            <w:vAlign w:val="center"/>
          </w:tcPr>
          <w:p>
            <w:pPr>
              <w:jc w:val="center"/>
              <w:rPr>
                <w:rFonts w:ascii="仿宋_GB2312" w:eastAsia="仿宋_GB2312"/>
                <w:b/>
                <w:sz w:val="24"/>
                <w:szCs w:val="24"/>
              </w:rPr>
            </w:pPr>
            <w:r>
              <w:rPr>
                <w:rFonts w:hint="eastAsia" w:ascii="仿宋_GB2312"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b/>
                <w:sz w:val="24"/>
                <w:szCs w:val="24"/>
              </w:rPr>
            </w:pPr>
            <w:r>
              <w:rPr>
                <w:rFonts w:hint="eastAsia" w:ascii="仿宋_GB2312" w:eastAsia="仿宋_GB2312"/>
                <w:b/>
                <w:sz w:val="24"/>
                <w:szCs w:val="24"/>
              </w:rPr>
              <w:t>一</w:t>
            </w:r>
          </w:p>
        </w:tc>
        <w:tc>
          <w:tcPr>
            <w:tcW w:w="1984" w:type="dxa"/>
            <w:vAlign w:val="center"/>
          </w:tcPr>
          <w:p>
            <w:pPr>
              <w:jc w:val="center"/>
              <w:rPr>
                <w:rFonts w:ascii="仿宋_GB2312" w:eastAsia="仿宋_GB2312"/>
                <w:b/>
                <w:sz w:val="24"/>
                <w:szCs w:val="24"/>
              </w:rPr>
            </w:pPr>
            <w:r>
              <w:rPr>
                <w:rFonts w:hint="eastAsia" w:ascii="仿宋_GB2312" w:eastAsia="仿宋_GB2312"/>
                <w:b/>
                <w:sz w:val="24"/>
                <w:szCs w:val="24"/>
              </w:rPr>
              <w:t>绿色建筑与建筑节能</w:t>
            </w:r>
          </w:p>
        </w:tc>
        <w:tc>
          <w:tcPr>
            <w:tcW w:w="760" w:type="dxa"/>
            <w:vAlign w:val="center"/>
          </w:tcPr>
          <w:p>
            <w:pPr>
              <w:jc w:val="center"/>
              <w:rPr>
                <w:rFonts w:ascii="仿宋_GB2312" w:eastAsia="仿宋_GB2312"/>
                <w:b/>
                <w:sz w:val="24"/>
                <w:szCs w:val="24"/>
              </w:rPr>
            </w:pPr>
          </w:p>
        </w:tc>
        <w:tc>
          <w:tcPr>
            <w:tcW w:w="737" w:type="dxa"/>
            <w:vAlign w:val="center"/>
          </w:tcPr>
          <w:p>
            <w:pPr>
              <w:jc w:val="center"/>
              <w:rPr>
                <w:rFonts w:ascii="仿宋_GB2312" w:eastAsia="仿宋_GB2312"/>
                <w:b/>
                <w:sz w:val="24"/>
                <w:szCs w:val="24"/>
              </w:rPr>
            </w:pPr>
          </w:p>
        </w:tc>
        <w:tc>
          <w:tcPr>
            <w:tcW w:w="737" w:type="dxa"/>
            <w:vAlign w:val="center"/>
          </w:tcPr>
          <w:p>
            <w:pPr>
              <w:jc w:val="center"/>
              <w:rPr>
                <w:rFonts w:ascii="仿宋_GB2312" w:eastAsia="仿宋_GB2312"/>
                <w:b/>
                <w:sz w:val="24"/>
                <w:szCs w:val="24"/>
              </w:rPr>
            </w:pPr>
          </w:p>
        </w:tc>
        <w:tc>
          <w:tcPr>
            <w:tcW w:w="737" w:type="dxa"/>
            <w:vAlign w:val="center"/>
          </w:tcPr>
          <w:p>
            <w:pPr>
              <w:jc w:val="center"/>
              <w:rPr>
                <w:rFonts w:ascii="仿宋_GB2312" w:eastAsia="仿宋_GB2312"/>
                <w:b/>
                <w:sz w:val="24"/>
                <w:szCs w:val="24"/>
              </w:rPr>
            </w:pPr>
          </w:p>
        </w:tc>
        <w:tc>
          <w:tcPr>
            <w:tcW w:w="1035" w:type="dxa"/>
            <w:vAlign w:val="center"/>
          </w:tcPr>
          <w:p>
            <w:pPr>
              <w:jc w:val="center"/>
              <w:rPr>
                <w:rFonts w:ascii="仿宋_GB2312" w:eastAsia="仿宋_GB2312"/>
                <w:b/>
                <w:sz w:val="24"/>
                <w:szCs w:val="24"/>
              </w:rPr>
            </w:pPr>
          </w:p>
        </w:tc>
        <w:tc>
          <w:tcPr>
            <w:tcW w:w="1034" w:type="dxa"/>
            <w:vAlign w:val="center"/>
          </w:tcPr>
          <w:p>
            <w:pPr>
              <w:jc w:val="center"/>
              <w:rPr>
                <w:rFonts w:ascii="仿宋_GB2312" w:eastAsia="仿宋_GB2312"/>
                <w:b/>
                <w:sz w:val="24"/>
                <w:szCs w:val="24"/>
              </w:rPr>
            </w:pPr>
          </w:p>
        </w:tc>
        <w:tc>
          <w:tcPr>
            <w:tcW w:w="1033" w:type="dxa"/>
            <w:vAlign w:val="center"/>
          </w:tcPr>
          <w:p>
            <w:pPr>
              <w:jc w:val="center"/>
              <w:rPr>
                <w:rFonts w:ascii="仿宋_GB2312" w:eastAsia="仿宋_GB2312"/>
                <w:b/>
                <w:sz w:val="24"/>
                <w:szCs w:val="24"/>
              </w:rPr>
            </w:pPr>
          </w:p>
        </w:tc>
        <w:tc>
          <w:tcPr>
            <w:tcW w:w="1033" w:type="dxa"/>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高星级绿色建筑认证项目</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个</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2069" w:type="dxa"/>
            <w:gridSpan w:val="2"/>
            <w:vAlign w:val="center"/>
          </w:tcPr>
          <w:p>
            <w:pPr>
              <w:jc w:val="center"/>
              <w:rPr>
                <w:rFonts w:ascii="仿宋_GB2312" w:eastAsia="仿宋_GB2312"/>
                <w:sz w:val="24"/>
                <w:szCs w:val="24"/>
              </w:rPr>
            </w:pPr>
            <w:r>
              <w:rPr>
                <w:rFonts w:hint="eastAsia" w:ascii="仿宋_GB2312" w:eastAsia="仿宋_GB2312"/>
                <w:sz w:val="24"/>
                <w:szCs w:val="24"/>
              </w:rPr>
              <w:t>完成竣工认证</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市下达指标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超低能耗建筑认证面积</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万平方米</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2069" w:type="dxa"/>
            <w:gridSpan w:val="2"/>
            <w:vAlign w:val="center"/>
          </w:tcPr>
          <w:p>
            <w:pPr>
              <w:jc w:val="center"/>
              <w:rPr>
                <w:rFonts w:ascii="仿宋_GB2312" w:eastAsia="仿宋_GB2312"/>
                <w:sz w:val="24"/>
                <w:szCs w:val="24"/>
              </w:rPr>
            </w:pPr>
            <w:r>
              <w:rPr>
                <w:rFonts w:hint="eastAsia" w:ascii="仿宋_GB2312" w:eastAsia="仿宋_GB2312"/>
                <w:sz w:val="24"/>
                <w:szCs w:val="24"/>
              </w:rPr>
              <w:t>完成设计认证</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4</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市下达指标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3</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（近）零能耗建筑认证项目</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个</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2069" w:type="dxa"/>
            <w:gridSpan w:val="2"/>
            <w:vAlign w:val="center"/>
          </w:tcPr>
          <w:p>
            <w:pPr>
              <w:jc w:val="center"/>
              <w:rPr>
                <w:rFonts w:ascii="仿宋_GB2312" w:eastAsia="仿宋_GB2312"/>
                <w:sz w:val="24"/>
                <w:szCs w:val="24"/>
              </w:rPr>
            </w:pPr>
            <w:r>
              <w:rPr>
                <w:rFonts w:hint="eastAsia" w:ascii="仿宋_GB2312" w:eastAsia="仿宋_GB2312"/>
                <w:sz w:val="24"/>
                <w:szCs w:val="24"/>
              </w:rPr>
              <w:t>完成设计认证</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市下达指标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4</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民用建筑可再生能源应用建筑面积（可再生能源利用率大于12%）</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万平方米</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5</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4</w:t>
            </w:r>
          </w:p>
        </w:tc>
        <w:tc>
          <w:tcPr>
            <w:tcW w:w="2069" w:type="dxa"/>
            <w:gridSpan w:val="2"/>
            <w:vAlign w:val="center"/>
          </w:tcPr>
          <w:p>
            <w:pPr>
              <w:jc w:val="center"/>
              <w:rPr>
                <w:rFonts w:ascii="仿宋_GB2312" w:eastAsia="仿宋_GB2312"/>
                <w:sz w:val="24"/>
                <w:szCs w:val="24"/>
              </w:rPr>
            </w:pPr>
            <w:r>
              <w:rPr>
                <w:rFonts w:hint="eastAsia" w:ascii="仿宋_GB2312" w:eastAsia="仿宋_GB2312"/>
                <w:sz w:val="24"/>
                <w:szCs w:val="24"/>
              </w:rPr>
              <w:t>完成验收测评</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9</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市下达指标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5</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民用建筑太阳能光伏装机容量</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万KW</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2069" w:type="dxa"/>
            <w:gridSpan w:val="2"/>
            <w:vAlign w:val="center"/>
          </w:tcPr>
          <w:p>
            <w:pPr>
              <w:jc w:val="center"/>
              <w:rPr>
                <w:rFonts w:ascii="仿宋_GB2312" w:eastAsia="仿宋_GB2312"/>
                <w:sz w:val="24"/>
                <w:szCs w:val="24"/>
              </w:rPr>
            </w:pPr>
            <w:r>
              <w:rPr>
                <w:rFonts w:hint="eastAsia" w:ascii="仿宋_GB2312" w:eastAsia="仿宋_GB2312"/>
                <w:sz w:val="24"/>
                <w:szCs w:val="24"/>
              </w:rPr>
              <w:t>完成验收测评</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市下达指标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6</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既有公共建筑节能改造面积</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万平方米</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7</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7</w:t>
            </w:r>
          </w:p>
        </w:tc>
        <w:tc>
          <w:tcPr>
            <w:tcW w:w="1035" w:type="dxa"/>
            <w:vAlign w:val="center"/>
          </w:tcPr>
          <w:p>
            <w:pPr>
              <w:jc w:val="center"/>
              <w:rPr>
                <w:rFonts w:ascii="仿宋_GB2312" w:eastAsia="仿宋_GB2312"/>
                <w:sz w:val="24"/>
                <w:szCs w:val="24"/>
              </w:rPr>
            </w:pPr>
            <w:r>
              <w:rPr>
                <w:rFonts w:hint="eastAsia" w:ascii="仿宋_GB2312" w:eastAsia="仿宋_GB2312"/>
                <w:sz w:val="24"/>
                <w:szCs w:val="24"/>
              </w:rPr>
              <w:t>6</w:t>
            </w:r>
          </w:p>
        </w:tc>
        <w:tc>
          <w:tcPr>
            <w:tcW w:w="1034" w:type="dxa"/>
            <w:vAlign w:val="center"/>
          </w:tcPr>
          <w:p>
            <w:pPr>
              <w:jc w:val="center"/>
              <w:rPr>
                <w:rFonts w:ascii="仿宋_GB2312" w:eastAsia="仿宋_GB2312"/>
                <w:sz w:val="24"/>
                <w:szCs w:val="24"/>
              </w:rPr>
            </w:pPr>
            <w:r>
              <w:rPr>
                <w:rFonts w:hint="eastAsia" w:ascii="仿宋_GB2312" w:eastAsia="仿宋_GB2312"/>
                <w:sz w:val="24"/>
                <w:szCs w:val="24"/>
              </w:rPr>
              <w:t>完成验收、第三方核定</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20</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市下达指标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7</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既有居住建筑节能改造面积</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万平方米</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0.5</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0.5</w:t>
            </w:r>
          </w:p>
        </w:tc>
        <w:tc>
          <w:tcPr>
            <w:tcW w:w="1035" w:type="dxa"/>
            <w:vAlign w:val="center"/>
          </w:tcPr>
          <w:p>
            <w:pPr>
              <w:jc w:val="center"/>
              <w:rPr>
                <w:rFonts w:ascii="仿宋_GB2312" w:eastAsia="仿宋_GB2312"/>
                <w:sz w:val="24"/>
                <w:szCs w:val="24"/>
              </w:rPr>
            </w:pPr>
            <w:r>
              <w:rPr>
                <w:rFonts w:hint="eastAsia" w:ascii="仿宋_GB2312" w:eastAsia="仿宋_GB2312"/>
                <w:sz w:val="24"/>
                <w:szCs w:val="24"/>
              </w:rPr>
              <w:t>0.5</w:t>
            </w:r>
          </w:p>
        </w:tc>
        <w:tc>
          <w:tcPr>
            <w:tcW w:w="1034" w:type="dxa"/>
            <w:vAlign w:val="center"/>
          </w:tcPr>
          <w:p>
            <w:pPr>
              <w:jc w:val="center"/>
              <w:rPr>
                <w:rFonts w:ascii="仿宋_GB2312" w:eastAsia="仿宋_GB2312"/>
                <w:sz w:val="24"/>
                <w:szCs w:val="24"/>
              </w:rPr>
            </w:pPr>
            <w:r>
              <w:rPr>
                <w:rFonts w:hint="eastAsia" w:ascii="仿宋_GB2312" w:eastAsia="仿宋_GB2312"/>
                <w:sz w:val="24"/>
                <w:szCs w:val="24"/>
              </w:rPr>
              <w:t>0.5</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市下达指标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8</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省级以上绿色生态城区试点</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个</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035" w:type="dxa"/>
            <w:vAlign w:val="center"/>
          </w:tcPr>
          <w:p>
            <w:pPr>
              <w:jc w:val="center"/>
              <w:rPr>
                <w:rFonts w:ascii="仿宋_GB2312" w:eastAsia="仿宋_GB2312"/>
                <w:sz w:val="24"/>
                <w:szCs w:val="24"/>
              </w:rPr>
            </w:pPr>
            <w:r>
              <w:rPr>
                <w:rFonts w:hint="eastAsia" w:ascii="仿宋_GB2312" w:eastAsia="仿宋_GB2312"/>
                <w:sz w:val="24"/>
                <w:szCs w:val="24"/>
              </w:rPr>
              <w:t>——</w:t>
            </w:r>
          </w:p>
        </w:tc>
        <w:tc>
          <w:tcPr>
            <w:tcW w:w="1034" w:type="dxa"/>
            <w:vAlign w:val="center"/>
          </w:tcPr>
          <w:p>
            <w:pPr>
              <w:jc w:val="center"/>
              <w:rPr>
                <w:rFonts w:ascii="仿宋_GB2312" w:eastAsia="仿宋_GB2312"/>
                <w:sz w:val="24"/>
                <w:szCs w:val="24"/>
              </w:rPr>
            </w:pPr>
            <w:r>
              <w:rPr>
                <w:rFonts w:hint="eastAsia" w:ascii="仿宋_GB2312" w:eastAsia="仿宋_GB2312"/>
                <w:sz w:val="24"/>
                <w:szCs w:val="24"/>
              </w:rPr>
              <w:t>完成设计认证</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市下达指标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10</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省级绿色施工示范工程</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个</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035"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034"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10</w:t>
            </w: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市下达指标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12</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获得绿色建材产品认证证书项目</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个</w:t>
            </w:r>
          </w:p>
        </w:tc>
        <w:tc>
          <w:tcPr>
            <w:tcW w:w="737" w:type="dxa"/>
            <w:vAlign w:val="center"/>
          </w:tcPr>
          <w:p>
            <w:pPr>
              <w:jc w:val="center"/>
              <w:rPr>
                <w:rFonts w:ascii="仿宋_GB2312" w:eastAsia="仿宋_GB2312"/>
                <w:sz w:val="24"/>
                <w:szCs w:val="24"/>
              </w:rPr>
            </w:pPr>
          </w:p>
        </w:tc>
        <w:tc>
          <w:tcPr>
            <w:tcW w:w="737" w:type="dxa"/>
            <w:vAlign w:val="center"/>
          </w:tcPr>
          <w:p>
            <w:pPr>
              <w:jc w:val="center"/>
              <w:rPr>
                <w:rFonts w:ascii="仿宋_GB2312" w:eastAsia="仿宋_GB2312"/>
                <w:sz w:val="24"/>
                <w:szCs w:val="24"/>
              </w:rPr>
            </w:pPr>
          </w:p>
        </w:tc>
        <w:tc>
          <w:tcPr>
            <w:tcW w:w="737" w:type="dxa"/>
            <w:vAlign w:val="center"/>
          </w:tcPr>
          <w:p>
            <w:pPr>
              <w:jc w:val="center"/>
              <w:rPr>
                <w:rFonts w:ascii="仿宋_GB2312" w:eastAsia="仿宋_GB2312"/>
                <w:sz w:val="24"/>
                <w:szCs w:val="24"/>
              </w:rPr>
            </w:pPr>
          </w:p>
        </w:tc>
        <w:tc>
          <w:tcPr>
            <w:tcW w:w="1035" w:type="dxa"/>
            <w:vAlign w:val="center"/>
          </w:tcPr>
          <w:p>
            <w:pPr>
              <w:jc w:val="center"/>
              <w:rPr>
                <w:rFonts w:ascii="仿宋_GB2312" w:eastAsia="仿宋_GB2312"/>
                <w:sz w:val="24"/>
                <w:szCs w:val="24"/>
              </w:rPr>
            </w:pPr>
          </w:p>
        </w:tc>
        <w:tc>
          <w:tcPr>
            <w:tcW w:w="1034" w:type="dxa"/>
            <w:vAlign w:val="center"/>
          </w:tcPr>
          <w:p>
            <w:pPr>
              <w:jc w:val="center"/>
              <w:rPr>
                <w:rFonts w:ascii="仿宋_GB2312" w:eastAsia="仿宋_GB2312"/>
                <w:sz w:val="24"/>
                <w:szCs w:val="24"/>
              </w:rPr>
            </w:pPr>
            <w:r>
              <w:rPr>
                <w:rFonts w:hint="eastAsia" w:ascii="仿宋_GB2312" w:eastAsia="仿宋_GB2312"/>
                <w:sz w:val="24"/>
                <w:szCs w:val="24"/>
              </w:rPr>
              <w:t>完成市下达指标</w:t>
            </w:r>
          </w:p>
        </w:tc>
        <w:tc>
          <w:tcPr>
            <w:tcW w:w="1033" w:type="dxa"/>
            <w:vAlign w:val="center"/>
          </w:tcPr>
          <w:p>
            <w:pPr>
              <w:jc w:val="center"/>
              <w:rPr>
                <w:rFonts w:ascii="仿宋_GB2312" w:eastAsia="仿宋_GB2312"/>
                <w:sz w:val="24"/>
                <w:szCs w:val="24"/>
              </w:rPr>
            </w:pP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市下达指标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13</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绿色建材应用示范项目</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个</w:t>
            </w:r>
          </w:p>
        </w:tc>
        <w:tc>
          <w:tcPr>
            <w:tcW w:w="737" w:type="dxa"/>
            <w:vAlign w:val="center"/>
          </w:tcPr>
          <w:p>
            <w:pPr>
              <w:jc w:val="center"/>
              <w:rPr>
                <w:rFonts w:ascii="仿宋_GB2312" w:eastAsia="仿宋_GB2312"/>
                <w:sz w:val="24"/>
                <w:szCs w:val="24"/>
              </w:rPr>
            </w:pPr>
          </w:p>
        </w:tc>
        <w:tc>
          <w:tcPr>
            <w:tcW w:w="737" w:type="dxa"/>
            <w:vAlign w:val="center"/>
          </w:tcPr>
          <w:p>
            <w:pPr>
              <w:jc w:val="center"/>
              <w:rPr>
                <w:rFonts w:ascii="仿宋_GB2312" w:eastAsia="仿宋_GB2312"/>
                <w:sz w:val="24"/>
                <w:szCs w:val="24"/>
              </w:rPr>
            </w:pPr>
          </w:p>
        </w:tc>
        <w:tc>
          <w:tcPr>
            <w:tcW w:w="737" w:type="dxa"/>
            <w:vAlign w:val="center"/>
          </w:tcPr>
          <w:p>
            <w:pPr>
              <w:jc w:val="center"/>
              <w:rPr>
                <w:rFonts w:ascii="仿宋_GB2312" w:eastAsia="仿宋_GB2312"/>
                <w:sz w:val="24"/>
                <w:szCs w:val="24"/>
              </w:rPr>
            </w:pPr>
          </w:p>
        </w:tc>
        <w:tc>
          <w:tcPr>
            <w:tcW w:w="1035" w:type="dxa"/>
            <w:vAlign w:val="center"/>
          </w:tcPr>
          <w:p>
            <w:pPr>
              <w:jc w:val="center"/>
              <w:rPr>
                <w:rFonts w:ascii="仿宋_GB2312" w:eastAsia="仿宋_GB2312"/>
                <w:sz w:val="24"/>
                <w:szCs w:val="24"/>
              </w:rPr>
            </w:pPr>
          </w:p>
        </w:tc>
        <w:tc>
          <w:tcPr>
            <w:tcW w:w="1034" w:type="dxa"/>
            <w:vAlign w:val="center"/>
          </w:tcPr>
          <w:p>
            <w:pPr>
              <w:jc w:val="center"/>
              <w:rPr>
                <w:rFonts w:ascii="仿宋_GB2312" w:eastAsia="仿宋_GB2312"/>
                <w:sz w:val="24"/>
                <w:szCs w:val="24"/>
              </w:rPr>
            </w:pPr>
            <w:r>
              <w:rPr>
                <w:rFonts w:hint="eastAsia" w:ascii="仿宋_GB2312" w:eastAsia="仿宋_GB2312"/>
                <w:sz w:val="24"/>
                <w:szCs w:val="24"/>
              </w:rPr>
              <w:t>完成市下达指标</w:t>
            </w:r>
          </w:p>
        </w:tc>
        <w:tc>
          <w:tcPr>
            <w:tcW w:w="1033" w:type="dxa"/>
            <w:vAlign w:val="center"/>
          </w:tcPr>
          <w:p>
            <w:pPr>
              <w:jc w:val="center"/>
              <w:rPr>
                <w:rFonts w:ascii="仿宋_GB2312" w:eastAsia="仿宋_GB2312"/>
                <w:sz w:val="24"/>
                <w:szCs w:val="24"/>
              </w:rPr>
            </w:pPr>
          </w:p>
        </w:tc>
        <w:tc>
          <w:tcPr>
            <w:tcW w:w="1033" w:type="dxa"/>
            <w:vAlign w:val="center"/>
          </w:tcPr>
          <w:p>
            <w:pPr>
              <w:jc w:val="center"/>
              <w:rPr>
                <w:rFonts w:ascii="仿宋_GB2312" w:eastAsia="仿宋_GB2312"/>
                <w:sz w:val="24"/>
                <w:szCs w:val="24"/>
              </w:rPr>
            </w:pPr>
            <w:r>
              <w:rPr>
                <w:rFonts w:hint="eastAsia" w:ascii="仿宋_GB2312" w:eastAsia="仿宋_GB2312"/>
                <w:sz w:val="24"/>
                <w:szCs w:val="24"/>
              </w:rPr>
              <w:t>市下达指标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b/>
                <w:sz w:val="24"/>
                <w:szCs w:val="24"/>
              </w:rPr>
            </w:pPr>
            <w:r>
              <w:rPr>
                <w:rFonts w:hint="eastAsia" w:ascii="仿宋_GB2312" w:eastAsia="仿宋_GB2312"/>
                <w:b/>
                <w:sz w:val="24"/>
                <w:szCs w:val="24"/>
              </w:rPr>
              <w:t>二</w:t>
            </w:r>
          </w:p>
        </w:tc>
        <w:tc>
          <w:tcPr>
            <w:tcW w:w="1984" w:type="dxa"/>
            <w:vAlign w:val="center"/>
          </w:tcPr>
          <w:p>
            <w:pPr>
              <w:jc w:val="center"/>
              <w:rPr>
                <w:rFonts w:ascii="仿宋_GB2312" w:eastAsia="仿宋_GB2312"/>
                <w:b/>
                <w:sz w:val="24"/>
                <w:szCs w:val="24"/>
              </w:rPr>
            </w:pPr>
            <w:r>
              <w:rPr>
                <w:rFonts w:hint="eastAsia" w:ascii="仿宋_GB2312" w:eastAsia="仿宋_GB2312"/>
                <w:b/>
                <w:sz w:val="24"/>
                <w:szCs w:val="24"/>
              </w:rPr>
              <w:t>装配式建筑</w:t>
            </w:r>
          </w:p>
        </w:tc>
        <w:tc>
          <w:tcPr>
            <w:tcW w:w="760" w:type="dxa"/>
            <w:vAlign w:val="center"/>
          </w:tcPr>
          <w:p>
            <w:pPr>
              <w:jc w:val="center"/>
              <w:rPr>
                <w:rFonts w:ascii="仿宋_GB2312" w:eastAsia="仿宋_GB2312"/>
                <w:b/>
                <w:sz w:val="24"/>
                <w:szCs w:val="24"/>
              </w:rPr>
            </w:pPr>
          </w:p>
        </w:tc>
        <w:tc>
          <w:tcPr>
            <w:tcW w:w="737" w:type="dxa"/>
            <w:vAlign w:val="center"/>
          </w:tcPr>
          <w:p>
            <w:pPr>
              <w:jc w:val="center"/>
              <w:rPr>
                <w:rFonts w:ascii="仿宋_GB2312" w:eastAsia="仿宋_GB2312"/>
                <w:b/>
                <w:sz w:val="24"/>
                <w:szCs w:val="24"/>
              </w:rPr>
            </w:pPr>
          </w:p>
        </w:tc>
        <w:tc>
          <w:tcPr>
            <w:tcW w:w="737" w:type="dxa"/>
            <w:vAlign w:val="center"/>
          </w:tcPr>
          <w:p>
            <w:pPr>
              <w:jc w:val="center"/>
              <w:rPr>
                <w:rFonts w:ascii="仿宋_GB2312" w:eastAsia="仿宋_GB2312"/>
                <w:b/>
                <w:sz w:val="24"/>
                <w:szCs w:val="24"/>
              </w:rPr>
            </w:pPr>
          </w:p>
        </w:tc>
        <w:tc>
          <w:tcPr>
            <w:tcW w:w="737" w:type="dxa"/>
            <w:vAlign w:val="center"/>
          </w:tcPr>
          <w:p>
            <w:pPr>
              <w:jc w:val="center"/>
              <w:rPr>
                <w:rFonts w:ascii="仿宋_GB2312" w:eastAsia="仿宋_GB2312"/>
                <w:b/>
                <w:sz w:val="24"/>
                <w:szCs w:val="24"/>
              </w:rPr>
            </w:pPr>
          </w:p>
        </w:tc>
        <w:tc>
          <w:tcPr>
            <w:tcW w:w="1035" w:type="dxa"/>
            <w:vAlign w:val="center"/>
          </w:tcPr>
          <w:p>
            <w:pPr>
              <w:jc w:val="center"/>
              <w:rPr>
                <w:rFonts w:ascii="仿宋_GB2312" w:eastAsia="仿宋_GB2312"/>
                <w:b/>
                <w:sz w:val="24"/>
                <w:szCs w:val="24"/>
              </w:rPr>
            </w:pPr>
          </w:p>
        </w:tc>
        <w:tc>
          <w:tcPr>
            <w:tcW w:w="1034" w:type="dxa"/>
            <w:vAlign w:val="center"/>
          </w:tcPr>
          <w:p>
            <w:pPr>
              <w:jc w:val="center"/>
              <w:rPr>
                <w:rFonts w:ascii="仿宋_GB2312" w:eastAsia="仿宋_GB2312"/>
                <w:b/>
                <w:sz w:val="24"/>
                <w:szCs w:val="24"/>
              </w:rPr>
            </w:pPr>
          </w:p>
        </w:tc>
        <w:tc>
          <w:tcPr>
            <w:tcW w:w="1033" w:type="dxa"/>
            <w:vAlign w:val="center"/>
          </w:tcPr>
          <w:p>
            <w:pPr>
              <w:jc w:val="center"/>
              <w:rPr>
                <w:rFonts w:ascii="仿宋_GB2312" w:eastAsia="仿宋_GB2312"/>
                <w:b/>
                <w:sz w:val="24"/>
                <w:szCs w:val="24"/>
              </w:rPr>
            </w:pPr>
          </w:p>
        </w:tc>
        <w:tc>
          <w:tcPr>
            <w:tcW w:w="1033" w:type="dxa"/>
            <w:vAlign w:val="center"/>
          </w:tcPr>
          <w:p>
            <w:pPr>
              <w:jc w:val="center"/>
              <w:rPr>
                <w:rFonts w:ascii="仿宋_GB2312" w:eastAsia="仿宋_GB2312"/>
                <w:b/>
                <w:sz w:val="24"/>
                <w:szCs w:val="24"/>
              </w:rPr>
            </w:pPr>
            <w:r>
              <w:rPr>
                <w:rFonts w:hint="eastAsia" w:ascii="仿宋_GB2312" w:eastAsia="仿宋_GB2312"/>
                <w:b/>
                <w:sz w:val="24"/>
                <w:szCs w:val="24"/>
              </w:rPr>
              <w:t>2022年为已下达任务指标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新开工装配式建筑面积</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万平方米</w:t>
            </w:r>
          </w:p>
        </w:tc>
        <w:tc>
          <w:tcPr>
            <w:tcW w:w="737" w:type="dxa"/>
            <w:vAlign w:val="center"/>
          </w:tcPr>
          <w:p>
            <w:pPr>
              <w:jc w:val="center"/>
              <w:rPr>
                <w:rFonts w:ascii="仿宋_GB2312" w:eastAsia="仿宋_GB2312"/>
                <w:sz w:val="24"/>
                <w:szCs w:val="24"/>
              </w:rPr>
            </w:pP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40</w:t>
            </w:r>
          </w:p>
        </w:tc>
        <w:tc>
          <w:tcPr>
            <w:tcW w:w="737" w:type="dxa"/>
            <w:vAlign w:val="center"/>
          </w:tcPr>
          <w:p>
            <w:pPr>
              <w:jc w:val="center"/>
              <w:rPr>
                <w:rFonts w:ascii="仿宋_GB2312" w:eastAsia="仿宋_GB2312"/>
                <w:sz w:val="24"/>
                <w:szCs w:val="24"/>
              </w:rPr>
            </w:pPr>
          </w:p>
        </w:tc>
        <w:tc>
          <w:tcPr>
            <w:tcW w:w="1035" w:type="dxa"/>
            <w:vAlign w:val="center"/>
          </w:tcPr>
          <w:p>
            <w:pPr>
              <w:jc w:val="center"/>
              <w:rPr>
                <w:rFonts w:ascii="仿宋_GB2312" w:eastAsia="仿宋_GB2312"/>
                <w:sz w:val="24"/>
                <w:szCs w:val="24"/>
              </w:rPr>
            </w:pPr>
          </w:p>
        </w:tc>
        <w:tc>
          <w:tcPr>
            <w:tcW w:w="1034" w:type="dxa"/>
            <w:vAlign w:val="center"/>
          </w:tcPr>
          <w:p>
            <w:pPr>
              <w:jc w:val="center"/>
              <w:rPr>
                <w:rFonts w:ascii="仿宋_GB2312" w:eastAsia="仿宋_GB2312"/>
                <w:sz w:val="24"/>
                <w:szCs w:val="24"/>
              </w:rPr>
            </w:pPr>
            <w:r>
              <w:rPr>
                <w:rFonts w:hint="eastAsia" w:ascii="仿宋_GB2312" w:eastAsia="仿宋_GB2312"/>
                <w:sz w:val="24"/>
                <w:szCs w:val="24"/>
              </w:rPr>
              <w:t>完成市下达指标</w:t>
            </w:r>
          </w:p>
        </w:tc>
        <w:tc>
          <w:tcPr>
            <w:tcW w:w="1033" w:type="dxa"/>
            <w:vAlign w:val="center"/>
          </w:tcPr>
          <w:p>
            <w:pPr>
              <w:jc w:val="center"/>
              <w:rPr>
                <w:rFonts w:ascii="仿宋_GB2312" w:eastAsia="仿宋_GB2312"/>
                <w:sz w:val="24"/>
                <w:szCs w:val="24"/>
              </w:rPr>
            </w:pPr>
          </w:p>
        </w:tc>
        <w:tc>
          <w:tcPr>
            <w:tcW w:w="1033"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占新建建筑比例</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w:t>
            </w:r>
          </w:p>
        </w:tc>
        <w:tc>
          <w:tcPr>
            <w:tcW w:w="737" w:type="dxa"/>
            <w:vAlign w:val="center"/>
          </w:tcPr>
          <w:p>
            <w:pPr>
              <w:jc w:val="center"/>
              <w:rPr>
                <w:rFonts w:ascii="仿宋_GB2312" w:eastAsia="仿宋_GB2312"/>
                <w:sz w:val="24"/>
                <w:szCs w:val="24"/>
              </w:rPr>
            </w:pP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30</w:t>
            </w:r>
          </w:p>
        </w:tc>
        <w:tc>
          <w:tcPr>
            <w:tcW w:w="737" w:type="dxa"/>
            <w:vAlign w:val="center"/>
          </w:tcPr>
          <w:p>
            <w:pPr>
              <w:jc w:val="center"/>
              <w:rPr>
                <w:rFonts w:ascii="仿宋_GB2312" w:eastAsia="仿宋_GB2312"/>
                <w:sz w:val="24"/>
                <w:szCs w:val="24"/>
              </w:rPr>
            </w:pPr>
          </w:p>
        </w:tc>
        <w:tc>
          <w:tcPr>
            <w:tcW w:w="1035" w:type="dxa"/>
            <w:vAlign w:val="center"/>
          </w:tcPr>
          <w:p>
            <w:pPr>
              <w:jc w:val="center"/>
              <w:rPr>
                <w:rFonts w:ascii="仿宋_GB2312" w:eastAsia="仿宋_GB2312"/>
                <w:sz w:val="24"/>
                <w:szCs w:val="24"/>
              </w:rPr>
            </w:pPr>
          </w:p>
        </w:tc>
        <w:tc>
          <w:tcPr>
            <w:tcW w:w="1034" w:type="dxa"/>
            <w:vAlign w:val="center"/>
          </w:tcPr>
          <w:p>
            <w:pPr>
              <w:jc w:val="center"/>
              <w:rPr>
                <w:rFonts w:ascii="仿宋_GB2312" w:eastAsia="仿宋_GB2312"/>
                <w:sz w:val="24"/>
                <w:szCs w:val="24"/>
              </w:rPr>
            </w:pPr>
            <w:r>
              <w:rPr>
                <w:rFonts w:hint="eastAsia" w:ascii="仿宋_GB2312" w:eastAsia="仿宋_GB2312"/>
                <w:sz w:val="24"/>
                <w:szCs w:val="24"/>
              </w:rPr>
              <w:t>35</w:t>
            </w:r>
          </w:p>
        </w:tc>
        <w:tc>
          <w:tcPr>
            <w:tcW w:w="1033" w:type="dxa"/>
            <w:vAlign w:val="center"/>
          </w:tcPr>
          <w:p>
            <w:pPr>
              <w:jc w:val="center"/>
              <w:rPr>
                <w:rFonts w:ascii="仿宋_GB2312" w:eastAsia="仿宋_GB2312"/>
                <w:sz w:val="24"/>
                <w:szCs w:val="24"/>
              </w:rPr>
            </w:pPr>
          </w:p>
        </w:tc>
        <w:tc>
          <w:tcPr>
            <w:tcW w:w="1033"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3</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新开工装配式住宅面积</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万平方米</w:t>
            </w:r>
          </w:p>
        </w:tc>
        <w:tc>
          <w:tcPr>
            <w:tcW w:w="737" w:type="dxa"/>
            <w:vAlign w:val="center"/>
          </w:tcPr>
          <w:p>
            <w:pPr>
              <w:jc w:val="center"/>
              <w:rPr>
                <w:rFonts w:ascii="仿宋_GB2312" w:eastAsia="仿宋_GB2312"/>
                <w:sz w:val="24"/>
                <w:szCs w:val="24"/>
              </w:rPr>
            </w:pP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16</w:t>
            </w:r>
          </w:p>
        </w:tc>
        <w:tc>
          <w:tcPr>
            <w:tcW w:w="737" w:type="dxa"/>
            <w:vAlign w:val="center"/>
          </w:tcPr>
          <w:p>
            <w:pPr>
              <w:jc w:val="center"/>
              <w:rPr>
                <w:rFonts w:ascii="仿宋_GB2312" w:eastAsia="仿宋_GB2312"/>
                <w:sz w:val="24"/>
                <w:szCs w:val="24"/>
              </w:rPr>
            </w:pPr>
          </w:p>
        </w:tc>
        <w:tc>
          <w:tcPr>
            <w:tcW w:w="1035" w:type="dxa"/>
            <w:vAlign w:val="center"/>
          </w:tcPr>
          <w:p>
            <w:pPr>
              <w:jc w:val="center"/>
              <w:rPr>
                <w:rFonts w:ascii="仿宋_GB2312" w:eastAsia="仿宋_GB2312"/>
                <w:sz w:val="24"/>
                <w:szCs w:val="24"/>
              </w:rPr>
            </w:pPr>
          </w:p>
        </w:tc>
        <w:tc>
          <w:tcPr>
            <w:tcW w:w="1034" w:type="dxa"/>
            <w:vAlign w:val="center"/>
          </w:tcPr>
          <w:p>
            <w:pPr>
              <w:jc w:val="center"/>
              <w:rPr>
                <w:rFonts w:ascii="仿宋_GB2312" w:eastAsia="仿宋_GB2312"/>
                <w:sz w:val="24"/>
                <w:szCs w:val="24"/>
              </w:rPr>
            </w:pPr>
            <w:r>
              <w:rPr>
                <w:rFonts w:hint="eastAsia" w:ascii="仿宋_GB2312" w:eastAsia="仿宋_GB2312"/>
                <w:sz w:val="24"/>
                <w:szCs w:val="24"/>
              </w:rPr>
              <w:t>完成市下达指标</w:t>
            </w:r>
          </w:p>
        </w:tc>
        <w:tc>
          <w:tcPr>
            <w:tcW w:w="1033" w:type="dxa"/>
            <w:vAlign w:val="center"/>
          </w:tcPr>
          <w:p>
            <w:pPr>
              <w:jc w:val="center"/>
              <w:rPr>
                <w:rFonts w:ascii="仿宋_GB2312" w:eastAsia="仿宋_GB2312"/>
                <w:sz w:val="24"/>
                <w:szCs w:val="24"/>
              </w:rPr>
            </w:pPr>
          </w:p>
        </w:tc>
        <w:tc>
          <w:tcPr>
            <w:tcW w:w="1033"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4" w:type="dxa"/>
            <w:vAlign w:val="center"/>
          </w:tcPr>
          <w:p>
            <w:pPr>
              <w:jc w:val="center"/>
              <w:rPr>
                <w:rFonts w:ascii="仿宋_GB2312" w:eastAsia="仿宋_GB2312"/>
                <w:sz w:val="24"/>
                <w:szCs w:val="24"/>
              </w:rPr>
            </w:pPr>
            <w:r>
              <w:rPr>
                <w:rFonts w:hint="eastAsia" w:ascii="仿宋_GB2312" w:eastAsia="仿宋_GB2312"/>
                <w:sz w:val="24"/>
                <w:szCs w:val="24"/>
              </w:rPr>
              <w:t>4</w:t>
            </w:r>
          </w:p>
        </w:tc>
        <w:tc>
          <w:tcPr>
            <w:tcW w:w="1984" w:type="dxa"/>
            <w:vAlign w:val="center"/>
          </w:tcPr>
          <w:p>
            <w:pPr>
              <w:jc w:val="center"/>
              <w:rPr>
                <w:rFonts w:ascii="仿宋_GB2312" w:eastAsia="仿宋_GB2312"/>
                <w:sz w:val="24"/>
                <w:szCs w:val="24"/>
              </w:rPr>
            </w:pPr>
            <w:r>
              <w:rPr>
                <w:rFonts w:hint="eastAsia" w:ascii="仿宋_GB2312" w:eastAsia="仿宋_GB2312"/>
                <w:sz w:val="24"/>
                <w:szCs w:val="24"/>
              </w:rPr>
              <w:t>新开工钢结构住宅面积（含农房）</w:t>
            </w:r>
          </w:p>
        </w:tc>
        <w:tc>
          <w:tcPr>
            <w:tcW w:w="760" w:type="dxa"/>
            <w:vAlign w:val="center"/>
          </w:tcPr>
          <w:p>
            <w:pPr>
              <w:jc w:val="center"/>
              <w:rPr>
                <w:rFonts w:ascii="仿宋_GB2312" w:eastAsia="仿宋_GB2312"/>
                <w:sz w:val="24"/>
                <w:szCs w:val="24"/>
              </w:rPr>
            </w:pPr>
            <w:r>
              <w:rPr>
                <w:rFonts w:hint="eastAsia" w:ascii="仿宋_GB2312" w:eastAsia="仿宋_GB2312"/>
                <w:sz w:val="24"/>
                <w:szCs w:val="24"/>
              </w:rPr>
              <w:t>万平方米</w:t>
            </w:r>
          </w:p>
        </w:tc>
        <w:tc>
          <w:tcPr>
            <w:tcW w:w="737" w:type="dxa"/>
            <w:vAlign w:val="center"/>
          </w:tcPr>
          <w:p>
            <w:pPr>
              <w:jc w:val="center"/>
              <w:rPr>
                <w:rFonts w:ascii="仿宋_GB2312" w:eastAsia="仿宋_GB2312"/>
                <w:sz w:val="24"/>
                <w:szCs w:val="24"/>
              </w:rPr>
            </w:pPr>
          </w:p>
        </w:tc>
        <w:tc>
          <w:tcPr>
            <w:tcW w:w="737"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737" w:type="dxa"/>
            <w:vAlign w:val="center"/>
          </w:tcPr>
          <w:p>
            <w:pPr>
              <w:jc w:val="center"/>
              <w:rPr>
                <w:rFonts w:ascii="仿宋_GB2312" w:eastAsia="仿宋_GB2312"/>
                <w:sz w:val="24"/>
                <w:szCs w:val="24"/>
              </w:rPr>
            </w:pPr>
          </w:p>
        </w:tc>
        <w:tc>
          <w:tcPr>
            <w:tcW w:w="1035" w:type="dxa"/>
            <w:vAlign w:val="center"/>
          </w:tcPr>
          <w:p>
            <w:pPr>
              <w:jc w:val="center"/>
              <w:rPr>
                <w:rFonts w:ascii="仿宋_GB2312" w:eastAsia="仿宋_GB2312"/>
                <w:sz w:val="24"/>
                <w:szCs w:val="24"/>
              </w:rPr>
            </w:pPr>
          </w:p>
        </w:tc>
        <w:tc>
          <w:tcPr>
            <w:tcW w:w="1034" w:type="dxa"/>
            <w:vAlign w:val="center"/>
          </w:tcPr>
          <w:p>
            <w:pPr>
              <w:jc w:val="center"/>
              <w:rPr>
                <w:rFonts w:ascii="仿宋_GB2312" w:eastAsia="仿宋_GB2312"/>
                <w:sz w:val="24"/>
                <w:szCs w:val="24"/>
              </w:rPr>
            </w:pPr>
            <w:r>
              <w:rPr>
                <w:rFonts w:hint="eastAsia" w:ascii="仿宋_GB2312" w:eastAsia="仿宋_GB2312"/>
                <w:sz w:val="24"/>
                <w:szCs w:val="24"/>
              </w:rPr>
              <w:t>完成市下达指标</w:t>
            </w:r>
          </w:p>
        </w:tc>
        <w:tc>
          <w:tcPr>
            <w:tcW w:w="1033" w:type="dxa"/>
            <w:vAlign w:val="center"/>
          </w:tcPr>
          <w:p>
            <w:pPr>
              <w:jc w:val="center"/>
              <w:rPr>
                <w:rFonts w:ascii="仿宋_GB2312" w:eastAsia="仿宋_GB2312"/>
                <w:sz w:val="24"/>
                <w:szCs w:val="24"/>
              </w:rPr>
            </w:pPr>
          </w:p>
        </w:tc>
        <w:tc>
          <w:tcPr>
            <w:tcW w:w="1033" w:type="dxa"/>
            <w:vAlign w:val="center"/>
          </w:tcPr>
          <w:p>
            <w:pPr>
              <w:jc w:val="center"/>
              <w:rPr>
                <w:rFonts w:ascii="仿宋_GB2312" w:eastAsia="仿宋_GB2312"/>
                <w:sz w:val="24"/>
                <w:szCs w:val="24"/>
              </w:rPr>
            </w:pPr>
          </w:p>
        </w:tc>
      </w:tr>
    </w:tbl>
    <w:p>
      <w:pPr>
        <w:ind w:firstLine="640" w:firstLineChars="200"/>
        <w:jc w:val="left"/>
        <w:outlineLvl w:val="9"/>
        <w:rPr>
          <w:rFonts w:ascii="黑体" w:hAnsi="黑体" w:eastAsia="黑体"/>
          <w:sz w:val="32"/>
          <w:szCs w:val="32"/>
        </w:rPr>
      </w:pPr>
    </w:p>
    <w:p>
      <w:pPr>
        <w:ind w:firstLine="640" w:firstLineChars="200"/>
        <w:outlineLvl w:val="0"/>
        <w:rPr>
          <w:rFonts w:ascii="黑体" w:hAnsi="黑体" w:eastAsia="黑体"/>
          <w:sz w:val="32"/>
          <w:szCs w:val="32"/>
        </w:rPr>
      </w:pPr>
      <w:r>
        <w:rPr>
          <w:rFonts w:ascii="黑体" w:hAnsi="黑体" w:eastAsia="黑体"/>
          <w:sz w:val="32"/>
          <w:szCs w:val="32"/>
        </w:rPr>
        <w:br w:type="page"/>
      </w:r>
    </w:p>
    <w:p>
      <w:pPr>
        <w:ind w:firstLine="640" w:firstLineChars="200"/>
        <w:outlineLvl w:val="0"/>
        <w:rPr>
          <w:rFonts w:ascii="黑体" w:hAnsi="黑体" w:eastAsia="黑体"/>
          <w:sz w:val="32"/>
          <w:szCs w:val="32"/>
        </w:rPr>
      </w:pPr>
      <w:r>
        <w:rPr>
          <w:rFonts w:hint="eastAsia" w:ascii="黑体" w:hAnsi="黑体" w:eastAsia="黑体"/>
          <w:sz w:val="32"/>
          <w:szCs w:val="32"/>
        </w:rPr>
        <w:t>附件：桐庐县建筑领域（不含居民生活）碳排放现状与形势分析报告</w:t>
      </w:r>
      <w:bookmarkEnd w:id="17"/>
    </w:p>
    <w:p>
      <w:pPr>
        <w:ind w:firstLine="640" w:firstLineChars="200"/>
        <w:outlineLvl w:val="0"/>
        <w:rPr>
          <w:rFonts w:ascii="黑体" w:hAnsi="黑体" w:eastAsia="黑体"/>
          <w:sz w:val="32"/>
          <w:szCs w:val="32"/>
        </w:rPr>
      </w:pPr>
      <w:bookmarkStart w:id="18" w:name="_Toc16714"/>
      <w:r>
        <w:rPr>
          <w:rFonts w:hint="eastAsia" w:ascii="黑体" w:hAnsi="黑体" w:eastAsia="黑体"/>
          <w:sz w:val="32"/>
          <w:szCs w:val="32"/>
        </w:rPr>
        <w:t>一、建筑领域碳排放变化与特征</w:t>
      </w:r>
      <w:bookmarkEnd w:id="18"/>
    </w:p>
    <w:p>
      <w:pPr>
        <w:ind w:firstLine="643" w:firstLineChars="200"/>
        <w:rPr>
          <w:rFonts w:ascii="仿宋_GB2312" w:hAnsi="仿宋" w:eastAsia="仿宋_GB2312"/>
          <w:sz w:val="32"/>
          <w:szCs w:val="32"/>
        </w:rPr>
      </w:pPr>
      <w:r>
        <w:rPr>
          <w:rFonts w:hint="eastAsia" w:ascii="仿宋_GB2312" w:hAnsi="仿宋" w:eastAsia="仿宋_GB2312"/>
          <w:b/>
          <w:sz w:val="32"/>
          <w:szCs w:val="32"/>
        </w:rPr>
        <w:t>1.综合发展水平提升较快</w:t>
      </w:r>
      <w:r>
        <w:rPr>
          <w:rFonts w:hint="eastAsia" w:ascii="仿宋_GB2312" w:hAnsi="仿宋" w:eastAsia="仿宋_GB2312"/>
          <w:sz w:val="32"/>
          <w:szCs w:val="32"/>
        </w:rPr>
        <w:t>。根据《浙江省建筑领域各地市碳达峰编制》，建筑领域碳排放研究类别包括建筑业和公共建筑，其中公共建筑为第三产业中扣除交通运输的部分。经测算，2000-2020年期间，桐庐县建筑领域增加值从68.9亿元增加到190.66亿元，年均增速为10.7%（增加值名义增速，下同），占地区生产总值比重从35.7%提高到50.7%。其中，建筑业增加值从12.28亿元增加到29.54亿元，年均增速为9.2%；公共建筑增加值从56.62亿元增加到161.12亿元，年均增速为11%。建筑领域的快速发展为地区经济增长做出了扎实贡献，十年平均增长贡献率达到66.4%。</w:t>
      </w:r>
    </w:p>
    <w:p>
      <w:pPr>
        <w:jc w:val="center"/>
        <w:rPr>
          <w:rFonts w:ascii="黑体" w:hAnsi="黑体" w:eastAsia="黑体"/>
          <w:sz w:val="32"/>
          <w:szCs w:val="32"/>
        </w:rPr>
      </w:pPr>
      <w:r>
        <w:rPr>
          <w:rFonts w:hint="eastAsia" w:ascii="黑体" w:hAnsi="黑体" w:eastAsia="黑体"/>
          <w:sz w:val="32"/>
          <w:szCs w:val="32"/>
        </w:rPr>
        <w:t>表1 桐庐县建筑领域总体发展情况</w:t>
      </w:r>
    </w:p>
    <w:tbl>
      <w:tblPr>
        <w:tblStyle w:val="9"/>
        <w:tblW w:w="87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080"/>
        <w:gridCol w:w="1080"/>
        <w:gridCol w:w="120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restart"/>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年份</w:t>
            </w:r>
          </w:p>
        </w:tc>
        <w:tc>
          <w:tcPr>
            <w:tcW w:w="1080" w:type="dxa"/>
            <w:vMerge w:val="restart"/>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全县增加值（亿元）</w:t>
            </w:r>
          </w:p>
        </w:tc>
        <w:tc>
          <w:tcPr>
            <w:tcW w:w="2160" w:type="dxa"/>
            <w:gridSpan w:val="2"/>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建筑业</w:t>
            </w:r>
          </w:p>
        </w:tc>
        <w:tc>
          <w:tcPr>
            <w:tcW w:w="2280" w:type="dxa"/>
            <w:gridSpan w:val="2"/>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公共建筑（第三产业扣除交通运输）</w:t>
            </w:r>
          </w:p>
        </w:tc>
        <w:tc>
          <w:tcPr>
            <w:tcW w:w="2160" w:type="dxa"/>
            <w:gridSpan w:val="2"/>
            <w:shd w:val="clear" w:color="auto" w:fill="auto"/>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建筑领域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80" w:type="dxa"/>
            <w:vMerge w:val="continue"/>
            <w:vAlign w:val="center"/>
          </w:tcPr>
          <w:p>
            <w:pPr>
              <w:widowControl/>
              <w:jc w:val="left"/>
              <w:rPr>
                <w:rFonts w:ascii="宋体" w:hAnsi="宋体" w:eastAsia="宋体" w:cs="宋体"/>
                <w:b/>
                <w:color w:val="000000"/>
                <w:kern w:val="0"/>
                <w:szCs w:val="21"/>
              </w:rPr>
            </w:pPr>
          </w:p>
        </w:tc>
        <w:tc>
          <w:tcPr>
            <w:tcW w:w="1080" w:type="dxa"/>
            <w:vMerge w:val="continue"/>
            <w:vAlign w:val="center"/>
          </w:tcPr>
          <w:p>
            <w:pPr>
              <w:widowControl/>
              <w:jc w:val="left"/>
              <w:rPr>
                <w:rFonts w:ascii="宋体" w:hAnsi="宋体" w:eastAsia="宋体" w:cs="宋体"/>
                <w:b/>
                <w:color w:val="000000"/>
                <w:kern w:val="0"/>
                <w:szCs w:val="21"/>
              </w:rPr>
            </w:pP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增加值（亿元）</w:t>
            </w: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占比</w:t>
            </w: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增加值（亿元）</w:t>
            </w:r>
          </w:p>
        </w:tc>
        <w:tc>
          <w:tcPr>
            <w:tcW w:w="120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占比</w:t>
            </w: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增加值（亿元）</w:t>
            </w: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2010</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192.81</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12.28</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6.4%</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56.62</w:t>
            </w:r>
          </w:p>
        </w:tc>
        <w:tc>
          <w:tcPr>
            <w:tcW w:w="120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29.4%</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68.9</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2011</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229.59</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13.64</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5.9%</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70.62</w:t>
            </w:r>
          </w:p>
        </w:tc>
        <w:tc>
          <w:tcPr>
            <w:tcW w:w="120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30.8%</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84.26</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2012</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250.17</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11.97</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79.79</w:t>
            </w:r>
          </w:p>
        </w:tc>
        <w:tc>
          <w:tcPr>
            <w:tcW w:w="120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31.9%</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91.76</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2013</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262.6</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16.3</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87.97</w:t>
            </w:r>
          </w:p>
        </w:tc>
        <w:tc>
          <w:tcPr>
            <w:tcW w:w="120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33.5%</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104.27</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2014</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285.58</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14.47</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94.95</w:t>
            </w:r>
          </w:p>
        </w:tc>
        <w:tc>
          <w:tcPr>
            <w:tcW w:w="120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33.2%</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109.42</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2015</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310.45</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16.01</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108.56</w:t>
            </w:r>
          </w:p>
        </w:tc>
        <w:tc>
          <w:tcPr>
            <w:tcW w:w="120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35.0%</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124.57</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2016</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332.25</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15.62</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122.47</w:t>
            </w:r>
          </w:p>
        </w:tc>
        <w:tc>
          <w:tcPr>
            <w:tcW w:w="120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36.9%</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138.09</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2017</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352.08</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19.24</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5.5%</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139.16</w:t>
            </w:r>
          </w:p>
        </w:tc>
        <w:tc>
          <w:tcPr>
            <w:tcW w:w="120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39.5%</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158.4</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2018</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365.68</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24.02</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6.6%</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143.51</w:t>
            </w:r>
          </w:p>
        </w:tc>
        <w:tc>
          <w:tcPr>
            <w:tcW w:w="120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39.2%</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167.53</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2019</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386.39</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27.64</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7.2%</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153.61</w:t>
            </w:r>
          </w:p>
        </w:tc>
        <w:tc>
          <w:tcPr>
            <w:tcW w:w="120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39.8%</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181.25</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2020</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376.27</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29.54</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7.9%</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161.12</w:t>
            </w:r>
          </w:p>
        </w:tc>
        <w:tc>
          <w:tcPr>
            <w:tcW w:w="120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42.8%</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190.66</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50.7%</w:t>
            </w:r>
          </w:p>
        </w:tc>
      </w:tr>
    </w:tbl>
    <w:p>
      <w:pPr>
        <w:ind w:firstLine="643" w:firstLineChars="200"/>
        <w:rPr>
          <w:rFonts w:ascii="仿宋" w:hAnsi="仿宋" w:eastAsia="仿宋"/>
          <w:sz w:val="32"/>
          <w:szCs w:val="32"/>
        </w:rPr>
      </w:pPr>
      <w:r>
        <w:rPr>
          <w:rFonts w:hint="eastAsia" w:ascii="仿宋_GB2312" w:hAnsi="仿宋" w:eastAsia="仿宋_GB2312"/>
          <w:b/>
          <w:sz w:val="32"/>
          <w:szCs w:val="32"/>
        </w:rPr>
        <w:t>2.电力消费总量快速增长</w:t>
      </w:r>
      <w:r>
        <w:rPr>
          <w:rFonts w:hint="eastAsia" w:ascii="仿宋_GB2312" w:hAnsi="仿宋" w:eastAsia="仿宋_GB2312"/>
          <w:sz w:val="32"/>
          <w:szCs w:val="32"/>
        </w:rPr>
        <w:t>。根据省、市经验，建筑领域能源消费中，电力消费占比近七成；桐庐县建筑领域电力消费占终端能源消费的比重从2010年的67.5%提高到2020年的82.6%，电力消费成为我县建筑领域，特别是公共建筑领域能源消费和碳排放的重点。经测算，2010-2020年期间，桐庐县建筑领域用电量从1.73亿千瓦时增加到4.93亿千瓦时，增加了1.85倍，年均增速达到11%，占全社会用电量比重从12.3%提高到19.5%，增加了7.2个百分点。其中，公共建筑电力消费从1.5亿千瓦时提高到4.35亿千瓦时，年均增长达11.1%；建筑业电力消费从2303万千瓦时提高到6129万千瓦时，年均增长10.3%。</w:t>
      </w:r>
    </w:p>
    <w:p>
      <w:pPr>
        <w:jc w:val="center"/>
        <w:rPr>
          <w:rFonts w:ascii="黑体" w:hAnsi="黑体" w:eastAsia="黑体"/>
          <w:sz w:val="32"/>
          <w:szCs w:val="32"/>
        </w:rPr>
      </w:pPr>
      <w:r>
        <w:rPr>
          <w:rFonts w:hint="eastAsia" w:ascii="黑体" w:hAnsi="黑体" w:eastAsia="黑体"/>
          <w:sz w:val="32"/>
          <w:szCs w:val="32"/>
        </w:rPr>
        <w:t>表2 桐庐县建筑领域电力消费情况 单位：万千瓦时</w:t>
      </w:r>
    </w:p>
    <w:tbl>
      <w:tblPr>
        <w:tblStyle w:val="9"/>
        <w:tblW w:w="87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080"/>
        <w:gridCol w:w="1080"/>
        <w:gridCol w:w="120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restart"/>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年份</w:t>
            </w:r>
          </w:p>
        </w:tc>
        <w:tc>
          <w:tcPr>
            <w:tcW w:w="1080" w:type="dxa"/>
            <w:vMerge w:val="restart"/>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全社会用电量</w:t>
            </w:r>
          </w:p>
        </w:tc>
        <w:tc>
          <w:tcPr>
            <w:tcW w:w="2160" w:type="dxa"/>
            <w:gridSpan w:val="2"/>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建筑业</w:t>
            </w:r>
          </w:p>
        </w:tc>
        <w:tc>
          <w:tcPr>
            <w:tcW w:w="2280" w:type="dxa"/>
            <w:gridSpan w:val="2"/>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公共建筑</w:t>
            </w:r>
          </w:p>
        </w:tc>
        <w:tc>
          <w:tcPr>
            <w:tcW w:w="2160" w:type="dxa"/>
            <w:gridSpan w:val="2"/>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建筑领域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vAlign w:val="center"/>
          </w:tcPr>
          <w:p>
            <w:pPr>
              <w:widowControl/>
              <w:jc w:val="center"/>
              <w:rPr>
                <w:rFonts w:ascii="宋体" w:hAnsi="宋体" w:eastAsia="宋体" w:cs="宋体"/>
                <w:b/>
                <w:color w:val="000000"/>
                <w:kern w:val="0"/>
                <w:szCs w:val="21"/>
              </w:rPr>
            </w:pPr>
          </w:p>
        </w:tc>
        <w:tc>
          <w:tcPr>
            <w:tcW w:w="1080" w:type="dxa"/>
            <w:vMerge w:val="continue"/>
            <w:vAlign w:val="center"/>
          </w:tcPr>
          <w:p>
            <w:pPr>
              <w:widowControl/>
              <w:jc w:val="center"/>
              <w:rPr>
                <w:rFonts w:ascii="宋体" w:hAnsi="宋体" w:eastAsia="宋体" w:cs="宋体"/>
                <w:b/>
                <w:color w:val="000000"/>
                <w:kern w:val="0"/>
                <w:szCs w:val="21"/>
              </w:rPr>
            </w:pP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电力</w:t>
            </w:r>
          </w:p>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消费</w:t>
            </w: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占全社会用电量比重</w:t>
            </w: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电力</w:t>
            </w:r>
          </w:p>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消费</w:t>
            </w:r>
          </w:p>
        </w:tc>
        <w:tc>
          <w:tcPr>
            <w:tcW w:w="120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占全社会用电量比重</w:t>
            </w: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电力</w:t>
            </w:r>
          </w:p>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消费</w:t>
            </w: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占全社会用电量比重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2010</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140561</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2303</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1.6%</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15021</w:t>
            </w:r>
          </w:p>
        </w:tc>
        <w:tc>
          <w:tcPr>
            <w:tcW w:w="120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10.7%</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17324</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2011</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155741</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2851</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1.8%</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17856</w:t>
            </w:r>
          </w:p>
        </w:tc>
        <w:tc>
          <w:tcPr>
            <w:tcW w:w="120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11.5%</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20707</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2012</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158978</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2347</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1.5%</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22252</w:t>
            </w:r>
          </w:p>
        </w:tc>
        <w:tc>
          <w:tcPr>
            <w:tcW w:w="120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14.0%</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24599</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2013</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171972</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2981</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1.7%</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24657</w:t>
            </w:r>
          </w:p>
        </w:tc>
        <w:tc>
          <w:tcPr>
            <w:tcW w:w="120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14.3%</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27638</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2014</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179498</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3316</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1.8%</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24877</w:t>
            </w:r>
          </w:p>
        </w:tc>
        <w:tc>
          <w:tcPr>
            <w:tcW w:w="120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13.9%</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28193</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2015</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182949</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4505</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2.5%</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27670</w:t>
            </w:r>
          </w:p>
        </w:tc>
        <w:tc>
          <w:tcPr>
            <w:tcW w:w="120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15.1%</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32175</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2016</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220890</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4604</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2.1%</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32852</w:t>
            </w:r>
          </w:p>
        </w:tc>
        <w:tc>
          <w:tcPr>
            <w:tcW w:w="120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14.9%</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37456</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2017</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210857</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4023</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1.9%</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35248</w:t>
            </w:r>
          </w:p>
        </w:tc>
        <w:tc>
          <w:tcPr>
            <w:tcW w:w="120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16.7%</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39271</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2018</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233182</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3886</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1.7%</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39670</w:t>
            </w:r>
          </w:p>
        </w:tc>
        <w:tc>
          <w:tcPr>
            <w:tcW w:w="120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17.0%</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43556</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2019</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251794</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3107</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1.2%</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42827</w:t>
            </w:r>
          </w:p>
        </w:tc>
        <w:tc>
          <w:tcPr>
            <w:tcW w:w="120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17.0%</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45934</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2020</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253410</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6129</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2.4%</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43182</w:t>
            </w:r>
          </w:p>
        </w:tc>
        <w:tc>
          <w:tcPr>
            <w:tcW w:w="120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17.0%</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49311</w:t>
            </w:r>
          </w:p>
        </w:tc>
        <w:tc>
          <w:tcPr>
            <w:tcW w:w="1080" w:type="dxa"/>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19.5%</w:t>
            </w:r>
          </w:p>
        </w:tc>
      </w:tr>
    </w:tbl>
    <w:p>
      <w:pPr>
        <w:ind w:firstLine="643" w:firstLineChars="200"/>
        <w:rPr>
          <w:rFonts w:ascii="仿宋_GB2312" w:hAnsi="仿宋" w:eastAsia="仿宋_GB2312"/>
          <w:sz w:val="32"/>
          <w:szCs w:val="32"/>
        </w:rPr>
      </w:pPr>
      <w:r>
        <w:rPr>
          <w:rFonts w:hint="eastAsia" w:ascii="仿宋_GB2312" w:hAnsi="仿宋" w:eastAsia="仿宋_GB2312"/>
          <w:b/>
          <w:sz w:val="32"/>
          <w:szCs w:val="32"/>
        </w:rPr>
        <w:t>3.能源消费总量增长较快</w:t>
      </w:r>
      <w:r>
        <w:rPr>
          <w:rFonts w:hint="eastAsia" w:ascii="仿宋_GB2312" w:hAnsi="仿宋" w:eastAsia="仿宋_GB2312"/>
          <w:sz w:val="32"/>
          <w:szCs w:val="32"/>
        </w:rPr>
        <w:t>。桐庐县建筑领域能源消费品种主要包括电力、天然气、煤品、油品，以电气为主；其中，公共建筑领域暂无热力能源品种消费数据。总体来看，建筑领域能源消费总量快速提高，其中，公共建筑能源消费总量增长贡献度最大，十年平均贡献89.4%。经测算，2000-2020年期间，桐庐县建筑领域能源消费总量从8.21万吨标煤增加到17.01万吨标煤，年均增长7.6%，占全县能源消费总量从7.8%提高到11.6%。其中，建筑业消费总量从2.54万吨标煤提高到3.4万吨标煤，年均增长3%；公共建筑消费总量从5.67万吨标煤提高到13.61万吨标煤，年均增长9.1%。与省、市相比，我县建筑领域能源消费增速高于全省6.8%的增速，低于全市9.0%的增速。</w:t>
      </w:r>
    </w:p>
    <w:p>
      <w:pPr>
        <w:jc w:val="center"/>
        <w:rPr>
          <w:rFonts w:ascii="仿宋" w:hAnsi="仿宋" w:eastAsia="仿宋"/>
          <w:sz w:val="32"/>
          <w:szCs w:val="32"/>
        </w:rPr>
      </w:pPr>
      <w:r>
        <w:rPr>
          <w:rFonts w:hint="eastAsia" w:ascii="黑体" w:hAnsi="黑体" w:eastAsia="黑体"/>
          <w:sz w:val="32"/>
          <w:szCs w:val="32"/>
        </w:rPr>
        <w:t>表3 桐庐县建筑领域能源消耗情况 单位：万吨标煤</w:t>
      </w:r>
    </w:p>
    <w:tbl>
      <w:tblPr>
        <w:tblStyle w:val="9"/>
        <w:tblW w:w="87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080"/>
        <w:gridCol w:w="1080"/>
        <w:gridCol w:w="120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restart"/>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年份</w:t>
            </w:r>
          </w:p>
        </w:tc>
        <w:tc>
          <w:tcPr>
            <w:tcW w:w="2160" w:type="dxa"/>
            <w:gridSpan w:val="2"/>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建筑业能源消耗</w:t>
            </w:r>
          </w:p>
        </w:tc>
        <w:tc>
          <w:tcPr>
            <w:tcW w:w="2160" w:type="dxa"/>
            <w:gridSpan w:val="2"/>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公共建筑</w:t>
            </w:r>
          </w:p>
        </w:tc>
        <w:tc>
          <w:tcPr>
            <w:tcW w:w="2280" w:type="dxa"/>
            <w:gridSpan w:val="2"/>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建筑领域</w:t>
            </w:r>
          </w:p>
        </w:tc>
        <w:tc>
          <w:tcPr>
            <w:tcW w:w="1080" w:type="dxa"/>
            <w:vMerge w:val="restart"/>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全县能源消耗总量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80" w:type="dxa"/>
            <w:vMerge w:val="continue"/>
            <w:vAlign w:val="center"/>
          </w:tcPr>
          <w:p>
            <w:pPr>
              <w:widowControl/>
              <w:jc w:val="center"/>
              <w:rPr>
                <w:rFonts w:ascii="宋体" w:hAnsi="宋体" w:eastAsia="宋体" w:cs="宋体"/>
                <w:color w:val="000000"/>
                <w:kern w:val="0"/>
                <w:szCs w:val="21"/>
              </w:rPr>
            </w:pP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能源消耗</w:t>
            </w: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占全县比重</w:t>
            </w: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能源消耗</w:t>
            </w: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占全县比重</w:t>
            </w:r>
          </w:p>
        </w:tc>
        <w:tc>
          <w:tcPr>
            <w:tcW w:w="120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能源消耗</w:t>
            </w:r>
          </w:p>
        </w:tc>
        <w:tc>
          <w:tcPr>
            <w:tcW w:w="1080" w:type="dxa"/>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占全县比重</w:t>
            </w:r>
          </w:p>
        </w:tc>
        <w:tc>
          <w:tcPr>
            <w:tcW w:w="1080" w:type="dxa"/>
            <w:vMerge w:val="continue"/>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2010</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2.54</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5.67</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w:t>
            </w:r>
          </w:p>
        </w:tc>
        <w:tc>
          <w:tcPr>
            <w:tcW w:w="120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8.21</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7.7%</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2011</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3.13</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6.83</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w:t>
            </w:r>
          </w:p>
        </w:tc>
        <w:tc>
          <w:tcPr>
            <w:tcW w:w="120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9.96</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9.0%</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2012</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8.24</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7.2%</w:t>
            </w:r>
          </w:p>
        </w:tc>
        <w:tc>
          <w:tcPr>
            <w:tcW w:w="120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11.25</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9.8%</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2013</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3.31</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8.43</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7.2%</w:t>
            </w:r>
          </w:p>
        </w:tc>
        <w:tc>
          <w:tcPr>
            <w:tcW w:w="120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11.74</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2014</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3.35</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8.95</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7.5%</w:t>
            </w:r>
          </w:p>
        </w:tc>
        <w:tc>
          <w:tcPr>
            <w:tcW w:w="120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12.3</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2015</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3.66</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10.08</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8.3%</w:t>
            </w:r>
          </w:p>
        </w:tc>
        <w:tc>
          <w:tcPr>
            <w:tcW w:w="120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13.74</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11.4%</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2016</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3.34</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11.5</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9.1%</w:t>
            </w:r>
          </w:p>
        </w:tc>
        <w:tc>
          <w:tcPr>
            <w:tcW w:w="120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14.84</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11.8%</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2017</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2.82</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11.81</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9.2%</w:t>
            </w:r>
          </w:p>
        </w:tc>
        <w:tc>
          <w:tcPr>
            <w:tcW w:w="120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14.63</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11.4%</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2018</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2.35</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12.87</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w:t>
            </w:r>
          </w:p>
        </w:tc>
        <w:tc>
          <w:tcPr>
            <w:tcW w:w="120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15.22</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12.0%</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2019</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2.26</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13.79</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120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16.05</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2020</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13.61</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9.3%</w:t>
            </w:r>
          </w:p>
        </w:tc>
        <w:tc>
          <w:tcPr>
            <w:tcW w:w="120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17.01</w:t>
            </w:r>
          </w:p>
        </w:tc>
        <w:tc>
          <w:tcPr>
            <w:tcW w:w="1080"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w:t>
            </w:r>
          </w:p>
        </w:tc>
        <w:tc>
          <w:tcPr>
            <w:tcW w:w="1080" w:type="dxa"/>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147</w:t>
            </w:r>
          </w:p>
        </w:tc>
      </w:tr>
    </w:tbl>
    <w:p>
      <w:pPr>
        <w:ind w:firstLine="480" w:firstLineChars="200"/>
        <w:rPr>
          <w:rFonts w:asciiTheme="minorEastAsia" w:hAnsiTheme="minorEastAsia"/>
          <w:sz w:val="32"/>
          <w:szCs w:val="32"/>
        </w:rPr>
      </w:pPr>
      <w:r>
        <w:rPr>
          <w:rFonts w:hint="eastAsia" w:asciiTheme="minorEastAsia" w:hAnsiTheme="minorEastAsia"/>
          <w:sz w:val="24"/>
          <w:szCs w:val="32"/>
        </w:rPr>
        <w:t>根据省、市数据，2010-2019年，全省建筑领域能耗总量从1483万吨标煤提高到2689万吨标煤、年均增长6.8%；全市建筑领域能耗总量从358.89万吨标煤提高到780.51万吨标煤，年均增长9.0%。</w:t>
      </w:r>
    </w:p>
    <w:p>
      <w:pPr>
        <w:ind w:firstLine="643" w:firstLineChars="200"/>
        <w:rPr>
          <w:rFonts w:ascii="仿宋_GB2312" w:hAnsi="仿宋" w:eastAsia="仿宋_GB2312"/>
          <w:sz w:val="32"/>
          <w:szCs w:val="32"/>
        </w:rPr>
      </w:pPr>
      <w:r>
        <w:rPr>
          <w:rFonts w:hint="eastAsia" w:ascii="仿宋_GB2312" w:hAnsi="仿宋" w:eastAsia="仿宋_GB2312"/>
          <w:b/>
          <w:sz w:val="32"/>
          <w:szCs w:val="32"/>
        </w:rPr>
        <w:t>4.二氧化碳排放量增长较快</w:t>
      </w:r>
      <w:r>
        <w:rPr>
          <w:rFonts w:hint="eastAsia" w:ascii="仿宋_GB2312" w:hAnsi="仿宋" w:eastAsia="仿宋_GB2312"/>
          <w:sz w:val="32"/>
          <w:szCs w:val="32"/>
        </w:rPr>
        <w:t>。根据桐庐县建筑领域各能源消费情况和相应碳排放系数可以测算得到二氧化碳排放量。经测算，2010-2020年期间，桐庐县建筑领域二氧化碳排放量从17.25万吨提高到30.96万吨，年均增长6.0%，占全县二氧化碳排放量比重从6.9%提高到10.2%。其中，建筑业碳排放从4.82万吨提高到6.1万吨，年均增长2.4%；公共建筑碳排放从12.43万吨提高到24.86万吨，年均增长7.2%。与省、市相比，我县建筑领域二氧化碳排放增速高于全省4.4%的增速，低于全市9.0%的增速。</w:t>
      </w:r>
    </w:p>
    <w:p>
      <w:pPr>
        <w:jc w:val="center"/>
        <w:rPr>
          <w:rFonts w:ascii="仿宋_GB2312" w:hAnsi="仿宋" w:eastAsia="仿宋_GB2312"/>
          <w:sz w:val="32"/>
          <w:szCs w:val="32"/>
        </w:rPr>
      </w:pPr>
      <w:r>
        <w:rPr>
          <w:rFonts w:hint="eastAsia" w:ascii="黑体" w:hAnsi="黑体" w:eastAsia="黑体"/>
          <w:sz w:val="32"/>
          <w:szCs w:val="32"/>
        </w:rPr>
        <w:t>表4桐庐县建筑领域二氧化碳排放情况 单位：万吨</w:t>
      </w:r>
    </w:p>
    <w:tbl>
      <w:tblPr>
        <w:tblStyle w:val="9"/>
        <w:tblW w:w="87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080"/>
        <w:gridCol w:w="1080"/>
        <w:gridCol w:w="120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restart"/>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年份</w:t>
            </w:r>
          </w:p>
        </w:tc>
        <w:tc>
          <w:tcPr>
            <w:tcW w:w="2160" w:type="dxa"/>
            <w:gridSpan w:val="2"/>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建筑业</w:t>
            </w:r>
          </w:p>
        </w:tc>
        <w:tc>
          <w:tcPr>
            <w:tcW w:w="2160" w:type="dxa"/>
            <w:gridSpan w:val="2"/>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公共建筑</w:t>
            </w:r>
          </w:p>
        </w:tc>
        <w:tc>
          <w:tcPr>
            <w:tcW w:w="2280" w:type="dxa"/>
            <w:gridSpan w:val="2"/>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建筑领域</w:t>
            </w:r>
          </w:p>
        </w:tc>
        <w:tc>
          <w:tcPr>
            <w:tcW w:w="1080" w:type="dxa"/>
            <w:vMerge w:val="restart"/>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全县二氧化碳排放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80" w:type="dxa"/>
            <w:vMerge w:val="continue"/>
            <w:vAlign w:val="center"/>
          </w:tcPr>
          <w:p>
            <w:pPr>
              <w:widowControl/>
              <w:jc w:val="center"/>
              <w:rPr>
                <w:rFonts w:ascii="Times New Roman" w:hAnsi="Times New Roman" w:eastAsia="仿宋_GB2312" w:cs="Times New Roman"/>
                <w:color w:val="000000"/>
                <w:kern w:val="0"/>
                <w:szCs w:val="21"/>
              </w:rPr>
            </w:pPr>
          </w:p>
        </w:tc>
        <w:tc>
          <w:tcPr>
            <w:tcW w:w="1080" w:type="dxa"/>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二氧化碳排放</w:t>
            </w:r>
          </w:p>
        </w:tc>
        <w:tc>
          <w:tcPr>
            <w:tcW w:w="1080" w:type="dxa"/>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占全县比重</w:t>
            </w:r>
          </w:p>
        </w:tc>
        <w:tc>
          <w:tcPr>
            <w:tcW w:w="1080" w:type="dxa"/>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二氧化碳排放</w:t>
            </w:r>
          </w:p>
        </w:tc>
        <w:tc>
          <w:tcPr>
            <w:tcW w:w="1080" w:type="dxa"/>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占全县比重</w:t>
            </w:r>
          </w:p>
        </w:tc>
        <w:tc>
          <w:tcPr>
            <w:tcW w:w="1200" w:type="dxa"/>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二氧化碳排放</w:t>
            </w:r>
          </w:p>
        </w:tc>
        <w:tc>
          <w:tcPr>
            <w:tcW w:w="1080" w:type="dxa"/>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占全县比重</w:t>
            </w:r>
          </w:p>
        </w:tc>
        <w:tc>
          <w:tcPr>
            <w:tcW w:w="1080" w:type="dxa"/>
            <w:vMerge w:val="continue"/>
            <w:vAlign w:val="center"/>
          </w:tcPr>
          <w:p>
            <w:pPr>
              <w:widowControl/>
              <w:jc w:val="center"/>
              <w:rPr>
                <w:rFonts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2010</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4.82</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1.9%</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12.43</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5.0%</w:t>
            </w:r>
          </w:p>
        </w:tc>
        <w:tc>
          <w:tcPr>
            <w:tcW w:w="120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17.25</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6.9%</w:t>
            </w:r>
          </w:p>
        </w:tc>
        <w:tc>
          <w:tcPr>
            <w:tcW w:w="1080" w:type="dxa"/>
            <w:shd w:val="clear" w:color="auto" w:fill="auto"/>
            <w:noWrap/>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2011</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5.94</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2.3%</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14.9</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5.8%</w:t>
            </w:r>
          </w:p>
        </w:tc>
        <w:tc>
          <w:tcPr>
            <w:tcW w:w="120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20.84</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8.0%</w:t>
            </w:r>
          </w:p>
        </w:tc>
        <w:tc>
          <w:tcPr>
            <w:tcW w:w="1080" w:type="dxa"/>
            <w:shd w:val="clear" w:color="auto" w:fill="auto"/>
            <w:noWrap/>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259.12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2012</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5.63</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2.1%</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17.92</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6.7%</w:t>
            </w:r>
          </w:p>
        </w:tc>
        <w:tc>
          <w:tcPr>
            <w:tcW w:w="120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23.55</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8.8%</w:t>
            </w:r>
          </w:p>
        </w:tc>
        <w:tc>
          <w:tcPr>
            <w:tcW w:w="1080" w:type="dxa"/>
            <w:shd w:val="clear" w:color="auto" w:fill="auto"/>
            <w:noWrap/>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267.30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2013</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6.36</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2.3%</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19.58</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7.1%</w:t>
            </w:r>
          </w:p>
        </w:tc>
        <w:tc>
          <w:tcPr>
            <w:tcW w:w="120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25.94</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9.3%</w:t>
            </w:r>
          </w:p>
        </w:tc>
        <w:tc>
          <w:tcPr>
            <w:tcW w:w="1080" w:type="dxa"/>
            <w:shd w:val="clear" w:color="auto" w:fill="auto"/>
            <w:noWrap/>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277.44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2014</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6.51</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2.3%</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20.59</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7.3%</w:t>
            </w:r>
          </w:p>
        </w:tc>
        <w:tc>
          <w:tcPr>
            <w:tcW w:w="120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27.1</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9.6%</w:t>
            </w:r>
          </w:p>
        </w:tc>
        <w:tc>
          <w:tcPr>
            <w:tcW w:w="1080" w:type="dxa"/>
            <w:shd w:val="clear" w:color="auto" w:fill="auto"/>
            <w:noWrap/>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281.31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2015</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6.64</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2.6%</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19.04</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7.4%</w:t>
            </w:r>
          </w:p>
        </w:tc>
        <w:tc>
          <w:tcPr>
            <w:tcW w:w="120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25.68</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9.9%</w:t>
            </w:r>
          </w:p>
        </w:tc>
        <w:tc>
          <w:tcPr>
            <w:tcW w:w="1080" w:type="dxa"/>
            <w:shd w:val="clear" w:color="auto" w:fill="auto"/>
            <w:noWrap/>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2016</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6.12</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2.3%</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21.95</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8.2%</w:t>
            </w:r>
          </w:p>
        </w:tc>
        <w:tc>
          <w:tcPr>
            <w:tcW w:w="120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28.07</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10.5%</w:t>
            </w:r>
          </w:p>
        </w:tc>
        <w:tc>
          <w:tcPr>
            <w:tcW w:w="1080" w:type="dxa"/>
            <w:shd w:val="clear" w:color="auto" w:fill="auto"/>
            <w:noWrap/>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266.82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2017</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5.14</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1.9%</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22.53</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8.3%</w:t>
            </w:r>
          </w:p>
        </w:tc>
        <w:tc>
          <w:tcPr>
            <w:tcW w:w="120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27.67</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10.1%</w:t>
            </w:r>
          </w:p>
        </w:tc>
        <w:tc>
          <w:tcPr>
            <w:tcW w:w="1080" w:type="dxa"/>
            <w:shd w:val="clear" w:color="auto" w:fill="auto"/>
            <w:noWrap/>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272.70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2018</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4.22</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1.6%</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23.49</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9.1%</w:t>
            </w:r>
          </w:p>
        </w:tc>
        <w:tc>
          <w:tcPr>
            <w:tcW w:w="120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27.71</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10.7%</w:t>
            </w:r>
          </w:p>
        </w:tc>
        <w:tc>
          <w:tcPr>
            <w:tcW w:w="1080" w:type="dxa"/>
            <w:shd w:val="clear" w:color="auto" w:fill="auto"/>
            <w:noWrap/>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258.06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2019</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4.02</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1.4%</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25.15</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8.9%</w:t>
            </w:r>
          </w:p>
        </w:tc>
        <w:tc>
          <w:tcPr>
            <w:tcW w:w="120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29.17</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10.3%</w:t>
            </w:r>
          </w:p>
        </w:tc>
        <w:tc>
          <w:tcPr>
            <w:tcW w:w="1080" w:type="dxa"/>
            <w:shd w:val="clear" w:color="auto" w:fill="auto"/>
            <w:noWrap/>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283.74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2020</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6.1</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24.86</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8.2%</w:t>
            </w:r>
          </w:p>
        </w:tc>
        <w:tc>
          <w:tcPr>
            <w:tcW w:w="120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30.96</w:t>
            </w:r>
          </w:p>
        </w:tc>
        <w:tc>
          <w:tcPr>
            <w:tcW w:w="1080" w:type="dxa"/>
            <w:shd w:val="clear" w:color="auto" w:fill="auto"/>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10.2%</w:t>
            </w:r>
          </w:p>
        </w:tc>
        <w:tc>
          <w:tcPr>
            <w:tcW w:w="1080" w:type="dxa"/>
            <w:shd w:val="clear" w:color="auto" w:fill="auto"/>
            <w:noWrap/>
            <w:vAlign w:val="bottom"/>
          </w:tcPr>
          <w:p>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303.40</w:t>
            </w:r>
          </w:p>
        </w:tc>
      </w:tr>
    </w:tbl>
    <w:p>
      <w:pPr>
        <w:ind w:firstLine="480" w:firstLineChars="200"/>
        <w:rPr>
          <w:rFonts w:ascii="仿宋_GB2312" w:hAnsi="仿宋" w:eastAsia="仿宋_GB2312"/>
          <w:b/>
          <w:sz w:val="32"/>
          <w:szCs w:val="32"/>
        </w:rPr>
      </w:pPr>
      <w:r>
        <w:rPr>
          <w:rFonts w:hint="eastAsia" w:asciiTheme="minorEastAsia" w:hAnsiTheme="minorEastAsia"/>
          <w:sz w:val="24"/>
          <w:szCs w:val="32"/>
        </w:rPr>
        <w:t>备注：根据省、市数据，2010-2019年，全省建筑领域二氧化碳排放总量从3423万吨提高到4889万吨、年均增长4.4%；全市建筑领域二氧化碳排放总量从794.09万吨提高到1374.95万吨，年均增长9.0%。</w:t>
      </w:r>
    </w:p>
    <w:p>
      <w:pPr>
        <w:ind w:firstLine="643" w:firstLineChars="200"/>
        <w:rPr>
          <w:rFonts w:ascii="仿宋_GB2312" w:hAnsi="仿宋" w:eastAsia="仿宋_GB2312"/>
          <w:sz w:val="32"/>
          <w:szCs w:val="32"/>
        </w:rPr>
      </w:pPr>
      <w:r>
        <w:rPr>
          <w:rFonts w:hint="eastAsia" w:ascii="仿宋_GB2312" w:hAnsi="仿宋" w:eastAsia="仿宋_GB2312"/>
          <w:b/>
          <w:sz w:val="32"/>
          <w:szCs w:val="32"/>
        </w:rPr>
        <w:t>5.重点领域和排放源为四大行业。</w:t>
      </w:r>
      <w:r>
        <w:rPr>
          <w:rFonts w:hint="eastAsia" w:ascii="仿宋_GB2312" w:hAnsi="仿宋" w:eastAsia="仿宋_GB2312"/>
          <w:sz w:val="32"/>
          <w:szCs w:val="32"/>
        </w:rPr>
        <w:t>根据桐庐县各行业电力消费情况可以基本确定建筑领域碳排放重点领域和排放源，即公共服务和管理组织、批发和零售业，建筑业，以及住宿和餐饮业。以2020年为例，公共服务和管理组织、批发和零售业、建筑业，以及住宿和餐饮业四大行业的电力消费分别为14897万千瓦时、9107万千瓦时、6129万千瓦时、6107万千瓦时，合计达到36240万千瓦时，占建筑领域电力消费比重达到73%。四大行业是未来桐庐县建筑领域能耗双控、碳排放双控的重点领域。</w:t>
      </w:r>
    </w:p>
    <w:p>
      <w:pPr>
        <w:ind w:firstLine="640" w:firstLineChars="200"/>
        <w:outlineLvl w:val="0"/>
        <w:rPr>
          <w:rFonts w:ascii="黑体" w:hAnsi="黑体" w:eastAsia="黑体"/>
          <w:sz w:val="32"/>
          <w:szCs w:val="32"/>
        </w:rPr>
      </w:pPr>
      <w:bookmarkStart w:id="19" w:name="_Toc600"/>
      <w:r>
        <w:rPr>
          <w:rFonts w:hint="eastAsia" w:ascii="黑体" w:hAnsi="黑体" w:eastAsia="黑体"/>
          <w:sz w:val="32"/>
          <w:szCs w:val="32"/>
        </w:rPr>
        <w:t>二、建筑领域碳排放趋势与预测</w:t>
      </w:r>
      <w:bookmarkEnd w:id="19"/>
    </w:p>
    <w:p>
      <w:pPr>
        <w:ind w:firstLine="643" w:firstLineChars="200"/>
        <w:rPr>
          <w:rFonts w:ascii="仿宋_GB2312" w:hAnsi="仿宋" w:eastAsia="仿宋_GB2312"/>
          <w:sz w:val="32"/>
          <w:szCs w:val="32"/>
        </w:rPr>
      </w:pPr>
      <w:r>
        <w:rPr>
          <w:rFonts w:hint="eastAsia" w:ascii="仿宋_GB2312" w:hAnsi="仿宋" w:eastAsia="仿宋_GB2312"/>
          <w:b/>
          <w:sz w:val="32"/>
          <w:szCs w:val="32"/>
        </w:rPr>
        <w:t>1.建筑领域碳排放控制的难度较大</w:t>
      </w:r>
      <w:r>
        <w:rPr>
          <w:rFonts w:hint="eastAsia" w:ascii="仿宋_GB2312" w:hAnsi="仿宋" w:eastAsia="仿宋_GB2312"/>
          <w:sz w:val="32"/>
          <w:szCs w:val="32"/>
        </w:rPr>
        <w:t>。根据省、市经验，建筑领域能耗和碳排放的因素主要包括：地区人口数、地区增加值、第三产业增加值、建成区面积、城镇化水平等。根据相关研究结果，在现有的建筑规模增速、人口增长趋势和节能技术下，杭州市建筑领域的碳排放总量仍将持续保持增长，并在2030 年以前不会实现达峰。经测算分析，考虑适度经济增速、人口增长趋势，第三产业增加值占比提高、建成区面积扩张、城镇化水平提高的前提下，桐庐县建筑领域的碳排放总量仍将保持快速增长，实现碳达峰的难度较大。</w:t>
      </w:r>
    </w:p>
    <w:p>
      <w:pPr>
        <w:ind w:firstLine="643" w:firstLineChars="200"/>
        <w:rPr>
          <w:rFonts w:ascii="仿宋_GB2312" w:hAnsi="仿宋" w:eastAsia="仿宋_GB2312"/>
          <w:sz w:val="32"/>
          <w:szCs w:val="32"/>
        </w:rPr>
      </w:pPr>
      <w:r>
        <w:rPr>
          <w:rFonts w:hint="eastAsia" w:ascii="仿宋_GB2312" w:hAnsi="仿宋" w:eastAsia="仿宋_GB2312"/>
          <w:b/>
          <w:sz w:val="32"/>
          <w:szCs w:val="32"/>
        </w:rPr>
        <w:t>2.建筑领域碳排放控制以优化能源供需结构为关键路径</w:t>
      </w:r>
      <w:r>
        <w:rPr>
          <w:rFonts w:hint="eastAsia" w:ascii="仿宋_GB2312" w:hAnsi="仿宋" w:eastAsia="仿宋_GB2312"/>
          <w:sz w:val="32"/>
          <w:szCs w:val="32"/>
        </w:rPr>
        <w:t>。《浙江省建筑领域各地市碳达峰编制（讨论稿）》明确，建筑领域二氧化碳排放包括：能源活动二氧化碳直接排放、电力调入蕴含的间接排放数据。为合理控制建筑领域碳排放，对桐庐县建筑领域能源消耗进行科学、准确、合理界定，以优化能源供需结构为关键路径，大力发展清洁电力，牢牢抓住建筑设计节能率这个关键变量，努力为全县碳排放双控作出更大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323479"/>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030886"/>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5MmVmNjVjNzM3ZGRjZWM0NmNlMThiNzk5ZGJkZDQifQ=="/>
  </w:docVars>
  <w:rsids>
    <w:rsidRoot w:val="003355E7"/>
    <w:rsid w:val="00011521"/>
    <w:rsid w:val="0002530A"/>
    <w:rsid w:val="000345F7"/>
    <w:rsid w:val="00056689"/>
    <w:rsid w:val="000617BE"/>
    <w:rsid w:val="000716AE"/>
    <w:rsid w:val="00083B67"/>
    <w:rsid w:val="000A49A9"/>
    <w:rsid w:val="000B204C"/>
    <w:rsid w:val="000C2590"/>
    <w:rsid w:val="000C2ACF"/>
    <w:rsid w:val="000C6E16"/>
    <w:rsid w:val="001153B5"/>
    <w:rsid w:val="00130F21"/>
    <w:rsid w:val="001715AF"/>
    <w:rsid w:val="00181C89"/>
    <w:rsid w:val="001C20D2"/>
    <w:rsid w:val="002227FE"/>
    <w:rsid w:val="00225619"/>
    <w:rsid w:val="0024218C"/>
    <w:rsid w:val="0025553F"/>
    <w:rsid w:val="0027036F"/>
    <w:rsid w:val="00287E52"/>
    <w:rsid w:val="002B3819"/>
    <w:rsid w:val="002F3A5F"/>
    <w:rsid w:val="00335125"/>
    <w:rsid w:val="003355E7"/>
    <w:rsid w:val="0034311A"/>
    <w:rsid w:val="003630E9"/>
    <w:rsid w:val="00367493"/>
    <w:rsid w:val="0037057A"/>
    <w:rsid w:val="00375AA4"/>
    <w:rsid w:val="00392440"/>
    <w:rsid w:val="00421914"/>
    <w:rsid w:val="00424910"/>
    <w:rsid w:val="00424E18"/>
    <w:rsid w:val="004262FD"/>
    <w:rsid w:val="00434268"/>
    <w:rsid w:val="00443CFF"/>
    <w:rsid w:val="00444183"/>
    <w:rsid w:val="004478B1"/>
    <w:rsid w:val="00465178"/>
    <w:rsid w:val="004668E8"/>
    <w:rsid w:val="0047592B"/>
    <w:rsid w:val="00481EDA"/>
    <w:rsid w:val="004D0D04"/>
    <w:rsid w:val="004E1ADA"/>
    <w:rsid w:val="00503F84"/>
    <w:rsid w:val="00505769"/>
    <w:rsid w:val="0051563A"/>
    <w:rsid w:val="0051713F"/>
    <w:rsid w:val="005255F3"/>
    <w:rsid w:val="00536321"/>
    <w:rsid w:val="0054403D"/>
    <w:rsid w:val="0059606A"/>
    <w:rsid w:val="005B2F33"/>
    <w:rsid w:val="005B4D8E"/>
    <w:rsid w:val="005B6782"/>
    <w:rsid w:val="0062644F"/>
    <w:rsid w:val="00645A34"/>
    <w:rsid w:val="00650B95"/>
    <w:rsid w:val="00670535"/>
    <w:rsid w:val="00674BE1"/>
    <w:rsid w:val="006839CC"/>
    <w:rsid w:val="006A3447"/>
    <w:rsid w:val="006E3073"/>
    <w:rsid w:val="007014E4"/>
    <w:rsid w:val="0070574C"/>
    <w:rsid w:val="0071005A"/>
    <w:rsid w:val="00733B26"/>
    <w:rsid w:val="0074658D"/>
    <w:rsid w:val="00750031"/>
    <w:rsid w:val="00753ED6"/>
    <w:rsid w:val="00797C96"/>
    <w:rsid w:val="007C2DFD"/>
    <w:rsid w:val="007F0E62"/>
    <w:rsid w:val="00837159"/>
    <w:rsid w:val="0084065F"/>
    <w:rsid w:val="00851CC2"/>
    <w:rsid w:val="0086199F"/>
    <w:rsid w:val="0087472C"/>
    <w:rsid w:val="008830CC"/>
    <w:rsid w:val="008A37E1"/>
    <w:rsid w:val="008C5619"/>
    <w:rsid w:val="008D3DFA"/>
    <w:rsid w:val="009145E0"/>
    <w:rsid w:val="00943339"/>
    <w:rsid w:val="00945695"/>
    <w:rsid w:val="00947754"/>
    <w:rsid w:val="00984D2F"/>
    <w:rsid w:val="009A1B82"/>
    <w:rsid w:val="009D685F"/>
    <w:rsid w:val="009F657A"/>
    <w:rsid w:val="009F6CE5"/>
    <w:rsid w:val="00A05E59"/>
    <w:rsid w:val="00A13A4F"/>
    <w:rsid w:val="00A23286"/>
    <w:rsid w:val="00A31367"/>
    <w:rsid w:val="00A472A1"/>
    <w:rsid w:val="00A50A27"/>
    <w:rsid w:val="00A55568"/>
    <w:rsid w:val="00A572DC"/>
    <w:rsid w:val="00A606DF"/>
    <w:rsid w:val="00A646EB"/>
    <w:rsid w:val="00A677F2"/>
    <w:rsid w:val="00AA1ACB"/>
    <w:rsid w:val="00AB6BB1"/>
    <w:rsid w:val="00AC2AE6"/>
    <w:rsid w:val="00AD539B"/>
    <w:rsid w:val="00AE05CB"/>
    <w:rsid w:val="00AE1E59"/>
    <w:rsid w:val="00AE75A5"/>
    <w:rsid w:val="00AE7A87"/>
    <w:rsid w:val="00B030B5"/>
    <w:rsid w:val="00B3742D"/>
    <w:rsid w:val="00B50F7E"/>
    <w:rsid w:val="00B70CE2"/>
    <w:rsid w:val="00BA4B7C"/>
    <w:rsid w:val="00BA668B"/>
    <w:rsid w:val="00BD11DE"/>
    <w:rsid w:val="00BF15CF"/>
    <w:rsid w:val="00BF1FEF"/>
    <w:rsid w:val="00C0755D"/>
    <w:rsid w:val="00C21EB2"/>
    <w:rsid w:val="00C4689D"/>
    <w:rsid w:val="00C550FD"/>
    <w:rsid w:val="00C7483D"/>
    <w:rsid w:val="00C85894"/>
    <w:rsid w:val="00C86061"/>
    <w:rsid w:val="00C91082"/>
    <w:rsid w:val="00CA6192"/>
    <w:rsid w:val="00CE2DF4"/>
    <w:rsid w:val="00D11EA9"/>
    <w:rsid w:val="00D15F97"/>
    <w:rsid w:val="00D17B4A"/>
    <w:rsid w:val="00D211B5"/>
    <w:rsid w:val="00D21E20"/>
    <w:rsid w:val="00D242E4"/>
    <w:rsid w:val="00D5440A"/>
    <w:rsid w:val="00D86445"/>
    <w:rsid w:val="00D87D45"/>
    <w:rsid w:val="00D969F4"/>
    <w:rsid w:val="00D97992"/>
    <w:rsid w:val="00DD6E92"/>
    <w:rsid w:val="00DE00EF"/>
    <w:rsid w:val="00DE6A5F"/>
    <w:rsid w:val="00E0642A"/>
    <w:rsid w:val="00E140F7"/>
    <w:rsid w:val="00E35829"/>
    <w:rsid w:val="00E60875"/>
    <w:rsid w:val="00E74FE6"/>
    <w:rsid w:val="00EC5376"/>
    <w:rsid w:val="00ED6186"/>
    <w:rsid w:val="00EF5804"/>
    <w:rsid w:val="00F23312"/>
    <w:rsid w:val="00F24FFD"/>
    <w:rsid w:val="00F33BE8"/>
    <w:rsid w:val="00F41B1D"/>
    <w:rsid w:val="00F456C1"/>
    <w:rsid w:val="00F9078F"/>
    <w:rsid w:val="00FA63D5"/>
    <w:rsid w:val="00FE5F3E"/>
    <w:rsid w:val="00FE6AAA"/>
    <w:rsid w:val="00FF50A7"/>
    <w:rsid w:val="47294677"/>
    <w:rsid w:val="610A2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uiPriority w:val="39"/>
  </w:style>
  <w:style w:type="paragraph" w:styleId="7">
    <w:name w:val="toc 2"/>
    <w:basedOn w:val="1"/>
    <w:next w:val="1"/>
    <w:semiHidden/>
    <w:unhideWhenUsed/>
    <w:uiPriority w:val="39"/>
    <w:pPr>
      <w:ind w:left="420" w:leftChars="200"/>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5"/>
    <w:qFormat/>
    <w:uiPriority w:val="99"/>
    <w:rPr>
      <w:sz w:val="18"/>
      <w:szCs w:val="18"/>
    </w:rPr>
  </w:style>
  <w:style w:type="character" w:customStyle="1" w:styleId="13">
    <w:name w:val="页脚 Char"/>
    <w:basedOn w:val="11"/>
    <w:link w:val="4"/>
    <w:qFormat/>
    <w:uiPriority w:val="99"/>
    <w:rPr>
      <w:sz w:val="18"/>
      <w:szCs w:val="18"/>
    </w:rPr>
  </w:style>
  <w:style w:type="character" w:customStyle="1" w:styleId="14">
    <w:name w:val="批注框文本 Char"/>
    <w:basedOn w:val="11"/>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9CFD-C129-4ABB-8B9A-0F334B8314B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1707</Words>
  <Characters>9734</Characters>
  <Lines>81</Lines>
  <Paragraphs>22</Paragraphs>
  <TotalTime>36</TotalTime>
  <ScaleCrop>false</ScaleCrop>
  <LinksUpToDate>false</LinksUpToDate>
  <CharactersWithSpaces>11419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2021-12-31T02:44:00Z</dcterms:created>
  <dc:creator>lenovo</dc:creator>
  <cp:lastModifiedBy>ZXL</cp:lastModifiedBy>
  <dcterms:modified xsi:type="dcterms:W3CDTF">2023-11-14T06:56:47Z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eyJoZGlkIjoiNzNiYzdjOWM4YzI1OGVlZDg1NDNiZDExZGMxYmI4NDQifQ==</vt:lpwstr>
  </property>
  <property fmtid="{D5CDD505-2E9C-101B-9397-08002B2CF9AE}" pid="3" name="KSOProductBuildVer">
    <vt:lpwstr>2052-12.1.0.15712</vt:lpwstr>
  </property>
  <property fmtid="{D5CDD505-2E9C-101B-9397-08002B2CF9AE}" pid="4" name="ICV">
    <vt:lpwstr>D89A2D351A6747A5A7D39246A2429D02</vt:lpwstr>
  </property>
</Properties>
</file>