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ascii="方正小标宋_GBK" w:hAnsi="黑体" w:eastAsia="方正小标宋_GBK" w:cs="黑体"/>
          <w:sz w:val="36"/>
          <w:szCs w:val="36"/>
        </w:rPr>
      </w:pPr>
      <w:bookmarkStart w:id="0" w:name="OLE_LINK8"/>
      <w:r>
        <w:rPr>
          <w:rFonts w:hint="eastAsia" w:ascii="方正小标宋_GBK" w:hAnsi="黑体" w:eastAsia="方正小标宋_GBK" w:cs="黑体"/>
          <w:sz w:val="36"/>
          <w:szCs w:val="36"/>
        </w:rPr>
        <w:t>上虞区支持具身智能产业发展的若干政策（试行）</w:t>
      </w:r>
      <w:bookmarkEnd w:id="0"/>
    </w:p>
    <w:p>
      <w:pPr>
        <w:spacing w:line="600" w:lineRule="exact"/>
        <w:jc w:val="center"/>
        <w:rPr>
          <w:rFonts w:ascii="楷体_GB2312" w:hAnsi="仿宋" w:eastAsia="楷体_GB2312" w:cs="仿宋"/>
          <w:sz w:val="32"/>
          <w:szCs w:val="32"/>
        </w:rPr>
      </w:pPr>
      <w:r>
        <w:rPr>
          <w:rFonts w:hint="eastAsia" w:ascii="楷体_GB2312" w:hAnsi="仿宋" w:eastAsia="楷体_GB2312" w:cs="仿宋"/>
          <w:sz w:val="32"/>
          <w:szCs w:val="32"/>
        </w:rPr>
        <w:t>（</w:t>
      </w:r>
      <w:r>
        <w:rPr>
          <w:rFonts w:hint="eastAsia" w:ascii="楷体_GB2312" w:hAnsi="仿宋" w:eastAsia="楷体_GB2312" w:cs="仿宋"/>
          <w:sz w:val="32"/>
          <w:szCs w:val="32"/>
          <w:lang w:eastAsia="zh-CN"/>
        </w:rPr>
        <w:t>征求意见</w:t>
      </w:r>
      <w:r>
        <w:rPr>
          <w:rFonts w:hint="eastAsia" w:ascii="楷体_GB2312" w:hAnsi="仿宋" w:eastAsia="楷体_GB2312" w:cs="仿宋"/>
          <w:sz w:val="32"/>
          <w:szCs w:val="32"/>
        </w:rPr>
        <w:t>稿）</w:t>
      </w:r>
    </w:p>
    <w:p>
      <w:pPr>
        <w:spacing w:line="600" w:lineRule="exact"/>
        <w:ind w:firstLine="560" w:firstLineChars="200"/>
        <w:rPr>
          <w:rFonts w:ascii="仿宋" w:hAnsi="仿宋" w:eastAsia="仿宋" w:cs="仿宋"/>
          <w:sz w:val="28"/>
          <w:szCs w:val="28"/>
        </w:rPr>
      </w:pPr>
    </w:p>
    <w:p>
      <w:pPr>
        <w:spacing w:line="600" w:lineRule="exac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为贯彻落实《关于培育建设上虞区“4+4”现代化产业体系的行动方案（2024-2027年）》</w:t>
      </w:r>
      <w:bookmarkStart w:id="22" w:name="_GoBack"/>
      <w:bookmarkEnd w:id="22"/>
      <w:r>
        <w:rPr>
          <w:rFonts w:hint="eastAsia" w:ascii="仿宋_GB2312" w:hAnsi="仿宋" w:eastAsia="仿宋_GB2312" w:cs="仿宋"/>
          <w:sz w:val="32"/>
          <w:szCs w:val="32"/>
        </w:rPr>
        <w:t>（区委〔2024〕26号），推动具身智能产业加速发展，经研究，制定本政策。</w:t>
      </w:r>
    </w:p>
    <w:p>
      <w:pPr>
        <w:spacing w:line="600" w:lineRule="exact"/>
        <w:ind w:firstLine="643" w:firstLineChars="200"/>
        <w:rPr>
          <w:rFonts w:ascii="仿宋_GB2312" w:hAnsi="仿宋" w:eastAsia="仿宋_GB2312" w:cs="仿宋"/>
          <w:b/>
          <w:bCs/>
          <w:sz w:val="32"/>
          <w:szCs w:val="32"/>
        </w:rPr>
      </w:pPr>
      <w:r>
        <w:rPr>
          <w:rFonts w:hint="eastAsia" w:ascii="仿宋_GB2312" w:hAnsi="仿宋" w:eastAsia="仿宋_GB2312" w:cs="仿宋"/>
          <w:b/>
          <w:bCs/>
          <w:sz w:val="32"/>
          <w:szCs w:val="32"/>
        </w:rPr>
        <w:t>一、适用对象</w:t>
      </w:r>
    </w:p>
    <w:p>
      <w:pPr>
        <w:pStyle w:val="3"/>
        <w:spacing w:line="600" w:lineRule="exact"/>
        <w:ind w:firstLine="640"/>
        <w:rPr>
          <w:rFonts w:ascii="仿宋_GB2312" w:hAnsi="仿宋" w:eastAsia="仿宋_GB2312" w:cs="仿宋"/>
          <w:sz w:val="32"/>
          <w:szCs w:val="32"/>
        </w:rPr>
      </w:pPr>
      <w:r>
        <w:rPr>
          <w:rFonts w:hint="eastAsia" w:ascii="仿宋_GB2312" w:hAnsi="仿宋" w:eastAsia="仿宋_GB2312" w:cs="仿宋"/>
          <w:sz w:val="32"/>
          <w:szCs w:val="32"/>
        </w:rPr>
        <w:t>本政策的适用对象为具有独立法人资格的具身智能产业相关企业及从事具身智能产业服务的相关企业</w:t>
      </w:r>
      <w:r>
        <w:rPr>
          <w:rFonts w:hint="eastAsia" w:ascii="楷体_GB2312" w:hAnsi="仿宋" w:eastAsia="楷体_GB2312" w:cs="仿宋"/>
          <w:sz w:val="32"/>
          <w:szCs w:val="32"/>
        </w:rPr>
        <w:t>（</w:t>
      </w:r>
      <w:r>
        <w:rPr>
          <w:rFonts w:hint="eastAsia" w:ascii="楷体_GB2312" w:hAnsi="楷体" w:eastAsia="楷体_GB2312" w:cs="楷体"/>
          <w:sz w:val="32"/>
          <w:szCs w:val="32"/>
        </w:rPr>
        <w:t>平台</w:t>
      </w:r>
      <w:r>
        <w:rPr>
          <w:rFonts w:hint="eastAsia" w:ascii="楷体_GB2312" w:hAnsi="仿宋" w:eastAsia="楷体_GB2312" w:cs="仿宋"/>
          <w:sz w:val="32"/>
          <w:szCs w:val="32"/>
        </w:rPr>
        <w:t>）</w:t>
      </w:r>
      <w:r>
        <w:rPr>
          <w:rFonts w:hint="eastAsia" w:ascii="仿宋_GB2312" w:hAnsi="仿宋" w:eastAsia="仿宋_GB2312" w:cs="仿宋"/>
          <w:sz w:val="32"/>
          <w:szCs w:val="32"/>
        </w:rPr>
        <w:t>等。具身智能产业相关企业主要包括上游零部件（材料）及软件系统、中游本体与集成商、下游终端应用等企业，具体由专家评审确定。</w:t>
      </w:r>
    </w:p>
    <w:p>
      <w:pPr>
        <w:pStyle w:val="3"/>
        <w:spacing w:line="600" w:lineRule="exact"/>
        <w:ind w:firstLine="643"/>
        <w:rPr>
          <w:rFonts w:ascii="仿宋_GB2312" w:hAnsi="仿宋" w:eastAsia="仿宋_GB2312" w:cs="仿宋"/>
          <w:b/>
          <w:bCs/>
          <w:sz w:val="32"/>
          <w:szCs w:val="32"/>
        </w:rPr>
      </w:pPr>
      <w:r>
        <w:rPr>
          <w:rFonts w:hint="eastAsia" w:ascii="仿宋_GB2312" w:hAnsi="仿宋" w:eastAsia="仿宋_GB2312" w:cs="仿宋"/>
          <w:b/>
          <w:bCs/>
          <w:sz w:val="32"/>
          <w:szCs w:val="32"/>
        </w:rPr>
        <w:t>二、支持领域</w:t>
      </w:r>
    </w:p>
    <w:p>
      <w:pPr>
        <w:pStyle w:val="3"/>
        <w:spacing w:line="600" w:lineRule="exact"/>
        <w:ind w:firstLine="640"/>
        <w:rPr>
          <w:rFonts w:ascii="仿宋_GB2312" w:hAnsi="仿宋" w:eastAsia="仿宋_GB2312" w:cs="仿宋"/>
          <w:sz w:val="32"/>
          <w:szCs w:val="32"/>
        </w:rPr>
      </w:pPr>
      <w:r>
        <w:rPr>
          <w:rFonts w:hint="eastAsia" w:ascii="仿宋_GB2312" w:hAnsi="仿宋" w:eastAsia="仿宋_GB2312" w:cs="仿宋"/>
          <w:sz w:val="32"/>
          <w:szCs w:val="32"/>
        </w:rPr>
        <w:t>本政策重点支持优质具身智能产业项目发展，引导区内相关企业转型发展具身智能零部件（材料）相关配套产业、开展具身智能场景应用，支持建设具身智能公共服务平台等。</w:t>
      </w:r>
    </w:p>
    <w:p>
      <w:pPr>
        <w:pStyle w:val="3"/>
        <w:spacing w:line="600" w:lineRule="exact"/>
        <w:ind w:firstLine="643"/>
        <w:rPr>
          <w:rFonts w:ascii="仿宋_GB2312" w:hAnsi="仿宋" w:eastAsia="仿宋_GB2312" w:cs="仿宋"/>
          <w:b/>
          <w:bCs/>
          <w:sz w:val="32"/>
          <w:szCs w:val="32"/>
        </w:rPr>
      </w:pPr>
      <w:r>
        <w:rPr>
          <w:rFonts w:hint="eastAsia" w:ascii="仿宋_GB2312" w:hAnsi="仿宋" w:eastAsia="仿宋_GB2312" w:cs="仿宋"/>
          <w:b/>
          <w:bCs/>
          <w:sz w:val="32"/>
          <w:szCs w:val="32"/>
        </w:rPr>
        <w:t>三、支持内容</w:t>
      </w:r>
    </w:p>
    <w:p>
      <w:pPr>
        <w:spacing w:line="600" w:lineRule="exact"/>
        <w:ind w:firstLine="643" w:firstLineChars="200"/>
        <w:rPr>
          <w:rFonts w:ascii="仿宋_GB2312" w:hAnsi="仿宋" w:eastAsia="仿宋_GB2312" w:cs="仿宋"/>
          <w:sz w:val="32"/>
          <w:szCs w:val="32"/>
        </w:rPr>
      </w:pPr>
      <w:bookmarkStart w:id="1" w:name="OLE_LINK25"/>
      <w:r>
        <w:rPr>
          <w:rFonts w:hint="eastAsia" w:ascii="仿宋_GB2312" w:hAnsi="仿宋" w:eastAsia="仿宋_GB2312" w:cs="仿宋"/>
          <w:b/>
          <w:bCs/>
          <w:sz w:val="32"/>
          <w:szCs w:val="32"/>
        </w:rPr>
        <w:t>（一）加快</w:t>
      </w:r>
      <w:bookmarkEnd w:id="1"/>
      <w:r>
        <w:rPr>
          <w:rFonts w:hint="eastAsia" w:ascii="仿宋_GB2312" w:hAnsi="仿宋" w:eastAsia="仿宋_GB2312" w:cs="仿宋"/>
          <w:b/>
          <w:bCs/>
          <w:sz w:val="32"/>
          <w:szCs w:val="32"/>
        </w:rPr>
        <w:t>产业集聚</w:t>
      </w:r>
    </w:p>
    <w:p>
      <w:pPr>
        <w:widowControl/>
        <w:spacing w:line="600" w:lineRule="exact"/>
        <w:ind w:firstLine="643" w:firstLineChars="200"/>
        <w:rPr>
          <w:rFonts w:ascii="仿宋_GB2312" w:hAnsi="仿宋" w:eastAsia="仿宋_GB2312" w:cs="仿宋"/>
          <w:sz w:val="32"/>
          <w:szCs w:val="32"/>
          <w:lang w:bidi="ar"/>
        </w:rPr>
      </w:pPr>
      <w:r>
        <w:rPr>
          <w:rFonts w:hint="eastAsia" w:ascii="仿宋_GB2312" w:hAnsi="仿宋" w:eastAsia="仿宋_GB2312" w:cs="仿宋"/>
          <w:b/>
          <w:bCs/>
          <w:sz w:val="32"/>
          <w:szCs w:val="32"/>
        </w:rPr>
        <w:t>1.</w:t>
      </w:r>
      <w:bookmarkStart w:id="2" w:name="OLE_LINK10"/>
      <w:r>
        <w:rPr>
          <w:rFonts w:hint="eastAsia" w:ascii="仿宋_GB2312" w:hAnsi="仿宋" w:eastAsia="仿宋_GB2312" w:cs="仿宋"/>
          <w:b/>
          <w:bCs/>
          <w:sz w:val="32"/>
          <w:szCs w:val="32"/>
        </w:rPr>
        <w:t>支持项目</w:t>
      </w:r>
      <w:bookmarkEnd w:id="2"/>
      <w:r>
        <w:rPr>
          <w:rFonts w:hint="eastAsia" w:ascii="仿宋_GB2312" w:hAnsi="仿宋" w:eastAsia="仿宋_GB2312" w:cs="仿宋"/>
          <w:b/>
          <w:bCs/>
          <w:sz w:val="32"/>
          <w:szCs w:val="32"/>
        </w:rPr>
        <w:t>发展。</w:t>
      </w:r>
      <w:r>
        <w:rPr>
          <w:rFonts w:hint="eastAsia" w:ascii="仿宋_GB2312" w:hAnsi="仿宋" w:eastAsia="仿宋_GB2312" w:cs="仿宋"/>
          <w:sz w:val="32"/>
          <w:szCs w:val="32"/>
        </w:rPr>
        <w:t>具身智能产业项目租赁厂房的</w:t>
      </w:r>
      <w:bookmarkStart w:id="3" w:name="OLE_LINK2"/>
      <w:r>
        <w:rPr>
          <w:rFonts w:hint="eastAsia" w:ascii="仿宋_GB2312" w:hAnsi="仿宋" w:eastAsia="仿宋_GB2312" w:cs="仿宋"/>
          <w:sz w:val="32"/>
          <w:szCs w:val="32"/>
        </w:rPr>
        <w:t>，</w:t>
      </w:r>
      <w:bookmarkStart w:id="4" w:name="OLE_LINK36"/>
      <w:r>
        <w:rPr>
          <w:rFonts w:hint="eastAsia" w:ascii="仿宋_GB2312" w:hAnsi="仿宋" w:eastAsia="仿宋_GB2312" w:cs="仿宋"/>
          <w:sz w:val="32"/>
          <w:szCs w:val="32"/>
        </w:rPr>
        <w:t>按照每平方米每月最高20元标准补贴</w:t>
      </w:r>
      <w:bookmarkEnd w:id="4"/>
      <w:r>
        <w:rPr>
          <w:rFonts w:hint="eastAsia" w:ascii="仿宋_GB2312" w:hAnsi="仿宋" w:eastAsia="仿宋_GB2312" w:cs="仿宋"/>
          <w:sz w:val="32"/>
          <w:szCs w:val="32"/>
        </w:rPr>
        <w:t>，每家企业每年最高补贴200万元，连续支持36个月</w:t>
      </w:r>
      <w:bookmarkEnd w:id="3"/>
      <w:r>
        <w:rPr>
          <w:rFonts w:hint="eastAsia" w:ascii="仿宋_GB2312" w:hAnsi="仿宋" w:eastAsia="仿宋_GB2312" w:cs="仿宋"/>
          <w:sz w:val="32"/>
          <w:szCs w:val="32"/>
        </w:rPr>
        <w:t>；按企业实际使用面积给予办公用房300元/平方米、厂房100元/平方米的一次性装修补助，</w:t>
      </w:r>
      <w:r>
        <w:rPr>
          <w:rFonts w:hint="eastAsia" w:ascii="仿宋_GB2312" w:hAnsi="仿宋" w:eastAsia="仿宋_GB2312" w:cs="仿宋"/>
          <w:sz w:val="32"/>
          <w:szCs w:val="32"/>
          <w:lang w:bidi="ar"/>
        </w:rPr>
        <w:t>最高不超过500万元，且不超过总审计金额的80%。</w:t>
      </w:r>
    </w:p>
    <w:p>
      <w:pPr>
        <w:widowControl/>
        <w:spacing w:line="600" w:lineRule="exact"/>
        <w:ind w:firstLine="643" w:firstLineChars="200"/>
        <w:rPr>
          <w:rFonts w:ascii="楷体_GB2312" w:hAnsi="仿宋" w:eastAsia="楷体_GB2312" w:cs="仿宋"/>
          <w:sz w:val="32"/>
          <w:szCs w:val="32"/>
        </w:rPr>
      </w:pPr>
      <w:r>
        <w:rPr>
          <w:rFonts w:hint="eastAsia" w:ascii="仿宋_GB2312" w:hAnsi="仿宋" w:eastAsia="仿宋_GB2312" w:cs="仿宋"/>
          <w:b/>
          <w:bCs/>
          <w:sz w:val="32"/>
          <w:szCs w:val="32"/>
        </w:rPr>
        <w:t>2.</w:t>
      </w:r>
      <w:bookmarkStart w:id="5" w:name="OLE_LINK11"/>
      <w:r>
        <w:rPr>
          <w:rFonts w:hint="eastAsia" w:ascii="仿宋_GB2312" w:hAnsi="仿宋" w:eastAsia="仿宋_GB2312" w:cs="仿宋"/>
          <w:b/>
          <w:bCs/>
          <w:sz w:val="32"/>
          <w:szCs w:val="32"/>
        </w:rPr>
        <w:t>鼓励企业投资增产</w:t>
      </w:r>
      <w:bookmarkEnd w:id="5"/>
      <w:r>
        <w:rPr>
          <w:rFonts w:hint="eastAsia" w:ascii="仿宋_GB2312" w:hAnsi="仿宋" w:eastAsia="仿宋_GB2312" w:cs="仿宋"/>
          <w:b/>
          <w:bCs/>
          <w:sz w:val="32"/>
          <w:szCs w:val="32"/>
        </w:rPr>
        <w:t>。</w:t>
      </w:r>
      <w:bookmarkStart w:id="6" w:name="OLE_LINK3"/>
      <w:bookmarkStart w:id="7" w:name="OLE_LINK35"/>
      <w:r>
        <w:rPr>
          <w:rFonts w:hint="eastAsia" w:ascii="仿宋_GB2312" w:hAnsi="仿宋" w:eastAsia="仿宋_GB2312" w:cs="仿宋"/>
          <w:sz w:val="32"/>
          <w:szCs w:val="32"/>
        </w:rPr>
        <w:t>对当年实际完成设备投入（不含税）300万元</w:t>
      </w:r>
      <w:bookmarkEnd w:id="6"/>
      <w:r>
        <w:rPr>
          <w:rFonts w:hint="eastAsia" w:ascii="仿宋_GB2312" w:hAnsi="仿宋" w:eastAsia="仿宋_GB2312" w:cs="仿宋"/>
          <w:sz w:val="32"/>
          <w:szCs w:val="32"/>
        </w:rPr>
        <w:t>及以上的制造业项目，按照分档累进法进行奖励，叠加有关省级项目、工业企业综合评价结果A类等加点，单个项目最高补助比例10%，年度最高奖励不超过1000万元。</w:t>
      </w:r>
      <w:bookmarkStart w:id="8" w:name="OLE_LINK6"/>
      <w:r>
        <w:rPr>
          <w:rFonts w:hint="eastAsia" w:ascii="楷体_GB2312" w:hAnsi="仿宋" w:eastAsia="楷体_GB2312" w:cs="仿宋"/>
          <w:sz w:val="32"/>
          <w:szCs w:val="32"/>
        </w:rPr>
        <w:t>（</w:t>
      </w:r>
      <w:r>
        <w:rPr>
          <w:rFonts w:hint="eastAsia" w:ascii="楷体_GB2312" w:hAnsi="楷体_GB2312" w:eastAsia="楷体_GB2312" w:cs="楷体_GB2312"/>
          <w:sz w:val="32"/>
          <w:szCs w:val="32"/>
        </w:rPr>
        <w:t>区级面上工业经济政策中相关条款</w:t>
      </w:r>
      <w:r>
        <w:rPr>
          <w:rFonts w:hint="eastAsia" w:ascii="楷体_GB2312" w:hAnsi="仿宋" w:eastAsia="楷体_GB2312" w:cs="仿宋"/>
          <w:sz w:val="32"/>
          <w:szCs w:val="32"/>
        </w:rPr>
        <w:t>）</w:t>
      </w:r>
    </w:p>
    <w:bookmarkEnd w:id="7"/>
    <w:bookmarkEnd w:id="8"/>
    <w:p>
      <w:pPr>
        <w:spacing w:line="600" w:lineRule="exact"/>
        <w:ind w:firstLine="643" w:firstLineChars="200"/>
        <w:rPr>
          <w:rFonts w:ascii="仿宋_GB2312" w:hAnsi="仿宋" w:eastAsia="仿宋_GB2312" w:cs="仿宋"/>
          <w:sz w:val="32"/>
          <w:szCs w:val="32"/>
        </w:rPr>
      </w:pPr>
      <w:bookmarkStart w:id="9" w:name="OLE_LINK4"/>
      <w:r>
        <w:rPr>
          <w:rFonts w:hint="eastAsia" w:ascii="仿宋_GB2312" w:hAnsi="仿宋" w:eastAsia="仿宋_GB2312" w:cs="仿宋"/>
          <w:b/>
          <w:bCs/>
          <w:sz w:val="32"/>
          <w:szCs w:val="32"/>
        </w:rPr>
        <w:t>3.鼓励</w:t>
      </w:r>
      <w:bookmarkStart w:id="10" w:name="OLE_LINK28"/>
      <w:r>
        <w:rPr>
          <w:rFonts w:hint="eastAsia" w:ascii="仿宋_GB2312" w:hAnsi="仿宋" w:eastAsia="仿宋_GB2312" w:cs="仿宋"/>
          <w:b/>
          <w:bCs/>
          <w:sz w:val="32"/>
          <w:szCs w:val="32"/>
        </w:rPr>
        <w:t>企业提档发展</w:t>
      </w:r>
      <w:bookmarkEnd w:id="9"/>
      <w:bookmarkEnd w:id="10"/>
      <w:r>
        <w:rPr>
          <w:rFonts w:hint="eastAsia" w:ascii="仿宋_GB2312" w:hAnsi="仿宋" w:eastAsia="仿宋_GB2312" w:cs="仿宋"/>
          <w:b/>
          <w:bCs/>
          <w:sz w:val="32"/>
          <w:szCs w:val="32"/>
        </w:rPr>
        <w:t>。</w:t>
      </w:r>
      <w:r>
        <w:rPr>
          <w:rFonts w:hint="eastAsia" w:ascii="仿宋_GB2312" w:hAnsi="仿宋" w:eastAsia="仿宋_GB2312" w:cs="仿宋"/>
          <w:sz w:val="32"/>
          <w:szCs w:val="32"/>
        </w:rPr>
        <w:t>具身智能</w:t>
      </w:r>
      <w:bookmarkStart w:id="11" w:name="OLE_LINK13"/>
      <w:r>
        <w:rPr>
          <w:rFonts w:hint="eastAsia" w:ascii="仿宋_GB2312" w:hAnsi="仿宋" w:eastAsia="仿宋_GB2312" w:cs="仿宋"/>
          <w:sz w:val="32"/>
          <w:szCs w:val="32"/>
        </w:rPr>
        <w:t>产业相关企业（</w:t>
      </w:r>
      <w:r>
        <w:rPr>
          <w:rFonts w:hint="eastAsia" w:ascii="仿宋_GB2312" w:hAnsi="楷体" w:eastAsia="仿宋_GB2312" w:cs="楷体"/>
          <w:sz w:val="32"/>
          <w:szCs w:val="32"/>
        </w:rPr>
        <w:t>不含仅有场景应用企业</w:t>
      </w:r>
      <w:r>
        <w:rPr>
          <w:rFonts w:hint="eastAsia" w:ascii="仿宋_GB2312" w:hAnsi="仿宋" w:eastAsia="仿宋_GB2312" w:cs="仿宋"/>
          <w:sz w:val="32"/>
          <w:szCs w:val="32"/>
        </w:rPr>
        <w:t>）的当年营收（</w:t>
      </w:r>
      <w:r>
        <w:rPr>
          <w:rFonts w:hint="eastAsia" w:ascii="仿宋_GB2312" w:hAnsi="楷体" w:eastAsia="仿宋_GB2312" w:cs="楷体"/>
          <w:sz w:val="32"/>
          <w:szCs w:val="32"/>
        </w:rPr>
        <w:t>具体按照企业具身智能相关产品营收为准</w:t>
      </w:r>
      <w:r>
        <w:rPr>
          <w:rFonts w:hint="eastAsia" w:ascii="仿宋_GB2312" w:hAnsi="仿宋" w:eastAsia="仿宋_GB2312" w:cs="仿宋"/>
          <w:sz w:val="32"/>
          <w:szCs w:val="32"/>
        </w:rPr>
        <w:t>）超过2000万元</w:t>
      </w:r>
      <w:bookmarkEnd w:id="11"/>
      <w:r>
        <w:rPr>
          <w:rFonts w:hint="eastAsia" w:ascii="仿宋_GB2312" w:hAnsi="仿宋" w:eastAsia="仿宋_GB2312" w:cs="仿宋"/>
          <w:sz w:val="32"/>
          <w:szCs w:val="32"/>
        </w:rPr>
        <w:t>、5000万元、1亿元的，分别奖励30万元、50万元和100万元。鼓励具身智能企业申报省级及以上首台（套）装备、首批次材料企业，对认定为省级及以上的，认定奖励及保险政策均较面上政策上浮50%。</w:t>
      </w:r>
      <w:bookmarkStart w:id="12" w:name="OLE_LINK7"/>
      <w:r>
        <w:rPr>
          <w:rFonts w:hint="eastAsia" w:ascii="仿宋_GB2312" w:hAnsi="仿宋" w:eastAsia="仿宋_GB2312" w:cs="仿宋"/>
          <w:sz w:val="32"/>
          <w:szCs w:val="32"/>
        </w:rPr>
        <w:t>上述政策均实行晋级差额奖励</w:t>
      </w:r>
      <w:bookmarkEnd w:id="12"/>
      <w:r>
        <w:rPr>
          <w:rFonts w:hint="eastAsia" w:ascii="仿宋_GB2312" w:hAnsi="仿宋" w:eastAsia="仿宋_GB2312" w:cs="仿宋"/>
          <w:sz w:val="32"/>
          <w:szCs w:val="32"/>
        </w:rPr>
        <w:t>。</w:t>
      </w:r>
    </w:p>
    <w:p>
      <w:pPr>
        <w:spacing w:line="600" w:lineRule="exact"/>
        <w:ind w:firstLine="643" w:firstLineChars="200"/>
        <w:rPr>
          <w:rFonts w:ascii="仿宋_GB2312" w:eastAsia="仿宋_GB2312"/>
          <w:sz w:val="32"/>
          <w:szCs w:val="32"/>
        </w:rPr>
      </w:pPr>
      <w:bookmarkStart w:id="13" w:name="OLE_LINK1"/>
      <w:r>
        <w:rPr>
          <w:rFonts w:hint="eastAsia" w:ascii="仿宋_GB2312" w:hAnsi="仿宋" w:eastAsia="仿宋_GB2312" w:cs="仿宋"/>
          <w:b/>
          <w:bCs/>
          <w:color w:val="191B1F"/>
          <w:sz w:val="32"/>
          <w:szCs w:val="32"/>
          <w:shd w:val="clear" w:color="auto" w:fill="FFFFFF"/>
        </w:rPr>
        <w:t>4.优化产业发展生态。</w:t>
      </w:r>
      <w:r>
        <w:rPr>
          <w:rFonts w:hint="eastAsia" w:ascii="仿宋_GB2312" w:hAnsi="仿宋" w:eastAsia="仿宋_GB2312" w:cs="仿宋"/>
          <w:color w:val="191B1F"/>
          <w:sz w:val="32"/>
          <w:szCs w:val="32"/>
          <w:shd w:val="clear" w:color="auto" w:fill="FFFFFF"/>
        </w:rPr>
        <w:t>支持中国机器人产业发展大会、国家级机器人赛事、国际级机器人学术大会或标准化会议等在虞举办，</w:t>
      </w:r>
      <w:bookmarkEnd w:id="13"/>
      <w:r>
        <w:rPr>
          <w:rFonts w:hint="eastAsia" w:ascii="仿宋_GB2312" w:hAnsi="仿宋" w:eastAsia="仿宋_GB2312" w:cs="仿宋"/>
          <w:color w:val="191B1F"/>
          <w:sz w:val="32"/>
          <w:szCs w:val="32"/>
          <w:shd w:val="clear" w:color="auto" w:fill="FFFFFF"/>
        </w:rPr>
        <w:t>对每场活动举办方予以50%活动经费补助，最高不超过100万元。</w:t>
      </w:r>
    </w:p>
    <w:p>
      <w:pPr>
        <w:spacing w:line="600" w:lineRule="exact"/>
        <w:ind w:firstLine="643" w:firstLineChars="200"/>
        <w:rPr>
          <w:rFonts w:ascii="仿宋_GB2312" w:hAnsi="仿宋" w:eastAsia="仿宋_GB2312" w:cs="仿宋"/>
          <w:b/>
          <w:bCs/>
          <w:sz w:val="32"/>
          <w:szCs w:val="32"/>
        </w:rPr>
      </w:pPr>
      <w:r>
        <w:rPr>
          <w:rFonts w:hint="eastAsia" w:ascii="仿宋_GB2312" w:hAnsi="仿宋" w:eastAsia="仿宋_GB2312" w:cs="仿宋"/>
          <w:b/>
          <w:bCs/>
          <w:sz w:val="32"/>
          <w:szCs w:val="32"/>
        </w:rPr>
        <w:t>（二）强化应用场景建设</w:t>
      </w:r>
    </w:p>
    <w:p>
      <w:pPr>
        <w:spacing w:line="600" w:lineRule="exact"/>
        <w:ind w:firstLine="643" w:firstLineChars="200"/>
        <w:rPr>
          <w:rFonts w:ascii="仿宋_GB2312" w:hAnsi="仿宋" w:eastAsia="仿宋_GB2312" w:cs="仿宋"/>
          <w:sz w:val="32"/>
          <w:szCs w:val="32"/>
        </w:rPr>
      </w:pPr>
      <w:r>
        <w:rPr>
          <w:rFonts w:hint="eastAsia" w:ascii="仿宋_GB2312" w:hAnsi="仿宋" w:eastAsia="仿宋_GB2312" w:cs="仿宋"/>
          <w:b/>
          <w:bCs/>
          <w:sz w:val="32"/>
          <w:szCs w:val="32"/>
        </w:rPr>
        <w:t>5.支持具身智能应用场景建设。</w:t>
      </w:r>
      <w:bookmarkStart w:id="14" w:name="OLE_LINK19"/>
      <w:r>
        <w:rPr>
          <w:rFonts w:hint="eastAsia" w:ascii="仿宋_GB2312" w:hAnsi="仿宋" w:eastAsia="仿宋_GB2312" w:cs="仿宋"/>
          <w:sz w:val="32"/>
          <w:szCs w:val="32"/>
        </w:rPr>
        <w:t>对当年实际完成设备投入</w:t>
      </w:r>
      <w:r>
        <w:rPr>
          <w:rFonts w:hint="eastAsia" w:ascii="楷体_GB2312" w:hAnsi="仿宋" w:eastAsia="楷体_GB2312" w:cs="仿宋"/>
          <w:sz w:val="32"/>
          <w:szCs w:val="32"/>
        </w:rPr>
        <w:t>（</w:t>
      </w:r>
      <w:r>
        <w:rPr>
          <w:rFonts w:hint="eastAsia" w:ascii="楷体_GB2312" w:hAnsi="楷体" w:eastAsia="楷体_GB2312" w:cs="楷体"/>
          <w:sz w:val="32"/>
          <w:szCs w:val="32"/>
        </w:rPr>
        <w:t>不含税</w:t>
      </w:r>
      <w:r>
        <w:rPr>
          <w:rFonts w:hint="eastAsia" w:ascii="楷体_GB2312" w:hAnsi="仿宋" w:eastAsia="楷体_GB2312" w:cs="仿宋"/>
          <w:sz w:val="32"/>
          <w:szCs w:val="32"/>
        </w:rPr>
        <w:t>）</w:t>
      </w:r>
      <w:r>
        <w:rPr>
          <w:rFonts w:hint="eastAsia" w:ascii="仿宋_GB2312" w:hAnsi="仿宋" w:eastAsia="仿宋_GB2312" w:cs="仿宋"/>
          <w:sz w:val="32"/>
          <w:szCs w:val="32"/>
        </w:rPr>
        <w:t>100万元及以上的具身智能场景应用项目，按照设备投资额的50%予以奖励</w:t>
      </w:r>
      <w:bookmarkEnd w:id="14"/>
      <w:r>
        <w:rPr>
          <w:rFonts w:hint="eastAsia" w:ascii="仿宋_GB2312" w:hAnsi="仿宋" w:eastAsia="仿宋_GB2312" w:cs="仿宋"/>
          <w:sz w:val="32"/>
          <w:szCs w:val="32"/>
        </w:rPr>
        <w:t>，最高奖励100万元。</w:t>
      </w:r>
      <w:bookmarkStart w:id="15" w:name="OLE_LINK29"/>
      <w:r>
        <w:rPr>
          <w:rFonts w:hint="eastAsia" w:ascii="仿宋_GB2312" w:hAnsi="仿宋" w:eastAsia="仿宋_GB2312" w:cs="仿宋"/>
          <w:sz w:val="32"/>
          <w:szCs w:val="32"/>
        </w:rPr>
        <w:t>具身智能公共服务平台运营所得数据使用权向区内具身智能企业免费开放。</w:t>
      </w:r>
    </w:p>
    <w:p>
      <w:pPr>
        <w:spacing w:line="600" w:lineRule="exact"/>
        <w:ind w:firstLine="643" w:firstLineChars="200"/>
        <w:rPr>
          <w:rFonts w:ascii="仿宋_GB2312" w:hAnsi="仿宋" w:eastAsia="仿宋_GB2312" w:cs="仿宋"/>
          <w:sz w:val="32"/>
          <w:szCs w:val="32"/>
        </w:rPr>
      </w:pPr>
      <w:r>
        <w:rPr>
          <w:rFonts w:hint="eastAsia" w:ascii="仿宋_GB2312" w:hAnsi="仿宋" w:eastAsia="仿宋_GB2312" w:cs="仿宋"/>
          <w:b/>
          <w:bCs/>
          <w:sz w:val="32"/>
          <w:szCs w:val="32"/>
        </w:rPr>
        <w:t>6.支持机器人大模型开发应用。</w:t>
      </w:r>
      <w:r>
        <w:rPr>
          <w:rFonts w:hint="eastAsia" w:ascii="仿宋_GB2312" w:hAnsi="仿宋" w:eastAsia="仿宋_GB2312" w:cs="仿宋"/>
          <w:sz w:val="32"/>
          <w:szCs w:val="32"/>
        </w:rPr>
        <w:t>对使用人工智能算力服务的企业，按实际支付算力费用的20%给予补贴，单家企业最高补贴200万元。鼓励企业开展具身智能垂域大模型的研发应用，对实现垂域大模型应用落地的企业，按实际支付算力费用的50%给予补贴，单家企业最高补贴500万元。</w:t>
      </w:r>
    </w:p>
    <w:p>
      <w:pPr>
        <w:spacing w:line="600" w:lineRule="exact"/>
        <w:ind w:firstLine="643" w:firstLineChars="200"/>
        <w:rPr>
          <w:rFonts w:ascii="楷体_GB2312" w:hAnsi="仿宋" w:eastAsia="楷体_GB2312" w:cs="仿宋"/>
          <w:sz w:val="32"/>
          <w:szCs w:val="32"/>
        </w:rPr>
      </w:pPr>
      <w:r>
        <w:rPr>
          <w:rFonts w:hint="eastAsia" w:ascii="仿宋_GB2312" w:hAnsi="仿宋" w:eastAsia="仿宋_GB2312" w:cs="仿宋"/>
          <w:b/>
          <w:bCs/>
          <w:sz w:val="32"/>
          <w:szCs w:val="32"/>
        </w:rPr>
        <w:t>7.鼓励制造业企业创新应用</w:t>
      </w:r>
      <w:bookmarkEnd w:id="15"/>
      <w:r>
        <w:rPr>
          <w:rFonts w:hint="eastAsia" w:ascii="仿宋_GB2312" w:hAnsi="仿宋" w:eastAsia="仿宋_GB2312" w:cs="仿宋"/>
          <w:b/>
          <w:bCs/>
          <w:sz w:val="32"/>
          <w:szCs w:val="32"/>
        </w:rPr>
        <w:t>。</w:t>
      </w:r>
      <w:bookmarkStart w:id="16" w:name="OLE_LINK17"/>
      <w:r>
        <w:rPr>
          <w:rFonts w:hint="eastAsia" w:ascii="仿宋_GB2312" w:hAnsi="仿宋" w:eastAsia="仿宋_GB2312" w:cs="仿宋"/>
          <w:sz w:val="32"/>
          <w:szCs w:val="32"/>
        </w:rPr>
        <w:t>对入选区级数字新技术融合应用典型场景，一次性奖补50万元。对通过国家大模型备案登记的，一次性奖励100万元。对当年入选省级机器人典型应用场景、省级“机器人+”应用标杆企业的分别各奖励50万元</w:t>
      </w:r>
      <w:bookmarkEnd w:id="16"/>
      <w:r>
        <w:rPr>
          <w:rFonts w:hint="eastAsia" w:ascii="仿宋_GB2312" w:hAnsi="仿宋" w:eastAsia="仿宋_GB2312" w:cs="仿宋"/>
          <w:sz w:val="32"/>
          <w:szCs w:val="32"/>
        </w:rPr>
        <w:t>。</w:t>
      </w:r>
      <w:r>
        <w:rPr>
          <w:rFonts w:hint="eastAsia" w:ascii="楷体_GB2312" w:hAnsi="仿宋" w:eastAsia="楷体_GB2312" w:cs="仿宋"/>
          <w:sz w:val="32"/>
          <w:szCs w:val="32"/>
        </w:rPr>
        <w:t>（</w:t>
      </w:r>
      <w:r>
        <w:rPr>
          <w:rFonts w:hint="eastAsia" w:ascii="楷体_GB2312" w:hAnsi="楷体_GB2312" w:eastAsia="楷体_GB2312" w:cs="楷体_GB2312"/>
          <w:sz w:val="32"/>
          <w:szCs w:val="32"/>
        </w:rPr>
        <w:t>区级面上工业经济政策相关条款</w:t>
      </w:r>
      <w:r>
        <w:rPr>
          <w:rFonts w:hint="eastAsia" w:ascii="楷体_GB2312" w:hAnsi="仿宋" w:eastAsia="楷体_GB2312" w:cs="仿宋"/>
          <w:sz w:val="32"/>
          <w:szCs w:val="32"/>
        </w:rPr>
        <w:t>）</w:t>
      </w:r>
      <w:bookmarkStart w:id="17" w:name="OLE_LINK20"/>
    </w:p>
    <w:p>
      <w:pPr>
        <w:spacing w:line="600" w:lineRule="exact"/>
        <w:ind w:firstLine="643" w:firstLineChars="200"/>
        <w:rPr>
          <w:rFonts w:ascii="仿宋_GB2312" w:hAnsi="仿宋" w:eastAsia="仿宋_GB2312" w:cs="仿宋"/>
          <w:b/>
          <w:bCs/>
          <w:sz w:val="32"/>
          <w:szCs w:val="32"/>
        </w:rPr>
      </w:pPr>
      <w:r>
        <w:rPr>
          <w:rFonts w:hint="eastAsia" w:ascii="仿宋_GB2312" w:hAnsi="仿宋" w:eastAsia="仿宋_GB2312" w:cs="仿宋"/>
          <w:b/>
          <w:bCs/>
          <w:sz w:val="32"/>
          <w:szCs w:val="32"/>
        </w:rPr>
        <w:t>（三）加快</w:t>
      </w:r>
      <w:bookmarkStart w:id="18" w:name="OLE_LINK26"/>
      <w:r>
        <w:rPr>
          <w:rFonts w:hint="eastAsia" w:ascii="仿宋_GB2312" w:hAnsi="仿宋" w:eastAsia="仿宋_GB2312" w:cs="仿宋"/>
          <w:b/>
          <w:bCs/>
          <w:sz w:val="32"/>
          <w:szCs w:val="32"/>
        </w:rPr>
        <w:t>完善基础设施及要素保障</w:t>
      </w:r>
      <w:bookmarkEnd w:id="17"/>
      <w:bookmarkEnd w:id="18"/>
      <w:bookmarkStart w:id="19" w:name="OLE_LINK30"/>
    </w:p>
    <w:p>
      <w:pPr>
        <w:spacing w:line="600" w:lineRule="exact"/>
        <w:ind w:firstLine="643" w:firstLineChars="200"/>
        <w:rPr>
          <w:rFonts w:ascii="仿宋_GB2312" w:hAnsi="仿宋" w:eastAsia="仿宋_GB2312" w:cs="仿宋"/>
          <w:sz w:val="32"/>
          <w:szCs w:val="32"/>
        </w:rPr>
      </w:pPr>
      <w:r>
        <w:rPr>
          <w:rFonts w:hint="eastAsia" w:ascii="仿宋_GB2312" w:hAnsi="仿宋" w:eastAsia="仿宋_GB2312" w:cs="仿宋"/>
          <w:b/>
          <w:bCs/>
          <w:sz w:val="32"/>
          <w:szCs w:val="32"/>
        </w:rPr>
        <w:t>8.支持建设</w:t>
      </w:r>
      <w:bookmarkStart w:id="20" w:name="OLE_LINK5"/>
      <w:r>
        <w:rPr>
          <w:rFonts w:hint="eastAsia" w:ascii="仿宋_GB2312" w:hAnsi="仿宋" w:eastAsia="仿宋_GB2312" w:cs="仿宋"/>
          <w:b/>
          <w:bCs/>
          <w:sz w:val="32"/>
          <w:szCs w:val="32"/>
        </w:rPr>
        <w:t>具身智能公共服务</w:t>
      </w:r>
      <w:bookmarkEnd w:id="20"/>
      <w:r>
        <w:rPr>
          <w:rFonts w:hint="eastAsia" w:ascii="仿宋_GB2312" w:hAnsi="仿宋" w:eastAsia="仿宋_GB2312" w:cs="仿宋"/>
          <w:b/>
          <w:bCs/>
          <w:sz w:val="32"/>
          <w:szCs w:val="32"/>
        </w:rPr>
        <w:t>平台</w:t>
      </w:r>
      <w:bookmarkEnd w:id="19"/>
      <w:r>
        <w:rPr>
          <w:rFonts w:hint="eastAsia" w:ascii="仿宋_GB2312" w:hAnsi="仿宋" w:eastAsia="仿宋_GB2312" w:cs="仿宋"/>
          <w:b/>
          <w:bCs/>
          <w:sz w:val="32"/>
          <w:szCs w:val="32"/>
        </w:rPr>
        <w:t>。</w:t>
      </w:r>
      <w:r>
        <w:rPr>
          <w:rFonts w:hint="eastAsia" w:ascii="仿宋_GB2312" w:hAnsi="仿宋" w:eastAsia="仿宋_GB2312" w:cs="仿宋"/>
          <w:sz w:val="32"/>
          <w:szCs w:val="32"/>
        </w:rPr>
        <w:t>对具身智能公共服务平台运营主体给予租金补助，具体按照每平方米每月最高20元标准补贴，每家企业每年最高补贴100万元，连续支持36个月。鼓励引导具身智能公共服务平台向全区企事业单位提供业务培训，按照培训费用的50%给予补助。对公共服务平台给予每年最高200万元的绩效运营补助。</w:t>
      </w:r>
    </w:p>
    <w:p>
      <w:pPr>
        <w:spacing w:line="600" w:lineRule="exact"/>
        <w:ind w:firstLine="643" w:firstLineChars="200"/>
        <w:rPr>
          <w:rFonts w:ascii="仿宋_GB2312" w:hAnsi="仿宋" w:eastAsia="仿宋_GB2312" w:cs="仿宋"/>
          <w:sz w:val="32"/>
          <w:szCs w:val="32"/>
        </w:rPr>
      </w:pPr>
      <w:r>
        <w:rPr>
          <w:rFonts w:hint="eastAsia" w:ascii="仿宋_GB2312" w:hAnsi="仿宋" w:eastAsia="仿宋_GB2312" w:cs="仿宋"/>
          <w:b/>
          <w:bCs/>
          <w:sz w:val="32"/>
          <w:szCs w:val="32"/>
        </w:rPr>
        <w:t>9.促进产学研深度融合。</w:t>
      </w:r>
      <w:r>
        <w:rPr>
          <w:rFonts w:hint="eastAsia" w:ascii="仿宋_GB2312" w:hAnsi="仿宋" w:eastAsia="仿宋_GB2312" w:cs="仿宋"/>
          <w:sz w:val="32"/>
          <w:szCs w:val="32"/>
        </w:rPr>
        <w:t>鼓励企业开展具身机器人项目的产学研合作，按合作金额的20%予以补助；重点支持企业与区内高校、科研机构合作，按合作金额的30%予以补助，单个企业最高补助200万元。</w:t>
      </w:r>
      <w:bookmarkStart w:id="21" w:name="OLE_LINK9"/>
      <w:r>
        <w:rPr>
          <w:rFonts w:hint="eastAsia" w:ascii="楷体_GB2312" w:hAnsi="仿宋" w:eastAsia="楷体_GB2312" w:cs="仿宋"/>
          <w:sz w:val="32"/>
          <w:szCs w:val="32"/>
        </w:rPr>
        <w:t>（</w:t>
      </w:r>
      <w:r>
        <w:rPr>
          <w:rFonts w:hint="eastAsia" w:ascii="楷体_GB2312" w:hAnsi="楷体_GB2312" w:eastAsia="楷体_GB2312" w:cs="楷体_GB2312"/>
          <w:sz w:val="32"/>
          <w:szCs w:val="32"/>
        </w:rPr>
        <w:t>区级面上科技政策相关条款</w:t>
      </w:r>
      <w:r>
        <w:rPr>
          <w:rFonts w:hint="eastAsia" w:ascii="楷体_GB2312" w:hAnsi="仿宋" w:eastAsia="楷体_GB2312" w:cs="仿宋"/>
          <w:sz w:val="32"/>
          <w:szCs w:val="32"/>
        </w:rPr>
        <w:t>）</w:t>
      </w:r>
      <w:bookmarkEnd w:id="21"/>
    </w:p>
    <w:p>
      <w:pPr>
        <w:spacing w:line="600" w:lineRule="exact"/>
        <w:ind w:firstLine="643" w:firstLineChars="200"/>
        <w:rPr>
          <w:rFonts w:ascii="仿宋_GB2312" w:hAnsi="仿宋" w:eastAsia="仿宋_GB2312" w:cs="仿宋"/>
          <w:sz w:val="32"/>
          <w:szCs w:val="32"/>
        </w:rPr>
      </w:pPr>
      <w:r>
        <w:rPr>
          <w:rFonts w:hint="eastAsia" w:ascii="仿宋_GB2312" w:hAnsi="仿宋" w:eastAsia="仿宋_GB2312" w:cs="仿宋"/>
          <w:b/>
          <w:bCs/>
          <w:sz w:val="32"/>
          <w:szCs w:val="32"/>
        </w:rPr>
        <w:t>10.支持人才引育。</w:t>
      </w:r>
      <w:r>
        <w:rPr>
          <w:rFonts w:hint="eastAsia" w:ascii="仿宋_GB2312" w:hAnsi="仿宋" w:eastAsia="仿宋_GB2312" w:cs="仿宋"/>
          <w:sz w:val="32"/>
          <w:szCs w:val="32"/>
        </w:rPr>
        <w:t>鼓励企业依托“科技副总”等载体，柔性引进具身智能机器人行业领军人才，协同攻关核心技术。鼓励具身智能机器人企业与在虞院校共建产教融合平台、实训基地，培养产业高技能人才，具体按照面上人才政策给予奖励资助。</w:t>
      </w:r>
      <w:r>
        <w:rPr>
          <w:rFonts w:hint="eastAsia" w:ascii="楷体_GB2312" w:hAnsi="仿宋" w:eastAsia="楷体_GB2312" w:cs="仿宋"/>
          <w:sz w:val="32"/>
          <w:szCs w:val="32"/>
        </w:rPr>
        <w:t>（</w:t>
      </w:r>
      <w:r>
        <w:rPr>
          <w:rFonts w:hint="eastAsia" w:ascii="楷体_GB2312" w:hAnsi="楷体_GB2312" w:eastAsia="楷体_GB2312" w:cs="楷体_GB2312"/>
          <w:sz w:val="32"/>
          <w:szCs w:val="32"/>
        </w:rPr>
        <w:t>区级面上人才政策</w:t>
      </w:r>
      <w:r>
        <w:rPr>
          <w:rFonts w:hint="eastAsia" w:ascii="楷体_GB2312" w:hAnsi="仿宋" w:eastAsia="楷体_GB2312" w:cs="仿宋"/>
          <w:sz w:val="32"/>
          <w:szCs w:val="32"/>
        </w:rPr>
        <w:t>）</w:t>
      </w:r>
    </w:p>
    <w:p>
      <w:pPr>
        <w:spacing w:line="600" w:lineRule="exact"/>
        <w:ind w:firstLine="643" w:firstLineChars="200"/>
        <w:rPr>
          <w:rFonts w:ascii="仿宋_GB2312" w:hAnsi="仿宋" w:eastAsia="仿宋_GB2312" w:cs="仿宋"/>
          <w:sz w:val="32"/>
          <w:szCs w:val="32"/>
        </w:rPr>
      </w:pPr>
      <w:r>
        <w:rPr>
          <w:rFonts w:hint="eastAsia" w:ascii="仿宋_GB2312" w:hAnsi="仿宋" w:eastAsia="仿宋_GB2312" w:cs="仿宋"/>
          <w:b/>
          <w:bCs/>
          <w:sz w:val="32"/>
          <w:szCs w:val="32"/>
        </w:rPr>
        <w:t>11.增强多元融资保障。</w:t>
      </w:r>
      <w:r>
        <w:rPr>
          <w:rFonts w:hint="eastAsia" w:ascii="仿宋_GB2312" w:hAnsi="仿宋" w:eastAsia="仿宋_GB2312" w:cs="仿宋"/>
          <w:sz w:val="32"/>
          <w:szCs w:val="32"/>
        </w:rPr>
        <w:t>具身智能机器人相关企业引入区外创投机构或上市企业投资，当年累计1000万元及以上投资、投资期超过2年以上的，按实际投资额4%的比例补助，最高不超过200万元。</w:t>
      </w:r>
    </w:p>
    <w:p>
      <w:pPr>
        <w:pStyle w:val="3"/>
        <w:spacing w:line="600" w:lineRule="exact"/>
        <w:ind w:firstLine="643"/>
        <w:rPr>
          <w:rFonts w:ascii="仿宋" w:hAnsi="仿宋" w:cs="仿宋"/>
          <w:b/>
          <w:bCs/>
          <w:sz w:val="32"/>
          <w:szCs w:val="32"/>
        </w:rPr>
      </w:pPr>
      <w:r>
        <w:rPr>
          <w:rFonts w:hint="eastAsia" w:ascii="仿宋" w:hAnsi="仿宋" w:cs="仿宋"/>
          <w:b/>
          <w:bCs/>
          <w:sz w:val="32"/>
          <w:szCs w:val="32"/>
        </w:rPr>
        <w:t>四、附则</w:t>
      </w:r>
    </w:p>
    <w:p>
      <w:pPr>
        <w:spacing w:line="600" w:lineRule="exac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（一）本政策自2025年1月1日起施行，本政策中各类奖补的执行期限为2025年1月1日至2025年12月31日，相关实施细则另行制定，具体由区经信局会同区财政局制定实施。</w:t>
      </w:r>
    </w:p>
    <w:p>
      <w:pPr>
        <w:spacing w:line="600" w:lineRule="exac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（二）属于区级财政资金管理办法规定的“一票否决”、列入严重失信行为及其他不予享受财政政策情况的，当年度不予享受政策。</w:t>
      </w:r>
    </w:p>
    <w:p>
      <w:pPr>
        <w:spacing w:line="600" w:lineRule="exac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（三）本政策年度兑现资金额最高为5000万元，若政策条款</w:t>
      </w:r>
      <w:r>
        <w:rPr>
          <w:rFonts w:hint="eastAsia" w:ascii="楷体_GB2312" w:hAnsi="仿宋" w:eastAsia="楷体_GB2312" w:cs="仿宋"/>
          <w:sz w:val="32"/>
          <w:szCs w:val="32"/>
        </w:rPr>
        <w:t>（</w:t>
      </w:r>
      <w:r>
        <w:rPr>
          <w:rFonts w:hint="eastAsia" w:ascii="楷体_GB2312" w:hAnsi="楷体" w:eastAsia="楷体_GB2312" w:cs="楷体"/>
          <w:sz w:val="32"/>
          <w:szCs w:val="32"/>
        </w:rPr>
        <w:t>除面上“1+9”相关条款外</w:t>
      </w:r>
      <w:r>
        <w:rPr>
          <w:rFonts w:hint="eastAsia" w:ascii="楷体_GB2312" w:hAnsi="仿宋" w:eastAsia="楷体_GB2312" w:cs="仿宋"/>
          <w:sz w:val="32"/>
          <w:szCs w:val="32"/>
        </w:rPr>
        <w:t>）</w:t>
      </w:r>
      <w:r>
        <w:rPr>
          <w:rFonts w:hint="eastAsia" w:ascii="仿宋_GB2312" w:hAnsi="仿宋" w:eastAsia="仿宋_GB2312" w:cs="仿宋"/>
          <w:sz w:val="32"/>
          <w:szCs w:val="32"/>
        </w:rPr>
        <w:t>兑现总额超过本政策资金最高限度，则所有条款按比例兑现。同一企业同一事项符合两项或两项以上扶持条款的</w:t>
      </w:r>
      <w:r>
        <w:rPr>
          <w:rFonts w:hint="eastAsia" w:ascii="楷体_GB2312" w:hAnsi="仿宋" w:eastAsia="楷体_GB2312" w:cs="仿宋"/>
          <w:sz w:val="32"/>
          <w:szCs w:val="32"/>
        </w:rPr>
        <w:t>（</w:t>
      </w:r>
      <w:r>
        <w:rPr>
          <w:rFonts w:hint="eastAsia" w:ascii="楷体_GB2312" w:hAnsi="楷体" w:eastAsia="楷体_GB2312" w:cs="楷体"/>
          <w:sz w:val="32"/>
          <w:szCs w:val="32"/>
        </w:rPr>
        <w:t>含区级政策和市级其他政策</w:t>
      </w:r>
      <w:r>
        <w:rPr>
          <w:rFonts w:hint="eastAsia" w:ascii="楷体_GB2312" w:hAnsi="仿宋" w:eastAsia="楷体_GB2312" w:cs="仿宋"/>
          <w:sz w:val="32"/>
          <w:szCs w:val="32"/>
        </w:rPr>
        <w:t>）</w:t>
      </w:r>
      <w:r>
        <w:rPr>
          <w:rFonts w:hint="eastAsia" w:ascii="仿宋_GB2312" w:hAnsi="仿宋" w:eastAsia="仿宋_GB2312" w:cs="仿宋"/>
          <w:sz w:val="32"/>
          <w:szCs w:val="32"/>
        </w:rPr>
        <w:t>，不重复享受。</w:t>
      </w:r>
    </w:p>
    <w:p>
      <w:pPr>
        <w:pStyle w:val="3"/>
        <w:spacing w:line="600" w:lineRule="exact"/>
        <w:ind w:firstLine="640"/>
        <w:rPr>
          <w:rFonts w:ascii="仿宋_GB2312" w:hAnsi="仿宋" w:eastAsia="仿宋_GB2312" w:cs="仿宋"/>
          <w:sz w:val="32"/>
          <w:szCs w:val="32"/>
        </w:rPr>
      </w:pPr>
      <w:r>
        <w:rPr>
          <w:rFonts w:hint="eastAsia" w:ascii="仿宋_GB2312" w:hAnsi="仿宋" w:eastAsia="仿宋_GB2312" w:cs="仿宋"/>
          <w:sz w:val="32"/>
          <w:szCs w:val="32"/>
        </w:rPr>
        <w:t>（四）本政策由区政府办公室负责解释，具体工作由区经信局承担；其他区政府已发布的各项政策与本政策不一致的，以本政策为准。本政策实施过程中如遇上级有关法律法规和重大政策变化，本政策也作相应调整。</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仿宋">
    <w:panose1 w:val="02010609060101010101"/>
    <w:charset w:val="86"/>
    <w:family w:val="modern"/>
    <w:pitch w:val="default"/>
    <w:sig w:usb0="800002BF" w:usb1="38CF7CFA" w:usb2="00000016" w:usb3="00000000" w:csb0="00040001" w:csb1="00000000"/>
  </w:font>
  <w:font w:name="DejaVu Sans">
    <w:altName w:val="Segoe Print"/>
    <w:panose1 w:val="00000000000000000000"/>
    <w:charset w:val="00"/>
    <w:family w:val="auto"/>
    <w:pitch w:val="default"/>
    <w:sig w:usb0="00000000" w:usb1="00000000" w:usb2="0A246029" w:usb3="0400200C" w:csb0="600001FF" w:csb1="DFFF0000"/>
  </w:font>
  <w:font w:name="方正小标宋_GBK">
    <w:panose1 w:val="03000509000000000000"/>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75956FD7"/>
    <w:rsid w:val="000552F8"/>
    <w:rsid w:val="001B1A2C"/>
    <w:rsid w:val="001C6240"/>
    <w:rsid w:val="00302181"/>
    <w:rsid w:val="00570452"/>
    <w:rsid w:val="0082164B"/>
    <w:rsid w:val="008C1CFD"/>
    <w:rsid w:val="008D26D0"/>
    <w:rsid w:val="008F72C9"/>
    <w:rsid w:val="009833F4"/>
    <w:rsid w:val="009D1F85"/>
    <w:rsid w:val="00B35AE5"/>
    <w:rsid w:val="058A5420"/>
    <w:rsid w:val="080D4884"/>
    <w:rsid w:val="0B792B5E"/>
    <w:rsid w:val="166F04F5"/>
    <w:rsid w:val="16EB1329"/>
    <w:rsid w:val="1D3E38FD"/>
    <w:rsid w:val="279E1C5E"/>
    <w:rsid w:val="2EB626FA"/>
    <w:rsid w:val="3BED483B"/>
    <w:rsid w:val="40B87A3F"/>
    <w:rsid w:val="40E21A47"/>
    <w:rsid w:val="43DA4278"/>
    <w:rsid w:val="451377AB"/>
    <w:rsid w:val="4B5C5391"/>
    <w:rsid w:val="52B53228"/>
    <w:rsid w:val="53CB29EB"/>
    <w:rsid w:val="5F161C06"/>
    <w:rsid w:val="634003E3"/>
    <w:rsid w:val="70C07A19"/>
    <w:rsid w:val="730A4DC8"/>
    <w:rsid w:val="75956FD7"/>
    <w:rsid w:val="76195E68"/>
    <w:rsid w:val="7CCA2E62"/>
    <w:rsid w:val="7FBE466E"/>
    <w:rsid w:val="FFF635F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9">
    <w:name w:val="Default Paragraph Font"/>
    <w:semiHidden/>
    <w:unhideWhenUsed/>
    <w:qFormat/>
    <w:uiPriority w:val="1"/>
  </w:style>
  <w:style w:type="table" w:default="1" w:styleId="8">
    <w:name w:val="Normal Table"/>
    <w:semiHidden/>
    <w:unhideWhenUsed/>
    <w:uiPriority w:val="99"/>
    <w:tblPr>
      <w:tblLayout w:type="fixed"/>
      <w:tblCellMar>
        <w:top w:w="0" w:type="dxa"/>
        <w:left w:w="108" w:type="dxa"/>
        <w:bottom w:w="0" w:type="dxa"/>
        <w:right w:w="108" w:type="dxa"/>
      </w:tblCellMar>
    </w:tblPr>
  </w:style>
  <w:style w:type="paragraph" w:styleId="2">
    <w:name w:val="toc 1"/>
    <w:basedOn w:val="1"/>
    <w:next w:val="1"/>
    <w:unhideWhenUsed/>
    <w:qFormat/>
    <w:uiPriority w:val="39"/>
    <w:pPr>
      <w:widowControl/>
      <w:spacing w:after="100" w:line="259" w:lineRule="auto"/>
    </w:pPr>
    <w:rPr>
      <w:rFonts w:ascii="等线" w:hAnsi="等线" w:eastAsia="等线"/>
      <w:sz w:val="22"/>
      <w:szCs w:val="22"/>
    </w:rPr>
  </w:style>
  <w:style w:type="paragraph" w:styleId="3">
    <w:name w:val="Normal Indent"/>
    <w:basedOn w:val="1"/>
    <w:next w:val="1"/>
    <w:qFormat/>
    <w:uiPriority w:val="99"/>
    <w:pPr>
      <w:ind w:firstLine="420" w:firstLineChars="200"/>
    </w:pPr>
    <w:rPr>
      <w:rFonts w:eastAsia="仿宋"/>
    </w:rPr>
  </w:style>
  <w:style w:type="paragraph" w:styleId="4">
    <w:name w:val="Body Text"/>
    <w:basedOn w:val="1"/>
    <w:next w:val="5"/>
    <w:semiHidden/>
    <w:qFormat/>
    <w:uiPriority w:val="0"/>
    <w:rPr>
      <w:rFonts w:ascii="仿宋" w:hAnsi="仿宋" w:eastAsia="仿宋" w:cs="仿宋"/>
      <w:sz w:val="31"/>
      <w:szCs w:val="31"/>
    </w:rPr>
  </w:style>
  <w:style w:type="paragraph" w:styleId="5">
    <w:name w:val="Title"/>
    <w:basedOn w:val="1"/>
    <w:next w:val="1"/>
    <w:qFormat/>
    <w:uiPriority w:val="0"/>
    <w:pPr>
      <w:spacing w:before="240" w:after="60"/>
      <w:jc w:val="center"/>
      <w:outlineLvl w:val="0"/>
    </w:pPr>
    <w:rPr>
      <w:rFonts w:ascii="DejaVu Sans" w:hAnsi="DejaVu Sans"/>
      <w:b/>
      <w:sz w:val="32"/>
    </w:rPr>
  </w:style>
  <w:style w:type="paragraph" w:styleId="6">
    <w:name w:val="footer"/>
    <w:basedOn w:val="1"/>
    <w:link w:val="12"/>
    <w:uiPriority w:val="0"/>
    <w:pPr>
      <w:tabs>
        <w:tab w:val="center" w:pos="4153"/>
        <w:tab w:val="right" w:pos="8306"/>
      </w:tabs>
      <w:snapToGrid w:val="0"/>
      <w:jc w:val="left"/>
    </w:pPr>
    <w:rPr>
      <w:sz w:val="18"/>
      <w:szCs w:val="18"/>
    </w:rPr>
  </w:style>
  <w:style w:type="paragraph" w:styleId="7">
    <w:name w:val="header"/>
    <w:basedOn w:val="1"/>
    <w:link w:val="11"/>
    <w:qFormat/>
    <w:uiPriority w:val="0"/>
    <w:pPr>
      <w:pBdr>
        <w:bottom w:val="single" w:color="auto" w:sz="6" w:space="1"/>
      </w:pBdr>
      <w:tabs>
        <w:tab w:val="center" w:pos="4153"/>
        <w:tab w:val="right" w:pos="8306"/>
      </w:tabs>
      <w:snapToGrid w:val="0"/>
      <w:jc w:val="center"/>
    </w:pPr>
    <w:rPr>
      <w:sz w:val="18"/>
      <w:szCs w:val="18"/>
    </w:rPr>
  </w:style>
  <w:style w:type="paragraph" w:customStyle="1" w:styleId="10">
    <w:name w:val="Body text|1"/>
    <w:basedOn w:val="1"/>
    <w:qFormat/>
    <w:uiPriority w:val="0"/>
    <w:pPr>
      <w:spacing w:line="396" w:lineRule="auto"/>
      <w:ind w:firstLine="400"/>
      <w:jc w:val="left"/>
    </w:pPr>
    <w:rPr>
      <w:rFonts w:ascii="宋体" w:hAnsi="宋体" w:cs="宋体"/>
      <w:sz w:val="30"/>
      <w:szCs w:val="30"/>
      <w:lang w:val="zh-TW" w:eastAsia="zh-TW" w:bidi="zh-TW"/>
    </w:rPr>
  </w:style>
  <w:style w:type="character" w:customStyle="1" w:styleId="11">
    <w:name w:val="页眉 字符"/>
    <w:basedOn w:val="9"/>
    <w:link w:val="7"/>
    <w:qFormat/>
    <w:uiPriority w:val="0"/>
    <w:rPr>
      <w:kern w:val="2"/>
      <w:sz w:val="18"/>
      <w:szCs w:val="18"/>
    </w:rPr>
  </w:style>
  <w:style w:type="character" w:customStyle="1" w:styleId="12">
    <w:name w:val="页脚 字符"/>
    <w:basedOn w:val="9"/>
    <w:link w:val="6"/>
    <w:qFormat/>
    <w:uiPriority w:val="0"/>
    <w:rPr>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Pages>
  <Words>1021</Words>
  <Characters>1074</Characters>
  <Lines>48</Lines>
  <Paragraphs>27</Paragraphs>
  <TotalTime>4548</TotalTime>
  <ScaleCrop>false</ScaleCrop>
  <LinksUpToDate>false</LinksUpToDate>
  <CharactersWithSpaces>2068</CharactersWithSpaces>
  <Application>WPS Office_11.1.0.9021_F1E327BC-269C-435d-A152-05C5408002CA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2025-05-08T02:01:00Z</dcterms:created>
  <dc:creator>Administrator</dc:creator>
  <cp:lastModifiedBy>WPS_1485091367</cp:lastModifiedBy>
  <cp:lastPrinted>2025-05-13T07:19:28Z</cp:lastPrinted>
  <dcterms:modified xsi:type="dcterms:W3CDTF">2025-05-13T07:41:32Z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2052-11.1.0.9021</vt:lpwstr>
  </property>
  <property fmtid="{D5CDD505-2E9C-101B-9397-08002B2CF9AE}" pid="3" name="ICV">
    <vt:lpwstr>FB367D90690E4204A62DCB9A0B1A673A</vt:lpwstr>
  </property>
</Properties>
</file>