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overflowPunct/>
        <w:topLinePunct w:val="0"/>
        <w:autoSpaceDE/>
        <w:autoSpaceDN/>
        <w:bidi w:val="0"/>
        <w:adjustRightInd/>
        <w:spacing w:before="0" w:beforeAutospacing="0" w:after="0" w:afterAutospacing="0" w:line="560" w:lineRule="exact"/>
        <w:ind w:left="0" w:right="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磐安县简单事项委托检查实施方案（试行）</w:t>
      </w:r>
      <w:r>
        <w:rPr>
          <w:rFonts w:hint="eastAsia" w:ascii="方正小标宋_GBK" w:hAnsi="方正小标宋_GBK" w:eastAsia="方正小标宋_GBK" w:cs="方正小标宋_GBK"/>
          <w:sz w:val="44"/>
          <w:szCs w:val="44"/>
        </w:rPr>
        <w:t>（征求意见稿）》起草说</w:t>
      </w:r>
      <w:r>
        <w:rPr>
          <w:rFonts w:hint="eastAsia" w:ascii="方正小标宋_GBK" w:hAnsi="方正小标宋_GBK" w:eastAsia="方正小标宋_GBK" w:cs="方正小标宋_GBK"/>
          <w:sz w:val="44"/>
          <w:szCs w:val="44"/>
          <w:lang w:eastAsia="zh-CN"/>
        </w:rPr>
        <w:t>明</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一、起草背景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为践行整体政府理念，强化行政执法机关之间的协作配合，提高监管效率，减少执法扰企，推进简单检查事项委托，根据《中华人民共和国行政处罚法》、《浙江省综合行政执法条例》</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浙江省人民政府办公厅关于进一步提升行政执法质效助力打造营商环境最优省的指导意见</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等规定，结合</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我</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县实际，制定</w:t>
      </w:r>
      <w:r>
        <w:rPr>
          <w:rFonts w:hint="eastAsia" w:ascii="Times New Roman" w:hAnsi="Times New Roman" w:eastAsia="仿宋_GB2312" w:cs="Times New Roman"/>
          <w:color w:val="auto"/>
          <w:sz w:val="32"/>
          <w:szCs w:val="32"/>
          <w:lang w:val="en-US" w:eastAsia="zh-CN"/>
        </w:rPr>
        <w:t>《磐安县简单事项委托检查实施方案（试行）》</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color w:val="auto"/>
          <w:sz w:val="32"/>
          <w:szCs w:val="32"/>
          <w:lang w:val="en-US" w:eastAsia="zh-CN"/>
        </w:rPr>
      </w:pPr>
      <w:r>
        <w:rPr>
          <w:rFonts w:hint="eastAsia" w:ascii="国标黑体" w:hAnsi="国标黑体" w:eastAsia="国标黑体" w:cs="国标黑体"/>
          <w:color w:val="auto"/>
          <w:sz w:val="32"/>
          <w:szCs w:val="32"/>
          <w:lang w:val="en-US" w:eastAsia="zh-CN"/>
        </w:rPr>
        <w:t>二、 编制依据</w:t>
      </w:r>
      <w:r>
        <w:rPr>
          <w:rFonts w:hint="eastAsia" w:ascii="国标黑体" w:hAnsi="国标黑体" w:eastAsia="国标黑体" w:cs="国标黑体"/>
          <w:color w:val="auto"/>
          <w:sz w:val="32"/>
          <w:szCs w:val="32"/>
          <w:lang w:val="en-US" w:eastAsia="zh-CN"/>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kern w:val="36"/>
          <w:sz w:val="32"/>
          <w:szCs w:val="32"/>
          <w:lang w:eastAsia="zh-CN"/>
        </w:rPr>
      </w:pPr>
      <w:r>
        <w:rPr>
          <w:rFonts w:hint="eastAsia" w:ascii="仿宋_GB2312" w:hAnsi="仿宋_GB2312" w:eastAsia="仿宋_GB2312" w:cs="仿宋_GB2312"/>
          <w:color w:val="auto"/>
          <w:spacing w:val="0"/>
          <w:kern w:val="36"/>
          <w:sz w:val="32"/>
          <w:szCs w:val="32"/>
          <w:lang w:val="en-US" w:eastAsia="zh-CN"/>
        </w:rPr>
        <w:t>1.</w:t>
      </w:r>
      <w:r>
        <w:rPr>
          <w:rFonts w:hint="eastAsia" w:ascii="仿宋_GB2312" w:hAnsi="仿宋_GB2312" w:eastAsia="仿宋_GB2312" w:cs="仿宋_GB2312"/>
          <w:color w:val="auto"/>
          <w:spacing w:val="0"/>
          <w:kern w:val="36"/>
          <w:sz w:val="32"/>
          <w:szCs w:val="32"/>
          <w:lang w:eastAsia="zh-CN"/>
        </w:rPr>
        <w:t>《中华人民共和国行政处罚法》；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kern w:val="36"/>
          <w:sz w:val="32"/>
          <w:szCs w:val="32"/>
          <w:lang w:eastAsia="zh-CN"/>
        </w:rPr>
      </w:pPr>
      <w:r>
        <w:rPr>
          <w:rFonts w:hint="eastAsia" w:ascii="仿宋_GB2312" w:hAnsi="仿宋_GB2312" w:eastAsia="仿宋_GB2312" w:cs="仿宋_GB2312"/>
          <w:color w:val="auto"/>
          <w:spacing w:val="0"/>
          <w:kern w:val="36"/>
          <w:sz w:val="32"/>
          <w:szCs w:val="32"/>
          <w:lang w:val="en-US" w:eastAsia="zh-CN"/>
        </w:rPr>
        <w:t>2.</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《浙江省综合行政执法条例》</w:t>
      </w:r>
      <w:r>
        <w:rPr>
          <w:rFonts w:hint="eastAsia" w:ascii="仿宋_GB2312" w:hAnsi="仿宋_GB2312" w:eastAsia="仿宋_GB2312" w:cs="仿宋_GB2312"/>
          <w:color w:val="auto"/>
          <w:spacing w:val="0"/>
          <w:kern w:val="36"/>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pacing w:val="0"/>
          <w:kern w:val="36"/>
          <w:sz w:val="32"/>
          <w:szCs w:val="32"/>
          <w:lang w:val="en-US" w:eastAsia="zh-CN"/>
        </w:rPr>
        <w:t>3.《</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关于进一步提升行政执法质效助力打造营商环境最优省的指导意见</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w:t>
      </w:r>
      <w:r>
        <w:rPr>
          <w:rFonts w:hint="eastAsia"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auto"/>
          <w:sz w:val="32"/>
          <w:szCs w:val="32"/>
          <w:lang w:val="en-US" w:eastAsia="zh-CN"/>
        </w:rPr>
        <w:t>《磐安县简单事项委托检查实施</w:t>
      </w:r>
      <w:bookmarkStart w:id="0" w:name="_GoBack"/>
      <w:bookmarkEnd w:id="0"/>
      <w:r>
        <w:rPr>
          <w:rFonts w:hint="eastAsia" w:ascii="Times New Roman" w:hAnsi="Times New Roman" w:eastAsia="仿宋_GB2312" w:cs="Times New Roman"/>
          <w:color w:val="auto"/>
          <w:sz w:val="32"/>
          <w:szCs w:val="32"/>
          <w:lang w:val="en-US" w:eastAsia="zh-CN"/>
        </w:rPr>
        <w:t>方案（试行）》包括</w:t>
      </w:r>
      <w:r>
        <w:rPr>
          <w:rFonts w:hint="eastAsia" w:ascii="Times New Roman" w:hAnsi="Times New Roman" w:eastAsia="仿宋_GB2312" w:cs="Times New Roman"/>
          <w:sz w:val="32"/>
          <w:szCs w:val="32"/>
          <w:lang w:eastAsia="zh-CN"/>
        </w:rPr>
        <w:t>工作目标、适用范围、简</w:t>
      </w:r>
      <w:r>
        <w:rPr>
          <w:rFonts w:hint="eastAsia" w:ascii="Times New Roman" w:hAnsi="Times New Roman" w:eastAsia="仿宋_GB2312" w:cs="Times New Roman"/>
          <w:color w:val="auto"/>
          <w:sz w:val="32"/>
          <w:szCs w:val="32"/>
          <w:lang w:val="en-US" w:eastAsia="zh-CN"/>
        </w:rPr>
        <w:t>单检查事项库的建立、</w:t>
      </w:r>
      <w:r>
        <w:rPr>
          <w:rFonts w:hint="default" w:ascii="Times New Roman" w:hAnsi="Times New Roman" w:eastAsia="仿宋_GB2312" w:cs="Times New Roman"/>
          <w:color w:val="auto"/>
          <w:sz w:val="32"/>
          <w:szCs w:val="32"/>
          <w:lang w:val="en-US" w:eastAsia="zh-CN"/>
        </w:rPr>
        <w:t>简单检查事项委托</w:t>
      </w:r>
      <w:r>
        <w:rPr>
          <w:rFonts w:hint="eastAsia" w:ascii="Times New Roman" w:hAnsi="Times New Roman" w:eastAsia="仿宋_GB2312" w:cs="Times New Roman"/>
          <w:color w:val="auto"/>
          <w:sz w:val="32"/>
          <w:szCs w:val="32"/>
          <w:lang w:val="en-US" w:eastAsia="zh-CN"/>
        </w:rPr>
        <w:t>的实施、</w:t>
      </w:r>
      <w:r>
        <w:rPr>
          <w:rFonts w:hint="default" w:ascii="Times New Roman" w:hAnsi="Times New Roman" w:eastAsia="仿宋_GB2312" w:cs="Times New Roman"/>
          <w:color w:val="auto"/>
          <w:sz w:val="32"/>
          <w:szCs w:val="32"/>
          <w:lang w:val="en-US" w:eastAsia="zh-CN"/>
        </w:rPr>
        <w:t>检查</w:t>
      </w:r>
      <w:r>
        <w:rPr>
          <w:rFonts w:hint="eastAsia" w:ascii="Times New Roman" w:hAnsi="Times New Roman" w:eastAsia="仿宋_GB2312" w:cs="Times New Roman"/>
          <w:color w:val="auto"/>
          <w:sz w:val="32"/>
          <w:szCs w:val="32"/>
          <w:lang w:val="en-US" w:eastAsia="zh-CN"/>
        </w:rPr>
        <w:t>任务的实施、</w:t>
      </w:r>
      <w:r>
        <w:rPr>
          <w:rFonts w:hint="default" w:ascii="Times New Roman" w:hAnsi="Times New Roman" w:eastAsia="仿宋_GB2312" w:cs="Times New Roman"/>
          <w:color w:val="auto"/>
          <w:sz w:val="32"/>
          <w:szCs w:val="32"/>
          <w:lang w:val="en-US" w:eastAsia="zh-CN"/>
        </w:rPr>
        <w:t>问题闭环处置</w:t>
      </w:r>
      <w:r>
        <w:rPr>
          <w:rFonts w:hint="eastAsia" w:ascii="Times New Roman" w:hAnsi="Times New Roman" w:eastAsia="仿宋_GB2312" w:cs="Times New Roman"/>
          <w:color w:val="auto"/>
          <w:sz w:val="32"/>
          <w:szCs w:val="32"/>
          <w:lang w:val="en-US" w:eastAsia="zh-CN"/>
        </w:rPr>
        <w:t>、工作要求、</w:t>
      </w:r>
      <w:r>
        <w:rPr>
          <w:rFonts w:hint="default" w:ascii="Times New Roman" w:hAnsi="Times New Roman" w:eastAsia="仿宋_GB2312" w:cs="Times New Roman"/>
          <w:color w:val="auto"/>
          <w:sz w:val="32"/>
          <w:szCs w:val="32"/>
          <w:lang w:val="en-US" w:eastAsia="zh-CN"/>
        </w:rPr>
        <w:t>简单检查事项委托协议</w:t>
      </w:r>
      <w:r>
        <w:rPr>
          <w:rFonts w:hint="eastAsia" w:ascii="Times New Roman" w:hAnsi="Times New Roman" w:eastAsia="仿宋_GB2312" w:cs="Times New Roman"/>
          <w:color w:val="auto"/>
          <w:sz w:val="32"/>
          <w:szCs w:val="32"/>
          <w:lang w:val="en-US" w:eastAsia="zh-CN"/>
        </w:rPr>
        <w:t>、委托检查表单等内容。</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（一）工作目标</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Style w:val="11"/>
          <w:rFonts w:hint="default" w:ascii="Times New Roman" w:hAnsi="Times New Roman" w:eastAsia="仿宋_GB2312" w:cs="Times New Roman"/>
          <w:b w:val="0"/>
          <w:bCs/>
          <w:i w:val="0"/>
          <w:iCs w:val="0"/>
          <w:caps w:val="0"/>
          <w:color w:val="000000"/>
          <w:spacing w:val="0"/>
          <w:sz w:val="32"/>
          <w:szCs w:val="32"/>
          <w:highlight w:val="none"/>
          <w:lang w:val="en-US" w:eastAsia="zh-CN"/>
        </w:rPr>
        <w:t>通过委托行政检查方式，将简单事项检查权委托其他执法部门行使，</w:t>
      </w:r>
      <w:r>
        <w:rPr>
          <w:rStyle w:val="11"/>
          <w:rFonts w:hint="eastAsia" w:ascii="Times New Roman" w:hAnsi="Times New Roman" w:eastAsia="仿宋_GB2312" w:cs="Times New Roman"/>
          <w:b w:val="0"/>
          <w:bCs/>
          <w:i w:val="0"/>
          <w:iCs w:val="0"/>
          <w:caps w:val="0"/>
          <w:color w:val="000000"/>
          <w:spacing w:val="0"/>
          <w:sz w:val="32"/>
          <w:szCs w:val="32"/>
          <w:highlight w:val="none"/>
          <w:lang w:val="en-US" w:eastAsia="zh-CN"/>
        </w:rPr>
        <w:t>精简上门检查的频次、单位和人员，</w:t>
      </w:r>
      <w:r>
        <w:rPr>
          <w:rStyle w:val="11"/>
          <w:rFonts w:hint="default" w:ascii="Times New Roman" w:hAnsi="Times New Roman" w:eastAsia="仿宋_GB2312" w:cs="Times New Roman"/>
          <w:b w:val="0"/>
          <w:bCs/>
          <w:i w:val="0"/>
          <w:iCs w:val="0"/>
          <w:caps w:val="0"/>
          <w:color w:val="000000"/>
          <w:spacing w:val="0"/>
          <w:sz w:val="32"/>
          <w:szCs w:val="32"/>
          <w:highlight w:val="none"/>
          <w:lang w:val="en-US" w:eastAsia="zh-CN"/>
        </w:rPr>
        <w:t>降低检查扰企频率和执法成本</w:t>
      </w:r>
      <w:r>
        <w:rPr>
          <w:rStyle w:val="11"/>
          <w:rFonts w:hint="eastAsia" w:ascii="Times New Roman" w:hAnsi="Times New Roman" w:eastAsia="仿宋_GB2312" w:cs="Times New Roman"/>
          <w:b w:val="0"/>
          <w:bCs/>
          <w:i w:val="0"/>
          <w:iCs w:val="0"/>
          <w:caps w:val="0"/>
          <w:color w:val="000000"/>
          <w:spacing w:val="0"/>
          <w:sz w:val="32"/>
          <w:szCs w:val="32"/>
          <w:highlight w:val="none"/>
          <w:lang w:val="en-US" w:eastAsia="zh-CN"/>
        </w:rPr>
        <w:t>，管住风险的同时，</w:t>
      </w:r>
      <w:r>
        <w:rPr>
          <w:rStyle w:val="11"/>
          <w:rFonts w:hint="default" w:ascii="Times New Roman" w:hAnsi="Times New Roman" w:eastAsia="仿宋_GB2312" w:cs="Times New Roman"/>
          <w:b w:val="0"/>
          <w:bCs/>
          <w:i w:val="0"/>
          <w:iCs w:val="0"/>
          <w:caps w:val="0"/>
          <w:color w:val="000000"/>
          <w:spacing w:val="0"/>
          <w:sz w:val="32"/>
          <w:szCs w:val="32"/>
          <w:highlight w:val="none"/>
          <w:lang w:val="en-US" w:eastAsia="zh-CN"/>
        </w:rPr>
        <w:t>提升</w:t>
      </w:r>
      <w:r>
        <w:rPr>
          <w:rStyle w:val="11"/>
          <w:rFonts w:hint="eastAsia" w:ascii="Times New Roman" w:hAnsi="Times New Roman" w:eastAsia="仿宋_GB2312" w:cs="Times New Roman"/>
          <w:b w:val="0"/>
          <w:bCs/>
          <w:i w:val="0"/>
          <w:iCs w:val="0"/>
          <w:caps w:val="0"/>
          <w:color w:val="000000"/>
          <w:spacing w:val="0"/>
          <w:sz w:val="32"/>
          <w:szCs w:val="32"/>
          <w:highlight w:val="none"/>
          <w:lang w:val="en-US" w:eastAsia="zh-CN"/>
        </w:rPr>
        <w:t>执法</w:t>
      </w:r>
      <w:r>
        <w:rPr>
          <w:rStyle w:val="11"/>
          <w:rFonts w:hint="default" w:ascii="Times New Roman" w:hAnsi="Times New Roman" w:eastAsia="仿宋_GB2312" w:cs="Times New Roman"/>
          <w:b w:val="0"/>
          <w:bCs/>
          <w:i w:val="0"/>
          <w:iCs w:val="0"/>
          <w:caps w:val="0"/>
          <w:color w:val="000000"/>
          <w:spacing w:val="0"/>
          <w:sz w:val="32"/>
          <w:szCs w:val="32"/>
          <w:highlight w:val="none"/>
          <w:lang w:val="en-US" w:eastAsia="zh-CN"/>
        </w:rPr>
        <w:t>效能</w:t>
      </w:r>
      <w:r>
        <w:rPr>
          <w:rFonts w:hint="eastAsia" w:ascii="仿宋_GB2312" w:hAnsi="仿宋_GB2312" w:eastAsia="仿宋_GB2312" w:cs="仿宋_GB2312"/>
          <w:sz w:val="32"/>
          <w:szCs w:val="32"/>
          <w:lang w:val="en-US" w:eastAsia="zh-CN"/>
        </w:rPr>
        <w:t>改革</w:t>
      </w:r>
      <w:r>
        <w:rPr>
          <w:rFonts w:hint="default" w:ascii="Times New Roman" w:hAnsi="Times New Roman" w:eastAsia="仿宋_GB2312" w:cs="Times New Roman"/>
          <w:color w:val="auto"/>
          <w:kern w:val="2"/>
          <w:sz w:val="32"/>
          <w:szCs w:val="32"/>
          <w:lang w:val="en-US" w:eastAsia="zh-CN" w:bidi="ar-SA"/>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（二）适用范围</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pP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针对监管场景下容易发现、高频多发的问题隐患，行政执法机关将相对应的</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可查可见、</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专业性</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低</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的行政检查事项依法委托给其他执法机关的行为</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（三）简单检查事项库的建立</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pP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包括提出事项、确定事项、发布清单、动态调整等四个步骤。</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简单检查事项委托</w:t>
      </w:r>
      <w:r>
        <w:rPr>
          <w:rFonts w:hint="eastAsia" w:ascii="Times New Roman" w:hAnsi="Times New Roman" w:eastAsia="楷体" w:cs="Times New Roman"/>
          <w:color w:val="auto"/>
          <w:kern w:val="2"/>
          <w:sz w:val="32"/>
          <w:szCs w:val="32"/>
          <w:lang w:val="en-US" w:eastAsia="zh-CN" w:bidi="ar-SA"/>
        </w:rPr>
        <w:t>的实施</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 xml:space="preserve"> </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包括委托事项、委托检查方式、委托检查责任等。</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（五）</w:t>
      </w:r>
      <w:r>
        <w:rPr>
          <w:rFonts w:hint="default" w:ascii="Times New Roman" w:hAnsi="Times New Roman" w:eastAsia="楷体" w:cs="Times New Roman"/>
          <w:color w:val="auto"/>
          <w:kern w:val="2"/>
          <w:sz w:val="32"/>
          <w:szCs w:val="32"/>
          <w:lang w:val="en-US" w:eastAsia="zh-CN" w:bidi="ar-SA"/>
        </w:rPr>
        <w:t>检查</w:t>
      </w:r>
      <w:r>
        <w:rPr>
          <w:rFonts w:hint="eastAsia" w:ascii="Times New Roman" w:hAnsi="Times New Roman" w:eastAsia="楷体" w:cs="Times New Roman"/>
          <w:color w:val="auto"/>
          <w:kern w:val="2"/>
          <w:sz w:val="32"/>
          <w:szCs w:val="32"/>
          <w:lang w:val="en-US" w:eastAsia="zh-CN" w:bidi="ar-SA"/>
        </w:rPr>
        <w:t>任务的实施</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pPr>
      <w:r>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t>包括委托检查机构负责对委托检查事项组织开展培训、受委托部门开展检查时应注意的事项、更多的运用“综合查一次”执法模式，实现“进一次门、查多项事、一次到位”。</w:t>
      </w:r>
    </w:p>
    <w:p>
      <w:pPr>
        <w:pStyle w:val="3"/>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（六）问题闭环处置</w:t>
      </w:r>
    </w:p>
    <w:p>
      <w:pPr>
        <w:pStyle w:val="3"/>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t xml:space="preserve"> 受委托机构对在检查过程中未发现问题，发现问题可当场整改、限期整改、需立案查处等情况进行闭环处置。</w:t>
      </w:r>
      <w:r>
        <w:rPr>
          <w:rFonts w:hint="eastAsia" w:ascii="楷体_GB2312" w:hAnsi="楷体_GB2312" w:eastAsia="楷体_GB2312" w:cs="楷体_GB2312"/>
          <w:sz w:val="32"/>
          <w:szCs w:val="32"/>
          <w:lang w:val="en-US" w:eastAsia="zh-CN"/>
        </w:rPr>
        <w:t xml:space="preserve">    </w:t>
      </w:r>
    </w:p>
    <w:p>
      <w:pPr>
        <w:pStyle w:val="3"/>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Style w:val="11"/>
          <w:rFonts w:hint="default" w:ascii="Times New Roman" w:hAnsi="Times New Roman" w:eastAsia="仿宋_GB2312" w:cs="Times New Roman"/>
          <w:b w:val="0"/>
          <w:bCs/>
          <w:i w:val="0"/>
          <w:iCs w:val="0"/>
          <w:caps w:val="0"/>
          <w:color w:val="auto"/>
          <w:spacing w:val="0"/>
          <w:kern w:val="0"/>
          <w:sz w:val="32"/>
          <w:szCs w:val="32"/>
          <w:highlight w:val="none"/>
          <w:lang w:val="en-US" w:eastAsia="zh-CN" w:bidi="ar-SA"/>
        </w:rPr>
      </w:pPr>
      <w:r>
        <w:rPr>
          <w:rFonts w:hint="eastAsia" w:ascii="楷体_GB2312" w:hAnsi="楷体_GB2312" w:eastAsia="楷体_GB2312" w:cs="楷体_GB2312"/>
          <w:sz w:val="32"/>
          <w:szCs w:val="32"/>
          <w:lang w:val="en-US" w:eastAsia="zh-CN"/>
        </w:rPr>
        <w:t>（七）工作要求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pPr>
      <w:r>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t>对培训指导、执法监督、监管衔接、监督评价等工作作出了具体的要求和部署。</w:t>
      </w:r>
    </w:p>
    <w:p>
      <w:pPr>
        <w:keepNext w:val="0"/>
        <w:keepLines w:val="0"/>
        <w:pageBreakBefore w:val="0"/>
        <w:tabs>
          <w:tab w:val="left" w:pos="5655"/>
        </w:tabs>
        <w:kinsoku/>
        <w:wordWrap w:val="0"/>
        <w:overflowPunct/>
        <w:topLinePunct w:val="0"/>
        <w:autoSpaceDE/>
        <w:autoSpaceDN/>
        <w:bidi w:val="0"/>
        <w:adjustRightInd/>
        <w:snapToGrid w:val="0"/>
        <w:spacing w:line="560" w:lineRule="exact"/>
        <w:ind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ab/>
      </w:r>
    </w:p>
    <w:p>
      <w:pPr>
        <w:keepNext w:val="0"/>
        <w:keepLines w:val="0"/>
        <w:pageBreakBefore w:val="0"/>
        <w:tabs>
          <w:tab w:val="left" w:pos="5655"/>
        </w:tabs>
        <w:kinsoku/>
        <w:wordWrap w:val="0"/>
        <w:overflowPunct/>
        <w:topLinePunct w:val="0"/>
        <w:autoSpaceDE/>
        <w:autoSpaceDN/>
        <w:bidi w:val="0"/>
        <w:adjustRightInd/>
        <w:snapToGrid w:val="0"/>
        <w:spacing w:line="560" w:lineRule="exact"/>
        <w:ind w:firstLine="640" w:firstLineChars="200"/>
        <w:jc w:val="right"/>
        <w:textAlignment w:val="auto"/>
        <w:rPr>
          <w:rFonts w:ascii="Times New Roman" w:hAnsi="Times New Roman" w:eastAsia="仿宋_GB2312"/>
          <w:sz w:val="32"/>
          <w:szCs w:val="32"/>
        </w:rPr>
      </w:pPr>
    </w:p>
    <w:p>
      <w:pPr>
        <w:keepNext w:val="0"/>
        <w:keepLines w:val="0"/>
        <w:pageBreakBefore w:val="0"/>
        <w:tabs>
          <w:tab w:val="left" w:pos="5655"/>
        </w:tabs>
        <w:kinsoku/>
        <w:wordWrap w:val="0"/>
        <w:overflowPunct/>
        <w:topLinePunct w:val="0"/>
        <w:autoSpaceDE/>
        <w:autoSpaceDN/>
        <w:bidi w:val="0"/>
        <w:adjustRightInd/>
        <w:snapToGrid w:val="0"/>
        <w:spacing w:line="56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磐安县综合行政执法局 </w:t>
      </w:r>
    </w:p>
    <w:p>
      <w:pPr>
        <w:keepNext w:val="0"/>
        <w:keepLines w:val="0"/>
        <w:pageBreakBefore w:val="0"/>
        <w:tabs>
          <w:tab w:val="left" w:pos="5655"/>
        </w:tabs>
        <w:kinsoku/>
        <w:wordWrap w:val="0"/>
        <w:overflowPunct/>
        <w:topLinePunct w:val="0"/>
        <w:autoSpaceDE/>
        <w:autoSpaceDN/>
        <w:bidi w:val="0"/>
        <w:adjustRightInd/>
        <w:snapToGrid w:val="0"/>
        <w:spacing w:line="560" w:lineRule="exact"/>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2024年7月15日</w:t>
      </w:r>
    </w:p>
    <w:sectPr>
      <w:footerReference r:id="rId3" w:type="default"/>
      <w:pgSz w:w="11906" w:h="16838"/>
      <w:pgMar w:top="1247" w:right="1247" w:bottom="1247" w:left="124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长美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24C46"/>
    <w:multiLevelType w:val="singleLevel"/>
    <w:tmpl w:val="7FB24C4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MDc3MjA2YjhjNTFiNjY1NGMxZGJjZGRkZjNlZTUifQ=="/>
  </w:docVars>
  <w:rsids>
    <w:rsidRoot w:val="00C37A67"/>
    <w:rsid w:val="00040BE2"/>
    <w:rsid w:val="000537E4"/>
    <w:rsid w:val="00070101"/>
    <w:rsid w:val="000875BD"/>
    <w:rsid w:val="000B219E"/>
    <w:rsid w:val="000C231B"/>
    <w:rsid w:val="000D5973"/>
    <w:rsid w:val="000D7F46"/>
    <w:rsid w:val="00106BB6"/>
    <w:rsid w:val="001474D1"/>
    <w:rsid w:val="00174A99"/>
    <w:rsid w:val="001F5E12"/>
    <w:rsid w:val="00225E69"/>
    <w:rsid w:val="00237380"/>
    <w:rsid w:val="002558FE"/>
    <w:rsid w:val="00272626"/>
    <w:rsid w:val="002749E8"/>
    <w:rsid w:val="00281D28"/>
    <w:rsid w:val="002D5644"/>
    <w:rsid w:val="002D6228"/>
    <w:rsid w:val="002E538C"/>
    <w:rsid w:val="003223C5"/>
    <w:rsid w:val="00322C10"/>
    <w:rsid w:val="00324CDC"/>
    <w:rsid w:val="00385D68"/>
    <w:rsid w:val="0038754A"/>
    <w:rsid w:val="003A2BD4"/>
    <w:rsid w:val="003B3497"/>
    <w:rsid w:val="003C71CD"/>
    <w:rsid w:val="004122CA"/>
    <w:rsid w:val="00446839"/>
    <w:rsid w:val="00460B63"/>
    <w:rsid w:val="004E26C5"/>
    <w:rsid w:val="004F233B"/>
    <w:rsid w:val="005069D0"/>
    <w:rsid w:val="00512E1C"/>
    <w:rsid w:val="00566DA4"/>
    <w:rsid w:val="005858C1"/>
    <w:rsid w:val="005927D8"/>
    <w:rsid w:val="00592A81"/>
    <w:rsid w:val="005A3E11"/>
    <w:rsid w:val="005E4272"/>
    <w:rsid w:val="006464E5"/>
    <w:rsid w:val="006A0D67"/>
    <w:rsid w:val="00734BE5"/>
    <w:rsid w:val="00763D24"/>
    <w:rsid w:val="00765A60"/>
    <w:rsid w:val="00773A71"/>
    <w:rsid w:val="007742CC"/>
    <w:rsid w:val="007A5961"/>
    <w:rsid w:val="007A7832"/>
    <w:rsid w:val="007A7FB3"/>
    <w:rsid w:val="007C60B5"/>
    <w:rsid w:val="007D2DC9"/>
    <w:rsid w:val="007E32EC"/>
    <w:rsid w:val="007F728F"/>
    <w:rsid w:val="00807A73"/>
    <w:rsid w:val="00820CEE"/>
    <w:rsid w:val="0088006A"/>
    <w:rsid w:val="009066F3"/>
    <w:rsid w:val="009A32F1"/>
    <w:rsid w:val="009E138F"/>
    <w:rsid w:val="00A11B82"/>
    <w:rsid w:val="00A11D1F"/>
    <w:rsid w:val="00A21E74"/>
    <w:rsid w:val="00A35DCC"/>
    <w:rsid w:val="00A459EA"/>
    <w:rsid w:val="00A51FB2"/>
    <w:rsid w:val="00A719CA"/>
    <w:rsid w:val="00A8485B"/>
    <w:rsid w:val="00A9321E"/>
    <w:rsid w:val="00A94A6C"/>
    <w:rsid w:val="00AA645B"/>
    <w:rsid w:val="00AA7D7B"/>
    <w:rsid w:val="00AC4C16"/>
    <w:rsid w:val="00AD3BE5"/>
    <w:rsid w:val="00AE290E"/>
    <w:rsid w:val="00AF7E75"/>
    <w:rsid w:val="00B255AE"/>
    <w:rsid w:val="00B36D09"/>
    <w:rsid w:val="00B54EE0"/>
    <w:rsid w:val="00B55BEB"/>
    <w:rsid w:val="00B63A52"/>
    <w:rsid w:val="00BA401F"/>
    <w:rsid w:val="00BB4C1A"/>
    <w:rsid w:val="00BC5427"/>
    <w:rsid w:val="00C229B8"/>
    <w:rsid w:val="00C37A67"/>
    <w:rsid w:val="00CA1D8D"/>
    <w:rsid w:val="00CD2FF8"/>
    <w:rsid w:val="00CD6822"/>
    <w:rsid w:val="00CF62D5"/>
    <w:rsid w:val="00D20556"/>
    <w:rsid w:val="00D30C9E"/>
    <w:rsid w:val="00D4415D"/>
    <w:rsid w:val="00D533DC"/>
    <w:rsid w:val="00D5794D"/>
    <w:rsid w:val="00D57FD5"/>
    <w:rsid w:val="00D62691"/>
    <w:rsid w:val="00D91868"/>
    <w:rsid w:val="00DA066E"/>
    <w:rsid w:val="00DB2582"/>
    <w:rsid w:val="00E10F6B"/>
    <w:rsid w:val="00E62FEB"/>
    <w:rsid w:val="00E630EF"/>
    <w:rsid w:val="00EB187A"/>
    <w:rsid w:val="00ED2752"/>
    <w:rsid w:val="00ED7DAB"/>
    <w:rsid w:val="00EE174F"/>
    <w:rsid w:val="00EF21B8"/>
    <w:rsid w:val="00EF7848"/>
    <w:rsid w:val="00F211A3"/>
    <w:rsid w:val="00FD3B86"/>
    <w:rsid w:val="04FE66C0"/>
    <w:rsid w:val="07DF5A22"/>
    <w:rsid w:val="0B4A2AED"/>
    <w:rsid w:val="0B892750"/>
    <w:rsid w:val="0E234E8A"/>
    <w:rsid w:val="19DB2D10"/>
    <w:rsid w:val="1BC067AF"/>
    <w:rsid w:val="1C2A2937"/>
    <w:rsid w:val="1C3F55D8"/>
    <w:rsid w:val="1D23078D"/>
    <w:rsid w:val="1E903A10"/>
    <w:rsid w:val="1F033A2F"/>
    <w:rsid w:val="20047645"/>
    <w:rsid w:val="254B1F25"/>
    <w:rsid w:val="27D717D0"/>
    <w:rsid w:val="28751A40"/>
    <w:rsid w:val="2A76361A"/>
    <w:rsid w:val="2C8E6163"/>
    <w:rsid w:val="2F1B615B"/>
    <w:rsid w:val="32791BFE"/>
    <w:rsid w:val="377FD8A3"/>
    <w:rsid w:val="39EC2387"/>
    <w:rsid w:val="3D214B7F"/>
    <w:rsid w:val="3FC10E8F"/>
    <w:rsid w:val="404E51D8"/>
    <w:rsid w:val="42B73CA0"/>
    <w:rsid w:val="439E0CD2"/>
    <w:rsid w:val="45C84545"/>
    <w:rsid w:val="46510058"/>
    <w:rsid w:val="47807F07"/>
    <w:rsid w:val="47817484"/>
    <w:rsid w:val="47E5652E"/>
    <w:rsid w:val="4928198E"/>
    <w:rsid w:val="4BAB6D7D"/>
    <w:rsid w:val="4D32495F"/>
    <w:rsid w:val="50FB62D1"/>
    <w:rsid w:val="52EC6377"/>
    <w:rsid w:val="547801B1"/>
    <w:rsid w:val="56EE6EBB"/>
    <w:rsid w:val="5EE65CDE"/>
    <w:rsid w:val="61FD3D9B"/>
    <w:rsid w:val="633E7750"/>
    <w:rsid w:val="634453C9"/>
    <w:rsid w:val="65E9540E"/>
    <w:rsid w:val="66523065"/>
    <w:rsid w:val="66A86B5D"/>
    <w:rsid w:val="66EE76CC"/>
    <w:rsid w:val="67C86CB8"/>
    <w:rsid w:val="68BA2F57"/>
    <w:rsid w:val="692614AF"/>
    <w:rsid w:val="69F951D4"/>
    <w:rsid w:val="6CC6422B"/>
    <w:rsid w:val="6CF427D7"/>
    <w:rsid w:val="6D1E4271"/>
    <w:rsid w:val="6D2B6338"/>
    <w:rsid w:val="6E311B89"/>
    <w:rsid w:val="739A3A86"/>
    <w:rsid w:val="73F3E33E"/>
    <w:rsid w:val="73FF5ABE"/>
    <w:rsid w:val="79603E76"/>
    <w:rsid w:val="7A747165"/>
    <w:rsid w:val="7AD3C338"/>
    <w:rsid w:val="7BAA60B1"/>
    <w:rsid w:val="7C6B1DF4"/>
    <w:rsid w:val="7CC07E2D"/>
    <w:rsid w:val="7EC949CD"/>
    <w:rsid w:val="7FF7B110"/>
    <w:rsid w:val="FA9E4D16"/>
    <w:rsid w:val="FDEAD913"/>
    <w:rsid w:val="FFDF1AF3"/>
    <w:rsid w:val="FFFE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20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6"/>
    <w:qFormat/>
    <w:uiPriority w:val="99"/>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批注框文本 Char"/>
    <w:basedOn w:val="10"/>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1065</Words>
  <Characters>1096</Characters>
  <Lines>102</Lines>
  <Paragraphs>28</Paragraphs>
  <TotalTime>4</TotalTime>
  <ScaleCrop>false</ScaleCrop>
  <LinksUpToDate>false</LinksUpToDate>
  <CharactersWithSpaces>1134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2021-06-30T09:24:00Z</dcterms:created>
  <dc:creator>李苗</dc:creator>
  <cp:lastModifiedBy>uos</cp:lastModifiedBy>
  <cp:lastPrinted>2021-06-25T08:49:00Z</cp:lastPrinted>
  <dcterms:modified xsi:type="dcterms:W3CDTF">2024-09-12T15:28:51Z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36460E10F7AB40F98B5774D97A2CF073</vt:lpwstr>
  </property>
</Properties>
</file>